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16482" w14:textId="77777777" w:rsidR="00C30360" w:rsidRDefault="007A314C">
      <w:pPr>
        <w:pStyle w:val="Title"/>
        <w:spacing w:line="196" w:lineRule="auto"/>
        <w:rPr>
          <w:rFonts w:ascii="Avenir Next Demi Bold" w:hAnsi="Avenir Next Demi Bold"/>
          <w:color w:val="FFFFFF"/>
          <w:spacing w:val="-14"/>
        </w:rPr>
      </w:pPr>
      <w:bookmarkStart w:id="0" w:name="_GoBack"/>
      <w:bookmarkEnd w:id="0"/>
      <w:r w:rsidRPr="00C30360">
        <w:rPr>
          <w:rFonts w:ascii="Avenir Next Demi Bold" w:hAnsi="Avenir Next Demi Bold"/>
          <w:noProof/>
        </w:rPr>
        <w:drawing>
          <wp:anchor distT="0" distB="0" distL="0" distR="0" simplePos="0" relativeHeight="251655680" behindDoc="1" locked="0" layoutInCell="1" allowOverlap="1" wp14:anchorId="44A12BC6" wp14:editId="7619224B">
            <wp:simplePos x="0" y="0"/>
            <wp:positionH relativeFrom="page">
              <wp:posOffset>0</wp:posOffset>
            </wp:positionH>
            <wp:positionV relativeFrom="page">
              <wp:posOffset>0</wp:posOffset>
            </wp:positionV>
            <wp:extent cx="7559036" cy="106842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36" cy="10684284"/>
                    </a:xfrm>
                    <a:prstGeom prst="rect">
                      <a:avLst/>
                    </a:prstGeom>
                  </pic:spPr>
                </pic:pic>
              </a:graphicData>
            </a:graphic>
            <wp14:sizeRelV relativeFrom="margin">
              <wp14:pctHeight>0</wp14:pctHeight>
            </wp14:sizeRelV>
          </wp:anchor>
        </w:drawing>
      </w:r>
      <w:r w:rsidR="009931B3">
        <w:rPr>
          <w:rFonts w:ascii="Avenir Next Demi Bold" w:hAnsi="Avenir Next Demi Bold"/>
          <w:color w:val="FFFFFF"/>
          <w:spacing w:val="-14"/>
        </w:rPr>
        <w:t>State Budget Consultation Submission</w:t>
      </w:r>
    </w:p>
    <w:p w14:paraId="08798F5E" w14:textId="36F6A128" w:rsidR="00222F18" w:rsidRPr="00C30360" w:rsidRDefault="007A314C">
      <w:pPr>
        <w:pStyle w:val="Title"/>
        <w:spacing w:line="196" w:lineRule="auto"/>
        <w:rPr>
          <w:rFonts w:ascii="Avenir Next" w:hAnsi="Avenir Next"/>
          <w:b w:val="0"/>
          <w:bCs w:val="0"/>
        </w:rPr>
      </w:pPr>
      <w:r w:rsidRPr="00C30360">
        <w:rPr>
          <w:rFonts w:ascii="Avenir Next" w:hAnsi="Avenir Next"/>
          <w:b w:val="0"/>
          <w:bCs w:val="0"/>
          <w:color w:val="FFFFFF"/>
          <w:spacing w:val="-2"/>
        </w:rPr>
        <w:t>202</w:t>
      </w:r>
      <w:r w:rsidR="009931B3">
        <w:rPr>
          <w:rFonts w:ascii="Avenir Next" w:hAnsi="Avenir Next"/>
          <w:b w:val="0"/>
          <w:bCs w:val="0"/>
          <w:color w:val="FFFFFF"/>
          <w:spacing w:val="-2"/>
        </w:rPr>
        <w:t>4</w:t>
      </w:r>
      <w:r w:rsidRPr="00C30360">
        <w:rPr>
          <w:rFonts w:ascii="Avenir Next" w:hAnsi="Avenir Next"/>
          <w:b w:val="0"/>
          <w:bCs w:val="0"/>
          <w:color w:val="FFFFFF"/>
          <w:spacing w:val="-2"/>
        </w:rPr>
        <w:t>-2</w:t>
      </w:r>
      <w:r w:rsidR="009931B3">
        <w:rPr>
          <w:rFonts w:ascii="Avenir Next" w:hAnsi="Avenir Next"/>
          <w:b w:val="0"/>
          <w:bCs w:val="0"/>
          <w:color w:val="FFFFFF"/>
          <w:spacing w:val="-2"/>
        </w:rPr>
        <w:t>5</w:t>
      </w:r>
    </w:p>
    <w:p w14:paraId="3A7DCF35" w14:textId="77777777" w:rsidR="00222F18" w:rsidRDefault="00C30360">
      <w:pPr>
        <w:pStyle w:val="BodyText"/>
        <w:rPr>
          <w:sz w:val="66"/>
        </w:rPr>
      </w:pPr>
      <w:r>
        <w:rPr>
          <w:noProof/>
          <w:sz w:val="66"/>
        </w:rPr>
        <mc:AlternateContent>
          <mc:Choice Requires="wps">
            <w:drawing>
              <wp:anchor distT="0" distB="0" distL="114300" distR="114300" simplePos="0" relativeHeight="251656704" behindDoc="0" locked="0" layoutInCell="1" allowOverlap="1" wp14:anchorId="3D458F82" wp14:editId="309F363C">
                <wp:simplePos x="0" y="0"/>
                <wp:positionH relativeFrom="column">
                  <wp:posOffset>368300</wp:posOffset>
                </wp:positionH>
                <wp:positionV relativeFrom="paragraph">
                  <wp:posOffset>7036435</wp:posOffset>
                </wp:positionV>
                <wp:extent cx="1828800" cy="1306800"/>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828800" cy="1306800"/>
                        </a:xfrm>
                        <a:prstGeom prst="rect">
                          <a:avLst/>
                        </a:prstGeom>
                        <a:noFill/>
                        <a:ln w="6350">
                          <a:noFill/>
                        </a:ln>
                      </wps:spPr>
                      <wps:txbx>
                        <w:txbxContent>
                          <w:p w14:paraId="144168B0" w14:textId="77777777" w:rsidR="0027069A" w:rsidRPr="00BF69AF" w:rsidRDefault="0027069A">
                            <w:pPr>
                              <w:rPr>
                                <w:rFonts w:ascii="Avenir Next Demi Bold" w:hAnsi="Avenir Next Demi Bold"/>
                                <w:b/>
                                <w:bCs/>
                                <w:color w:val="FFFFFF" w:themeColor="background1"/>
                                <w:lang w:val="en-AU"/>
                              </w:rPr>
                            </w:pPr>
                            <w:r w:rsidRPr="00BF69AF">
                              <w:rPr>
                                <w:rFonts w:ascii="Avenir Next Demi Bold" w:hAnsi="Avenir Next Demi Bold"/>
                                <w:b/>
                                <w:bCs/>
                                <w:color w:val="FFFFFF" w:themeColor="background1"/>
                                <w:lang w:val="en-AU"/>
                              </w:rPr>
                              <w:t>WORKING FOR</w:t>
                            </w:r>
                            <w:r w:rsidRPr="00BF69AF">
                              <w:rPr>
                                <w:rFonts w:ascii="Avenir Next Demi Bold" w:hAnsi="Avenir Next Demi Bold"/>
                                <w:b/>
                                <w:bCs/>
                                <w:color w:val="FFFFFF" w:themeColor="background1"/>
                                <w:lang w:val="en-AU"/>
                              </w:rPr>
                              <w:br/>
                              <w:t>A JUST TASMANIA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458F82" id="_x0000_t202" coordsize="21600,21600" o:spt="202" path="m,l,21600r21600,l21600,xe">
                <v:stroke joinstyle="miter"/>
                <v:path gradientshapeok="t" o:connecttype="rect"/>
              </v:shapetype>
              <v:shape id="Text Box 7" o:spid="_x0000_s1026" type="#_x0000_t202" style="position:absolute;margin-left:29pt;margin-top:554.05pt;width:2in;height:102.9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" filled="f" stroked="f" strokeweight=".5pt">
                <v:textbox inset="0,0,0,0">
                  <w:txbxContent>
                    <w:p w14:paraId="144168B0" w14:textId="77777777" w:rsidR="0027069A" w:rsidRPr="00BF69AF" w:rsidRDefault="0027069A">
                      <w:pPr>
                        <w:rPr>
                          <w:rFonts w:ascii="Avenir Next Demi Bold" w:hAnsi="Avenir Next Demi Bold"/>
                          <w:b/>
                          <w:bCs/>
                          <w:color w:val="FFFFFF" w:themeColor="background1"/>
                          <w:lang w:val="en-AU"/>
                        </w:rPr>
                      </w:pPr>
                      <w:r w:rsidRPr="00BF69AF">
                        <w:rPr>
                          <w:rFonts w:ascii="Avenir Next Demi Bold" w:hAnsi="Avenir Next Demi Bold"/>
                          <w:b/>
                          <w:bCs/>
                          <w:color w:val="FFFFFF" w:themeColor="background1"/>
                          <w:lang w:val="en-AU"/>
                        </w:rPr>
                        <w:t>WORKING FOR</w:t>
                      </w:r>
                      <w:r w:rsidRPr="00BF69AF">
                        <w:rPr>
                          <w:rFonts w:ascii="Avenir Next Demi Bold" w:hAnsi="Avenir Next Demi Bold"/>
                          <w:b/>
                          <w:bCs/>
                          <w:color w:val="FFFFFF" w:themeColor="background1"/>
                          <w:lang w:val="en-AU"/>
                        </w:rPr>
                        <w:br/>
                        <w:t>A JUST TASMANIA</w:t>
                      </w:r>
                    </w:p>
                  </w:txbxContent>
                </v:textbox>
              </v:shape>
            </w:pict>
          </mc:Fallback>
        </mc:AlternateContent>
      </w:r>
    </w:p>
    <w:p w14:paraId="0782F7BA" w14:textId="77777777" w:rsidR="00222F18" w:rsidRDefault="00222F18">
      <w:pPr>
        <w:spacing w:line="408" w:lineRule="exact"/>
        <w:rPr>
          <w:sz w:val="32"/>
        </w:rPr>
        <w:sectPr w:rsidR="00222F18">
          <w:footerReference w:type="even" r:id="rId9"/>
          <w:footerReference w:type="default" r:id="rId10"/>
          <w:type w:val="continuous"/>
          <w:pgSz w:w="11910" w:h="16840"/>
          <w:pgMar w:top="1500" w:right="1000" w:bottom="280" w:left="960" w:header="720" w:footer="720" w:gutter="0"/>
          <w:cols w:space="720"/>
        </w:sectPr>
      </w:pPr>
    </w:p>
    <w:bookmarkStart w:id="1" w:name="_Toc151017016" w:displacedByCustomXml="next"/>
    <w:bookmarkStart w:id="2" w:name="_Toc115937026" w:displacedByCustomXml="next"/>
    <w:bookmarkStart w:id="3" w:name="_Toc115936907" w:displacedByCustomXml="next"/>
    <w:sdt>
      <w:sdtPr>
        <w:rPr>
          <w:rFonts w:ascii="Avenir Next" w:eastAsia="AvenirNext LT Pro Bold" w:hAnsi="Avenir Next" w:cs="AvenirNext LT Pro Bold"/>
          <w:b w:val="0"/>
          <w:bCs w:val="0"/>
          <w:color w:val="575F61"/>
          <w:sz w:val="24"/>
          <w:szCs w:val="22"/>
          <w:lang w:val="en-GB"/>
        </w:rPr>
        <w:id w:val="-299299066"/>
        <w:docPartObj>
          <w:docPartGallery w:val="Table of Contents"/>
          <w:docPartUnique/>
        </w:docPartObj>
      </w:sdtPr>
      <w:sdtEndPr>
        <w:rPr>
          <w:noProof/>
          <w:szCs w:val="24"/>
        </w:rPr>
      </w:sdtEndPr>
      <w:sdtContent>
        <w:p w14:paraId="46665B62" w14:textId="77777777" w:rsidR="00BF69AF" w:rsidRPr="00BF69AF" w:rsidRDefault="00BF69AF" w:rsidP="00BF69AF">
          <w:pPr>
            <w:pStyle w:val="Heading1"/>
          </w:pPr>
          <w:r w:rsidRPr="00BF69AF">
            <w:t xml:space="preserve">Table of </w:t>
          </w:r>
          <w:r>
            <w:t>c</w:t>
          </w:r>
          <w:r w:rsidRPr="00BF69AF">
            <w:t>ontents</w:t>
          </w:r>
          <w:bookmarkEnd w:id="3"/>
          <w:bookmarkEnd w:id="2"/>
          <w:bookmarkEnd w:id="1"/>
        </w:p>
        <w:p w14:paraId="1BDE9C44" w14:textId="6A624FD4" w:rsidR="000B6A0E" w:rsidRDefault="003D35FA">
          <w:pPr>
            <w:pStyle w:val="TOC1"/>
            <w:tabs>
              <w:tab w:val="right" w:leader="dot" w:pos="9940"/>
            </w:tabs>
            <w:rPr>
              <w:rFonts w:eastAsiaTheme="minorEastAsia" w:cstheme="minorBidi"/>
              <w:b w:val="0"/>
              <w:bCs w:val="0"/>
              <w:noProof/>
              <w:color w:val="auto"/>
              <w:sz w:val="22"/>
              <w:szCs w:val="22"/>
              <w:lang w:val="en-AU" w:eastAsia="en-AU"/>
            </w:rPr>
          </w:pPr>
          <w:r>
            <w:fldChar w:fldCharType="begin"/>
          </w:r>
          <w:r>
            <w:instrText xml:space="preserve"> TOC \o "1-3" \p " " \h \z \u </w:instrText>
          </w:r>
          <w:r>
            <w:fldChar w:fldCharType="separate"/>
          </w:r>
          <w:hyperlink w:anchor="_Toc151017016" w:history="1">
            <w:r w:rsidR="000B6A0E" w:rsidRPr="00624706">
              <w:rPr>
                <w:rStyle w:val="Hyperlink"/>
                <w:noProof/>
              </w:rPr>
              <w:t>Table of contents</w:t>
            </w:r>
            <w:r w:rsidR="000B6A0E">
              <w:rPr>
                <w:noProof/>
                <w:webHidden/>
              </w:rPr>
              <w:t xml:space="preserve"> </w:t>
            </w:r>
            <w:r w:rsidR="000B6A0E">
              <w:rPr>
                <w:noProof/>
                <w:webHidden/>
              </w:rPr>
              <w:fldChar w:fldCharType="begin"/>
            </w:r>
            <w:r w:rsidR="000B6A0E">
              <w:rPr>
                <w:noProof/>
                <w:webHidden/>
              </w:rPr>
              <w:instrText xml:space="preserve"> PAGEREF _Toc151017016 \h </w:instrText>
            </w:r>
            <w:r w:rsidR="000B6A0E">
              <w:rPr>
                <w:noProof/>
                <w:webHidden/>
              </w:rPr>
            </w:r>
            <w:r w:rsidR="000B6A0E">
              <w:rPr>
                <w:noProof/>
                <w:webHidden/>
              </w:rPr>
              <w:fldChar w:fldCharType="separate"/>
            </w:r>
            <w:r w:rsidR="000B6A0E">
              <w:rPr>
                <w:noProof/>
                <w:webHidden/>
              </w:rPr>
              <w:t>2</w:t>
            </w:r>
            <w:r w:rsidR="000B6A0E">
              <w:rPr>
                <w:noProof/>
                <w:webHidden/>
              </w:rPr>
              <w:fldChar w:fldCharType="end"/>
            </w:r>
          </w:hyperlink>
        </w:p>
        <w:p w14:paraId="461D999F" w14:textId="0CFC20D1" w:rsidR="000B6A0E" w:rsidRDefault="00A677B4">
          <w:pPr>
            <w:pStyle w:val="TOC1"/>
            <w:tabs>
              <w:tab w:val="right" w:leader="dot" w:pos="9940"/>
            </w:tabs>
            <w:rPr>
              <w:rFonts w:eastAsiaTheme="minorEastAsia" w:cstheme="minorBidi"/>
              <w:b w:val="0"/>
              <w:bCs w:val="0"/>
              <w:noProof/>
              <w:color w:val="auto"/>
              <w:sz w:val="22"/>
              <w:szCs w:val="22"/>
              <w:lang w:val="en-AU" w:eastAsia="en-AU"/>
            </w:rPr>
          </w:pPr>
          <w:hyperlink w:anchor="_Toc151017017" w:history="1">
            <w:r w:rsidR="000B6A0E" w:rsidRPr="00624706">
              <w:rPr>
                <w:rStyle w:val="Hyperlink"/>
                <w:noProof/>
              </w:rPr>
              <w:t>About Anglicare Tasmania</w:t>
            </w:r>
            <w:r w:rsidR="000B6A0E">
              <w:rPr>
                <w:noProof/>
                <w:webHidden/>
              </w:rPr>
              <w:t xml:space="preserve"> </w:t>
            </w:r>
            <w:r w:rsidR="000B6A0E">
              <w:rPr>
                <w:noProof/>
                <w:webHidden/>
              </w:rPr>
              <w:fldChar w:fldCharType="begin"/>
            </w:r>
            <w:r w:rsidR="000B6A0E">
              <w:rPr>
                <w:noProof/>
                <w:webHidden/>
              </w:rPr>
              <w:instrText xml:space="preserve"> PAGEREF _Toc151017017 \h </w:instrText>
            </w:r>
            <w:r w:rsidR="000B6A0E">
              <w:rPr>
                <w:noProof/>
                <w:webHidden/>
              </w:rPr>
            </w:r>
            <w:r w:rsidR="000B6A0E">
              <w:rPr>
                <w:noProof/>
                <w:webHidden/>
              </w:rPr>
              <w:fldChar w:fldCharType="separate"/>
            </w:r>
            <w:r w:rsidR="000B6A0E">
              <w:rPr>
                <w:noProof/>
                <w:webHidden/>
              </w:rPr>
              <w:t>3</w:t>
            </w:r>
            <w:r w:rsidR="000B6A0E">
              <w:rPr>
                <w:noProof/>
                <w:webHidden/>
              </w:rPr>
              <w:fldChar w:fldCharType="end"/>
            </w:r>
          </w:hyperlink>
        </w:p>
        <w:p w14:paraId="789B3616" w14:textId="712856A0" w:rsidR="000B6A0E" w:rsidRDefault="00A677B4">
          <w:pPr>
            <w:pStyle w:val="TOC1"/>
            <w:tabs>
              <w:tab w:val="right" w:leader="dot" w:pos="9940"/>
            </w:tabs>
            <w:rPr>
              <w:rFonts w:eastAsiaTheme="minorEastAsia" w:cstheme="minorBidi"/>
              <w:b w:val="0"/>
              <w:bCs w:val="0"/>
              <w:noProof/>
              <w:color w:val="auto"/>
              <w:sz w:val="22"/>
              <w:szCs w:val="22"/>
              <w:lang w:val="en-AU" w:eastAsia="en-AU"/>
            </w:rPr>
          </w:pPr>
          <w:hyperlink w:anchor="_Toc151017018" w:history="1">
            <w:r w:rsidR="000B6A0E" w:rsidRPr="00624706">
              <w:rPr>
                <w:rStyle w:val="Hyperlink"/>
                <w:noProof/>
              </w:rPr>
              <w:t>Our recommendations</w:t>
            </w:r>
            <w:r w:rsidR="000B6A0E">
              <w:rPr>
                <w:noProof/>
                <w:webHidden/>
              </w:rPr>
              <w:t xml:space="preserve"> </w:t>
            </w:r>
            <w:r w:rsidR="000B6A0E">
              <w:rPr>
                <w:noProof/>
                <w:webHidden/>
              </w:rPr>
              <w:fldChar w:fldCharType="begin"/>
            </w:r>
            <w:r w:rsidR="000B6A0E">
              <w:rPr>
                <w:noProof/>
                <w:webHidden/>
              </w:rPr>
              <w:instrText xml:space="preserve"> PAGEREF _Toc151017018 \h </w:instrText>
            </w:r>
            <w:r w:rsidR="000B6A0E">
              <w:rPr>
                <w:noProof/>
                <w:webHidden/>
              </w:rPr>
            </w:r>
            <w:r w:rsidR="000B6A0E">
              <w:rPr>
                <w:noProof/>
                <w:webHidden/>
              </w:rPr>
              <w:fldChar w:fldCharType="separate"/>
            </w:r>
            <w:r w:rsidR="000B6A0E">
              <w:rPr>
                <w:noProof/>
                <w:webHidden/>
              </w:rPr>
              <w:t>4</w:t>
            </w:r>
            <w:r w:rsidR="000B6A0E">
              <w:rPr>
                <w:noProof/>
                <w:webHidden/>
              </w:rPr>
              <w:fldChar w:fldCharType="end"/>
            </w:r>
          </w:hyperlink>
        </w:p>
        <w:p w14:paraId="7576D536" w14:textId="3923F961" w:rsidR="000B6A0E" w:rsidRDefault="00A677B4">
          <w:pPr>
            <w:pStyle w:val="TOC2"/>
            <w:tabs>
              <w:tab w:val="left" w:pos="720"/>
              <w:tab w:val="right" w:leader="dot" w:pos="9940"/>
            </w:tabs>
            <w:rPr>
              <w:rFonts w:eastAsiaTheme="minorEastAsia" w:cstheme="minorBidi"/>
              <w:i w:val="0"/>
              <w:iCs w:val="0"/>
              <w:noProof/>
              <w:color w:val="auto"/>
              <w:sz w:val="22"/>
              <w:szCs w:val="22"/>
              <w:lang w:val="en-AU" w:eastAsia="en-AU"/>
            </w:rPr>
          </w:pPr>
          <w:hyperlink w:anchor="_Toc151017019" w:history="1">
            <w:r w:rsidR="000B6A0E" w:rsidRPr="00624706">
              <w:rPr>
                <w:rStyle w:val="Hyperlink"/>
                <w:noProof/>
              </w:rPr>
              <w:t>1.</w:t>
            </w:r>
            <w:r w:rsidR="000B6A0E">
              <w:rPr>
                <w:rFonts w:eastAsiaTheme="minorEastAsia" w:cstheme="minorBidi"/>
                <w:i w:val="0"/>
                <w:iCs w:val="0"/>
                <w:noProof/>
                <w:color w:val="auto"/>
                <w:sz w:val="22"/>
                <w:szCs w:val="22"/>
                <w:lang w:val="en-AU" w:eastAsia="en-AU"/>
              </w:rPr>
              <w:tab/>
            </w:r>
            <w:r w:rsidR="000B6A0E" w:rsidRPr="00624706">
              <w:rPr>
                <w:rStyle w:val="Hyperlink"/>
                <w:noProof/>
              </w:rPr>
              <w:t>Indexation</w:t>
            </w:r>
            <w:r w:rsidR="000B6A0E">
              <w:rPr>
                <w:noProof/>
                <w:webHidden/>
              </w:rPr>
              <w:t xml:space="preserve"> </w:t>
            </w:r>
            <w:r w:rsidR="000B6A0E">
              <w:rPr>
                <w:noProof/>
                <w:webHidden/>
              </w:rPr>
              <w:fldChar w:fldCharType="begin"/>
            </w:r>
            <w:r w:rsidR="000B6A0E">
              <w:rPr>
                <w:noProof/>
                <w:webHidden/>
              </w:rPr>
              <w:instrText xml:space="preserve"> PAGEREF _Toc151017019 \h </w:instrText>
            </w:r>
            <w:r w:rsidR="000B6A0E">
              <w:rPr>
                <w:noProof/>
                <w:webHidden/>
              </w:rPr>
            </w:r>
            <w:r w:rsidR="000B6A0E">
              <w:rPr>
                <w:noProof/>
                <w:webHidden/>
              </w:rPr>
              <w:fldChar w:fldCharType="separate"/>
            </w:r>
            <w:r w:rsidR="000B6A0E">
              <w:rPr>
                <w:noProof/>
                <w:webHidden/>
              </w:rPr>
              <w:t>5</w:t>
            </w:r>
            <w:r w:rsidR="000B6A0E">
              <w:rPr>
                <w:noProof/>
                <w:webHidden/>
              </w:rPr>
              <w:fldChar w:fldCharType="end"/>
            </w:r>
          </w:hyperlink>
        </w:p>
        <w:p w14:paraId="6ADE761F" w14:textId="640E6150" w:rsidR="000B6A0E" w:rsidRDefault="00A677B4">
          <w:pPr>
            <w:pStyle w:val="TOC2"/>
            <w:tabs>
              <w:tab w:val="left" w:pos="720"/>
              <w:tab w:val="right" w:leader="dot" w:pos="9940"/>
            </w:tabs>
            <w:rPr>
              <w:rFonts w:eastAsiaTheme="minorEastAsia" w:cstheme="minorBidi"/>
              <w:i w:val="0"/>
              <w:iCs w:val="0"/>
              <w:noProof/>
              <w:color w:val="auto"/>
              <w:sz w:val="22"/>
              <w:szCs w:val="22"/>
              <w:lang w:val="en-AU" w:eastAsia="en-AU"/>
            </w:rPr>
          </w:pPr>
          <w:hyperlink w:anchor="_Toc151017020" w:history="1">
            <w:r w:rsidR="000B6A0E" w:rsidRPr="00624706">
              <w:rPr>
                <w:rStyle w:val="Hyperlink"/>
                <w:noProof/>
              </w:rPr>
              <w:t>2.</w:t>
            </w:r>
            <w:r w:rsidR="000B6A0E">
              <w:rPr>
                <w:rFonts w:eastAsiaTheme="minorEastAsia" w:cstheme="minorBidi"/>
                <w:i w:val="0"/>
                <w:iCs w:val="0"/>
                <w:noProof/>
                <w:color w:val="auto"/>
                <w:sz w:val="22"/>
                <w:szCs w:val="22"/>
                <w:lang w:val="en-AU" w:eastAsia="en-AU"/>
              </w:rPr>
              <w:tab/>
            </w:r>
            <w:r w:rsidR="000B6A0E" w:rsidRPr="00624706">
              <w:rPr>
                <w:rStyle w:val="Hyperlink"/>
                <w:noProof/>
              </w:rPr>
              <w:t>Supported accommodation</w:t>
            </w:r>
            <w:r w:rsidR="000B6A0E">
              <w:rPr>
                <w:noProof/>
                <w:webHidden/>
              </w:rPr>
              <w:t xml:space="preserve"> </w:t>
            </w:r>
            <w:r w:rsidR="000B6A0E">
              <w:rPr>
                <w:noProof/>
                <w:webHidden/>
              </w:rPr>
              <w:fldChar w:fldCharType="begin"/>
            </w:r>
            <w:r w:rsidR="000B6A0E">
              <w:rPr>
                <w:noProof/>
                <w:webHidden/>
              </w:rPr>
              <w:instrText xml:space="preserve"> PAGEREF _Toc151017020 \h </w:instrText>
            </w:r>
            <w:r w:rsidR="000B6A0E">
              <w:rPr>
                <w:noProof/>
                <w:webHidden/>
              </w:rPr>
            </w:r>
            <w:r w:rsidR="000B6A0E">
              <w:rPr>
                <w:noProof/>
                <w:webHidden/>
              </w:rPr>
              <w:fldChar w:fldCharType="separate"/>
            </w:r>
            <w:r w:rsidR="000B6A0E">
              <w:rPr>
                <w:noProof/>
                <w:webHidden/>
              </w:rPr>
              <w:t>6</w:t>
            </w:r>
            <w:r w:rsidR="000B6A0E">
              <w:rPr>
                <w:noProof/>
                <w:webHidden/>
              </w:rPr>
              <w:fldChar w:fldCharType="end"/>
            </w:r>
          </w:hyperlink>
        </w:p>
        <w:p w14:paraId="736666B0" w14:textId="6CB436FD" w:rsidR="000B6A0E" w:rsidRDefault="00A677B4">
          <w:pPr>
            <w:pStyle w:val="TOC2"/>
            <w:tabs>
              <w:tab w:val="left" w:pos="720"/>
              <w:tab w:val="right" w:leader="dot" w:pos="9940"/>
            </w:tabs>
            <w:rPr>
              <w:rFonts w:eastAsiaTheme="minorEastAsia" w:cstheme="minorBidi"/>
              <w:i w:val="0"/>
              <w:iCs w:val="0"/>
              <w:noProof/>
              <w:color w:val="auto"/>
              <w:sz w:val="22"/>
              <w:szCs w:val="22"/>
              <w:lang w:val="en-AU" w:eastAsia="en-AU"/>
            </w:rPr>
          </w:pPr>
          <w:hyperlink w:anchor="_Toc151017021" w:history="1">
            <w:r w:rsidR="000B6A0E" w:rsidRPr="00624706">
              <w:rPr>
                <w:rStyle w:val="Hyperlink"/>
                <w:noProof/>
              </w:rPr>
              <w:t>3.</w:t>
            </w:r>
            <w:r w:rsidR="000B6A0E">
              <w:rPr>
                <w:rFonts w:eastAsiaTheme="minorEastAsia" w:cstheme="minorBidi"/>
                <w:i w:val="0"/>
                <w:iCs w:val="0"/>
                <w:noProof/>
                <w:color w:val="auto"/>
                <w:sz w:val="22"/>
                <w:szCs w:val="22"/>
                <w:lang w:val="en-AU" w:eastAsia="en-AU"/>
              </w:rPr>
              <w:tab/>
            </w:r>
            <w:r w:rsidR="000B6A0E" w:rsidRPr="00624706">
              <w:rPr>
                <w:rStyle w:val="Hyperlink"/>
                <w:noProof/>
              </w:rPr>
              <w:t>A two-worker model for YouthCare crisis accommodation</w:t>
            </w:r>
            <w:r w:rsidR="000B6A0E">
              <w:rPr>
                <w:noProof/>
                <w:webHidden/>
              </w:rPr>
              <w:t xml:space="preserve"> </w:t>
            </w:r>
            <w:r w:rsidR="000B6A0E">
              <w:rPr>
                <w:noProof/>
                <w:webHidden/>
              </w:rPr>
              <w:fldChar w:fldCharType="begin"/>
            </w:r>
            <w:r w:rsidR="000B6A0E">
              <w:rPr>
                <w:noProof/>
                <w:webHidden/>
              </w:rPr>
              <w:instrText xml:space="preserve"> PAGEREF _Toc151017021 \h </w:instrText>
            </w:r>
            <w:r w:rsidR="000B6A0E">
              <w:rPr>
                <w:noProof/>
                <w:webHidden/>
              </w:rPr>
            </w:r>
            <w:r w:rsidR="000B6A0E">
              <w:rPr>
                <w:noProof/>
                <w:webHidden/>
              </w:rPr>
              <w:fldChar w:fldCharType="separate"/>
            </w:r>
            <w:r w:rsidR="000B6A0E">
              <w:rPr>
                <w:noProof/>
                <w:webHidden/>
              </w:rPr>
              <w:t>7</w:t>
            </w:r>
            <w:r w:rsidR="000B6A0E">
              <w:rPr>
                <w:noProof/>
                <w:webHidden/>
              </w:rPr>
              <w:fldChar w:fldCharType="end"/>
            </w:r>
          </w:hyperlink>
        </w:p>
        <w:p w14:paraId="3A7E6FA4" w14:textId="110B5B91" w:rsidR="000B6A0E" w:rsidRDefault="00A677B4">
          <w:pPr>
            <w:pStyle w:val="TOC2"/>
            <w:tabs>
              <w:tab w:val="left" w:pos="720"/>
              <w:tab w:val="right" w:leader="dot" w:pos="9940"/>
            </w:tabs>
            <w:rPr>
              <w:rFonts w:eastAsiaTheme="minorEastAsia" w:cstheme="minorBidi"/>
              <w:i w:val="0"/>
              <w:iCs w:val="0"/>
              <w:noProof/>
              <w:color w:val="auto"/>
              <w:sz w:val="22"/>
              <w:szCs w:val="22"/>
              <w:lang w:val="en-AU" w:eastAsia="en-AU"/>
            </w:rPr>
          </w:pPr>
          <w:hyperlink w:anchor="_Toc151017022" w:history="1">
            <w:r w:rsidR="000B6A0E" w:rsidRPr="00624706">
              <w:rPr>
                <w:rStyle w:val="Hyperlink"/>
                <w:noProof/>
              </w:rPr>
              <w:t>4.</w:t>
            </w:r>
            <w:r w:rsidR="000B6A0E">
              <w:rPr>
                <w:rFonts w:eastAsiaTheme="minorEastAsia" w:cstheme="minorBidi"/>
                <w:i w:val="0"/>
                <w:iCs w:val="0"/>
                <w:noProof/>
                <w:color w:val="auto"/>
                <w:sz w:val="22"/>
                <w:szCs w:val="22"/>
                <w:lang w:val="en-AU" w:eastAsia="en-AU"/>
              </w:rPr>
              <w:tab/>
            </w:r>
            <w:r w:rsidR="000B6A0E" w:rsidRPr="00624706">
              <w:rPr>
                <w:rStyle w:val="Hyperlink"/>
                <w:noProof/>
              </w:rPr>
              <w:t>Funding expansion of Respectful Relationships Education</w:t>
            </w:r>
            <w:r w:rsidR="000B6A0E">
              <w:rPr>
                <w:noProof/>
                <w:webHidden/>
              </w:rPr>
              <w:t xml:space="preserve"> </w:t>
            </w:r>
            <w:r w:rsidR="000B6A0E">
              <w:rPr>
                <w:noProof/>
                <w:webHidden/>
              </w:rPr>
              <w:fldChar w:fldCharType="begin"/>
            </w:r>
            <w:r w:rsidR="000B6A0E">
              <w:rPr>
                <w:noProof/>
                <w:webHidden/>
              </w:rPr>
              <w:instrText xml:space="preserve"> PAGEREF _Toc151017022 \h </w:instrText>
            </w:r>
            <w:r w:rsidR="000B6A0E">
              <w:rPr>
                <w:noProof/>
                <w:webHidden/>
              </w:rPr>
            </w:r>
            <w:r w:rsidR="000B6A0E">
              <w:rPr>
                <w:noProof/>
                <w:webHidden/>
              </w:rPr>
              <w:fldChar w:fldCharType="separate"/>
            </w:r>
            <w:r w:rsidR="000B6A0E">
              <w:rPr>
                <w:noProof/>
                <w:webHidden/>
              </w:rPr>
              <w:t>8</w:t>
            </w:r>
            <w:r w:rsidR="000B6A0E">
              <w:rPr>
                <w:noProof/>
                <w:webHidden/>
              </w:rPr>
              <w:fldChar w:fldCharType="end"/>
            </w:r>
          </w:hyperlink>
        </w:p>
        <w:p w14:paraId="1F8DAA3E" w14:textId="04B87A76" w:rsidR="000B6A0E" w:rsidRDefault="00A677B4">
          <w:pPr>
            <w:pStyle w:val="TOC2"/>
            <w:tabs>
              <w:tab w:val="left" w:pos="720"/>
              <w:tab w:val="right" w:leader="dot" w:pos="9940"/>
            </w:tabs>
            <w:rPr>
              <w:rFonts w:eastAsiaTheme="minorEastAsia" w:cstheme="minorBidi"/>
              <w:i w:val="0"/>
              <w:iCs w:val="0"/>
              <w:noProof/>
              <w:color w:val="auto"/>
              <w:sz w:val="22"/>
              <w:szCs w:val="22"/>
              <w:lang w:val="en-AU" w:eastAsia="en-AU"/>
            </w:rPr>
          </w:pPr>
          <w:hyperlink w:anchor="_Toc151017023" w:history="1">
            <w:r w:rsidR="000B6A0E" w:rsidRPr="00624706">
              <w:rPr>
                <w:rStyle w:val="Hyperlink"/>
                <w:noProof/>
              </w:rPr>
              <w:t>5.</w:t>
            </w:r>
            <w:r w:rsidR="000B6A0E">
              <w:rPr>
                <w:rFonts w:eastAsiaTheme="minorEastAsia" w:cstheme="minorBidi"/>
                <w:i w:val="0"/>
                <w:iCs w:val="0"/>
                <w:noProof/>
                <w:color w:val="auto"/>
                <w:sz w:val="22"/>
                <w:szCs w:val="22"/>
                <w:lang w:val="en-AU" w:eastAsia="en-AU"/>
              </w:rPr>
              <w:tab/>
            </w:r>
            <w:r w:rsidR="000B6A0E" w:rsidRPr="00624706">
              <w:rPr>
                <w:rStyle w:val="Hyperlink"/>
                <w:noProof/>
              </w:rPr>
              <w:t>Supporting Tasmanians living with hoarding to maintain tenancies</w:t>
            </w:r>
            <w:r w:rsidR="000B6A0E">
              <w:rPr>
                <w:noProof/>
                <w:webHidden/>
              </w:rPr>
              <w:t xml:space="preserve"> </w:t>
            </w:r>
            <w:r w:rsidR="000B6A0E">
              <w:rPr>
                <w:noProof/>
                <w:webHidden/>
              </w:rPr>
              <w:fldChar w:fldCharType="begin"/>
            </w:r>
            <w:r w:rsidR="000B6A0E">
              <w:rPr>
                <w:noProof/>
                <w:webHidden/>
              </w:rPr>
              <w:instrText xml:space="preserve"> PAGEREF _Toc151017023 \h </w:instrText>
            </w:r>
            <w:r w:rsidR="000B6A0E">
              <w:rPr>
                <w:noProof/>
                <w:webHidden/>
              </w:rPr>
            </w:r>
            <w:r w:rsidR="000B6A0E">
              <w:rPr>
                <w:noProof/>
                <w:webHidden/>
              </w:rPr>
              <w:fldChar w:fldCharType="separate"/>
            </w:r>
            <w:r w:rsidR="000B6A0E">
              <w:rPr>
                <w:noProof/>
                <w:webHidden/>
              </w:rPr>
              <w:t>9</w:t>
            </w:r>
            <w:r w:rsidR="000B6A0E">
              <w:rPr>
                <w:noProof/>
                <w:webHidden/>
              </w:rPr>
              <w:fldChar w:fldCharType="end"/>
            </w:r>
          </w:hyperlink>
        </w:p>
        <w:p w14:paraId="51E3DB85" w14:textId="0A0278BD" w:rsidR="00BF69AF" w:rsidRDefault="003D35FA" w:rsidP="003D35FA">
          <w:pPr>
            <w:pStyle w:val="BodyText"/>
          </w:pPr>
          <w:r>
            <w:fldChar w:fldCharType="end"/>
          </w:r>
        </w:p>
      </w:sdtContent>
    </w:sdt>
    <w:p w14:paraId="2D6952E3" w14:textId="77777777" w:rsidR="00222F18" w:rsidRDefault="00222F18" w:rsidP="00BF69AF">
      <w:pPr>
        <w:rPr>
          <w:rFonts w:ascii="AvenirNextLTPro-Demi"/>
          <w:b/>
          <w:sz w:val="22"/>
        </w:rPr>
      </w:pPr>
    </w:p>
    <w:p w14:paraId="3C9D9293" w14:textId="77777777" w:rsidR="00222F18" w:rsidRDefault="00222F18" w:rsidP="00BF69AF">
      <w:pPr>
        <w:rPr>
          <w:rFonts w:ascii="AvenirNextLTPro-Demi"/>
          <w:b/>
          <w:sz w:val="22"/>
        </w:rPr>
      </w:pPr>
    </w:p>
    <w:p w14:paraId="3D4FC474" w14:textId="5D4A9A73" w:rsidR="00222F18" w:rsidRDefault="00222F18">
      <w:pPr>
        <w:rPr>
          <w:rFonts w:ascii="AvenirNext LT Pro Regular" w:hAnsi="AvenirNext LT Pro Regular"/>
        </w:rPr>
      </w:pPr>
    </w:p>
    <w:p w14:paraId="121418DA" w14:textId="280A2C54" w:rsidR="00304B8A" w:rsidRDefault="00304B8A">
      <w:pPr>
        <w:rPr>
          <w:rFonts w:ascii="AvenirNext LT Pro Regular" w:hAnsi="AvenirNext LT Pro Regular"/>
        </w:rPr>
      </w:pPr>
    </w:p>
    <w:p w14:paraId="295350C8" w14:textId="77777777" w:rsidR="00304B8A" w:rsidRDefault="00304B8A">
      <w:pPr>
        <w:rPr>
          <w:rFonts w:ascii="AvenirNext LT Pro Regular" w:hAnsi="AvenirNext LT Pro Regular"/>
        </w:rPr>
      </w:pPr>
    </w:p>
    <w:p w14:paraId="342DEE67" w14:textId="77777777" w:rsidR="00304B8A" w:rsidRDefault="00304B8A">
      <w:pPr>
        <w:rPr>
          <w:rFonts w:ascii="AvenirNext LT Pro Regular" w:hAnsi="AvenirNext LT Pro Regular"/>
        </w:rPr>
      </w:pPr>
    </w:p>
    <w:p w14:paraId="16921FD6" w14:textId="77777777" w:rsidR="00304B8A" w:rsidRDefault="00304B8A">
      <w:pPr>
        <w:rPr>
          <w:rFonts w:ascii="AvenirNext LT Pro Regular" w:hAnsi="AvenirNext LT Pro Regular"/>
        </w:rPr>
      </w:pPr>
    </w:p>
    <w:p w14:paraId="7EDC1CD2" w14:textId="77777777" w:rsidR="00304B8A" w:rsidRPr="00740EB5" w:rsidRDefault="00304B8A" w:rsidP="00304B8A">
      <w:pPr>
        <w:pStyle w:val="IntenseQuote"/>
        <w:rPr>
          <w:rStyle w:val="Emphasis"/>
        </w:rPr>
      </w:pPr>
      <w:r w:rsidRPr="00740EB5">
        <w:rPr>
          <w:rStyle w:val="Emphasis"/>
        </w:rPr>
        <w:t>Anglicare Tasmania acknowledges the Tasmanian Aboriginal community as the traditional and original owners and continuing custodians of this land lutruwita.</w:t>
      </w:r>
      <w:r>
        <w:rPr>
          <w:rStyle w:val="Emphasis"/>
        </w:rPr>
        <w:t xml:space="preserve"> </w:t>
      </w:r>
      <w:r w:rsidRPr="00740EB5">
        <w:rPr>
          <w:rStyle w:val="Emphasis"/>
        </w:rPr>
        <w:t>We pay respect to Elders past and present.</w:t>
      </w:r>
    </w:p>
    <w:p w14:paraId="040CEF84" w14:textId="611FA88D" w:rsidR="00304B8A" w:rsidRPr="00C61F11" w:rsidRDefault="00304B8A">
      <w:pPr>
        <w:rPr>
          <w:rFonts w:ascii="AvenirNext LT Pro Regular" w:hAnsi="AvenirNext LT Pro Regular"/>
        </w:rPr>
        <w:sectPr w:rsidR="00304B8A" w:rsidRPr="00C61F11">
          <w:pgSz w:w="11910" w:h="16840"/>
          <w:pgMar w:top="1500" w:right="1000" w:bottom="280" w:left="960" w:header="720" w:footer="720" w:gutter="0"/>
          <w:cols w:space="720"/>
        </w:sectPr>
      </w:pPr>
    </w:p>
    <w:p w14:paraId="7F4D53D2" w14:textId="77777777" w:rsidR="009931B3" w:rsidRDefault="009931B3" w:rsidP="009931B3">
      <w:pPr>
        <w:pStyle w:val="Heading1"/>
      </w:pPr>
      <w:bookmarkStart w:id="4" w:name="_Toc118969666"/>
      <w:bookmarkStart w:id="5" w:name="_Toc151017017"/>
      <w:r>
        <w:lastRenderedPageBreak/>
        <w:t>About Anglicare Tasmania</w:t>
      </w:r>
      <w:bookmarkEnd w:id="4"/>
      <w:bookmarkEnd w:id="5"/>
    </w:p>
    <w:p w14:paraId="54959A52" w14:textId="77777777" w:rsidR="009931B3" w:rsidRPr="00C5237D" w:rsidRDefault="009931B3" w:rsidP="009931B3">
      <w:pPr>
        <w:pStyle w:val="BodyText"/>
      </w:pPr>
      <w:r w:rsidRPr="00C5237D">
        <w:t>Anglicare Tasmania is a large community service organisation in Tasmania with offices in Hobart, Glenorchy, Launceston, St Helens, Devonport, Burnie, Sorell and Zeehan and a range of programs in rural areas. Anglicare Tasmania’s services include: crisis, short-term and long-term accommodation support; mental health support services; support services following a motor vehicle accident; aged and home care services; alcohol and other drug services; financial and gambling counselling; and family support. In addition, Anglicare Tasmania’s Social Action and Research Centre conducts research, policy and advocacy work with a focus on issues affecting Tasmanians on low incomes.</w:t>
      </w:r>
    </w:p>
    <w:p w14:paraId="0A4E1F86" w14:textId="77777777" w:rsidR="009931B3" w:rsidRDefault="009931B3" w:rsidP="009931B3">
      <w:pPr>
        <w:pStyle w:val="BodyText"/>
      </w:pPr>
      <w:r w:rsidRPr="00C5237D">
        <w:t>Anglicare Tasmania is committed to achieving social justice for all Tasmanians. It is our mission to speak out against poverty and injustice and offer decision-makers alternative solutions to help build a more just society. We provide opportunities for people in need to reach their full potential through our services, research and advocacy.</w:t>
      </w:r>
    </w:p>
    <w:p w14:paraId="721C0216" w14:textId="77777777" w:rsidR="009931B3" w:rsidRPr="00C5237D" w:rsidRDefault="009931B3" w:rsidP="009931B3">
      <w:pPr>
        <w:pStyle w:val="BodyText"/>
      </w:pPr>
      <w:r w:rsidRPr="00C5237D">
        <w:t>Anglicare Tasmania’s work is guided by a set of values which includes these beliefs:</w:t>
      </w:r>
    </w:p>
    <w:p w14:paraId="3788FEDA" w14:textId="77777777" w:rsidR="009931B3" w:rsidRDefault="009931B3" w:rsidP="005422E5">
      <w:pPr>
        <w:pStyle w:val="Bullets"/>
      </w:pPr>
      <w:r>
        <w:t>that each person is valuable and deserves to be treated with respect and dignity;</w:t>
      </w:r>
    </w:p>
    <w:p w14:paraId="1DA5CA96" w14:textId="77777777" w:rsidR="009931B3" w:rsidRDefault="009931B3" w:rsidP="005422E5">
      <w:pPr>
        <w:pStyle w:val="Bullets"/>
      </w:pPr>
      <w:r>
        <w:t>that each person has the capacity to make and to bear the responsibility for choices and decisions about their life;</w:t>
      </w:r>
    </w:p>
    <w:p w14:paraId="7C59AAB7" w14:textId="77777777" w:rsidR="009931B3" w:rsidRDefault="009931B3" w:rsidP="005422E5">
      <w:pPr>
        <w:pStyle w:val="Bullets"/>
      </w:pPr>
      <w:r>
        <w:t>that support should be available to all who need it; and</w:t>
      </w:r>
    </w:p>
    <w:p w14:paraId="16F72099" w14:textId="77777777" w:rsidR="009931B3" w:rsidRDefault="009931B3" w:rsidP="005422E5">
      <w:pPr>
        <w:pStyle w:val="Bullets"/>
      </w:pPr>
      <w:r>
        <w:t>that every person can live life abundantly.</w:t>
      </w:r>
    </w:p>
    <w:p w14:paraId="21AA59A3" w14:textId="77777777" w:rsidR="00222F18" w:rsidRDefault="00F33314" w:rsidP="00304B8A">
      <w:pPr>
        <w:ind w:left="720"/>
        <w:sectPr w:rsidR="00222F18" w:rsidSect="00EB29D4">
          <w:pgSz w:w="11910" w:h="16840"/>
          <w:pgMar w:top="1920" w:right="1000" w:bottom="0" w:left="960" w:header="720" w:footer="720" w:gutter="0"/>
          <w:cols w:space="720"/>
          <w:titlePg/>
        </w:sectPr>
      </w:pPr>
      <w:r>
        <w:rPr>
          <w:noProof/>
        </w:rPr>
        <mc:AlternateContent>
          <mc:Choice Requires="wps">
            <w:drawing>
              <wp:anchor distT="0" distB="0" distL="114300" distR="114300" simplePos="0" relativeHeight="251659264" behindDoc="1" locked="0" layoutInCell="1" allowOverlap="1" wp14:anchorId="07D43B9F" wp14:editId="73FFEA2C">
                <wp:simplePos x="0" y="0"/>
                <wp:positionH relativeFrom="page">
                  <wp:align>right</wp:align>
                </wp:positionH>
                <wp:positionV relativeFrom="paragraph">
                  <wp:posOffset>849630</wp:posOffset>
                </wp:positionV>
                <wp:extent cx="7562850" cy="6527800"/>
                <wp:effectExtent l="0" t="0" r="0" b="6350"/>
                <wp:wrapNone/>
                <wp:docPr id="4" name="Rectangle 4"/>
                <wp:cNvGraphicFramePr/>
                <a:graphic xmlns:a="http://schemas.openxmlformats.org/drawingml/2006/main">
                  <a:graphicData uri="http://schemas.microsoft.com/office/word/2010/wordprocessingShape">
                    <wps:wsp>
                      <wps:cNvSpPr/>
                      <wps:spPr>
                        <a:xfrm>
                          <a:off x="0" y="0"/>
                          <a:ext cx="7562850" cy="652780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E28E6" id="Rectangle 4" o:spid="_x0000_s1026" style="position:absolute;margin-left:544.3pt;margin-top:66.9pt;width:595.5pt;height:514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" fillcolor="#e6e3d9" stroked="f" strokeweight="2pt">
                <w10:wrap anchorx="page"/>
              </v:rect>
            </w:pict>
          </mc:Fallback>
        </mc:AlternateContent>
      </w:r>
      <w:r w:rsidR="009931B3">
        <w:rPr>
          <w:noProof/>
        </w:rPr>
        <mc:AlternateContent>
          <mc:Choice Requires="wps">
            <w:drawing>
              <wp:anchor distT="0" distB="0" distL="114300" distR="114300" simplePos="0" relativeHeight="251657728" behindDoc="0" locked="0" layoutInCell="1" allowOverlap="1" wp14:anchorId="3BC788A7" wp14:editId="70D25372">
                <wp:simplePos x="0" y="0"/>
                <wp:positionH relativeFrom="margin">
                  <wp:align>left</wp:align>
                </wp:positionH>
                <wp:positionV relativeFrom="paragraph">
                  <wp:posOffset>1441450</wp:posOffset>
                </wp:positionV>
                <wp:extent cx="5436870" cy="3067050"/>
                <wp:effectExtent l="0" t="0" r="11430" b="0"/>
                <wp:wrapNone/>
                <wp:docPr id="5" name="docshap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43687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A49B" w14:textId="77777777" w:rsidR="0027069A" w:rsidRPr="006F68F2" w:rsidRDefault="0027069A" w:rsidP="009931B3">
                            <w:pPr>
                              <w:pStyle w:val="BodyText"/>
                              <w:spacing w:before="0" w:after="0"/>
                              <w:rPr>
                                <w:color w:val="auto"/>
                              </w:rPr>
                            </w:pPr>
                            <w:r w:rsidRPr="006F68F2">
                              <w:rPr>
                                <w:color w:val="auto"/>
                              </w:rPr>
                              <w:t>For further information about this submission please contact:</w:t>
                            </w:r>
                          </w:p>
                          <w:p w14:paraId="086E884F" w14:textId="77777777" w:rsidR="0027069A" w:rsidRPr="006F68F2" w:rsidRDefault="0027069A" w:rsidP="009931B3">
                            <w:pPr>
                              <w:pStyle w:val="BodyText"/>
                              <w:spacing w:before="0" w:after="0"/>
                              <w:rPr>
                                <w:color w:val="auto"/>
                              </w:rPr>
                            </w:pPr>
                          </w:p>
                          <w:p w14:paraId="136FE271" w14:textId="77777777" w:rsidR="0027069A" w:rsidRPr="006F68F2" w:rsidRDefault="0027069A" w:rsidP="009931B3">
                            <w:pPr>
                              <w:pStyle w:val="BodyText"/>
                              <w:spacing w:before="0" w:after="0"/>
                              <w:rPr>
                                <w:color w:val="auto"/>
                              </w:rPr>
                            </w:pPr>
                            <w:r w:rsidRPr="006F68F2">
                              <w:rPr>
                                <w:color w:val="auto"/>
                              </w:rPr>
                              <w:t>Rev. Dr Chris Jones</w:t>
                            </w:r>
                          </w:p>
                          <w:p w14:paraId="464ED52E" w14:textId="77777777" w:rsidR="0027069A" w:rsidRPr="006F68F2" w:rsidRDefault="0027069A" w:rsidP="009931B3">
                            <w:pPr>
                              <w:pStyle w:val="BodyText"/>
                              <w:spacing w:before="0" w:after="0"/>
                              <w:rPr>
                                <w:color w:val="auto"/>
                              </w:rPr>
                            </w:pPr>
                            <w:r w:rsidRPr="006F68F2">
                              <w:rPr>
                                <w:color w:val="auto"/>
                              </w:rPr>
                              <w:t>CEO Anglicare Tasmania</w:t>
                            </w:r>
                          </w:p>
                          <w:p w14:paraId="59550E2A" w14:textId="77777777" w:rsidR="0027069A" w:rsidRPr="006F68F2" w:rsidRDefault="0027069A" w:rsidP="009931B3">
                            <w:pPr>
                              <w:pStyle w:val="BodyText"/>
                              <w:spacing w:before="0" w:after="0"/>
                              <w:rPr>
                                <w:color w:val="auto"/>
                              </w:rPr>
                            </w:pPr>
                            <w:r w:rsidRPr="006F68F2">
                              <w:rPr>
                                <w:color w:val="auto"/>
                              </w:rPr>
                              <w:t xml:space="preserve">GPO Box 1620 </w:t>
                            </w:r>
                          </w:p>
                          <w:p w14:paraId="2F0D53E6" w14:textId="77777777" w:rsidR="0027069A" w:rsidRPr="006F68F2" w:rsidRDefault="0027069A" w:rsidP="009931B3">
                            <w:pPr>
                              <w:pStyle w:val="BodyText"/>
                              <w:spacing w:before="0" w:after="0"/>
                              <w:rPr>
                                <w:color w:val="auto"/>
                              </w:rPr>
                            </w:pPr>
                            <w:r w:rsidRPr="006F68F2">
                              <w:rPr>
                                <w:color w:val="auto"/>
                              </w:rPr>
                              <w:t>HOBART TAS 7001</w:t>
                            </w:r>
                          </w:p>
                          <w:p w14:paraId="2D5874F3" w14:textId="77777777" w:rsidR="0027069A" w:rsidRPr="006F68F2" w:rsidRDefault="0027069A" w:rsidP="009931B3">
                            <w:pPr>
                              <w:pStyle w:val="BodyText"/>
                              <w:rPr>
                                <w:color w:val="auto"/>
                              </w:rPr>
                            </w:pPr>
                          </w:p>
                          <w:p w14:paraId="358B5250" w14:textId="77777777" w:rsidR="0027069A" w:rsidRPr="006F68F2" w:rsidRDefault="0027069A" w:rsidP="009931B3">
                            <w:pPr>
                              <w:pStyle w:val="BodyText"/>
                              <w:spacing w:after="0"/>
                              <w:rPr>
                                <w:color w:val="auto"/>
                              </w:rPr>
                            </w:pPr>
                            <w:r w:rsidRPr="006F68F2">
                              <w:rPr>
                                <w:color w:val="auto"/>
                              </w:rPr>
                              <w:t>Phone: (03) 6213 3562</w:t>
                            </w:r>
                          </w:p>
                          <w:p w14:paraId="3CE19E34" w14:textId="77777777" w:rsidR="0027069A" w:rsidRDefault="0027069A" w:rsidP="009931B3">
                            <w:pPr>
                              <w:pStyle w:val="BodyText"/>
                              <w:spacing w:before="0" w:after="0"/>
                            </w:pPr>
                            <w:r w:rsidRPr="006F68F2">
                              <w:rPr>
                                <w:color w:val="auto"/>
                              </w:rPr>
                              <w:t xml:space="preserve">Email:           </w:t>
                            </w:r>
                            <w:hyperlink r:id="rId11" w:history="1">
                              <w:r w:rsidRPr="002650BD">
                                <w:rPr>
                                  <w:rStyle w:val="Hyperlink"/>
                                  <w:rFonts w:ascii="Avenir Next" w:hAnsi="Avenir Next"/>
                                </w:rPr>
                                <w:t>c.jones@anglicare-tas.org.au</w:t>
                              </w:r>
                            </w:hyperlink>
                            <w:r>
                              <w:t xml:space="preserve">    </w:t>
                            </w:r>
                          </w:p>
                          <w:p w14:paraId="367F143F" w14:textId="77777777" w:rsidR="0027069A" w:rsidRPr="006F73D8" w:rsidRDefault="0027069A" w:rsidP="009931B3">
                            <w:pPr>
                              <w:pStyle w:val="BodyText"/>
                              <w:spacing w:before="0" w:after="0"/>
                            </w:pPr>
                            <w:r w:rsidRPr="006F68F2">
                              <w:rPr>
                                <w:color w:val="auto"/>
                              </w:rPr>
                              <w:t xml:space="preserve">Website:      </w:t>
                            </w:r>
                            <w:hyperlink r:id="rId12" w:history="1">
                              <w:r w:rsidRPr="002650BD">
                                <w:rPr>
                                  <w:rStyle w:val="Hyperlink"/>
                                  <w:rFonts w:ascii="Avenir Next" w:hAnsi="Avenir Next"/>
                                </w:rPr>
                                <w:t>www.anglicare-tas.org.au</w:t>
                              </w:r>
                            </w:hyperlink>
                            <w: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788A7" id="docshape3" o:spid="_x0000_s1027" type="#_x0000_t202" style="position:absolute;left:0;text-align:left;margin-left:0;margin-top:113.5pt;width:428.1pt;height:241.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" filled="f" stroked="f">
                <o:lock v:ext="edit" aspectratio="t" verticies="t" text="t" shapetype="t"/>
                <v:textbox inset="0,0,0,0">
                  <w:txbxContent>
                    <w:p w14:paraId="0E23A49B" w14:textId="77777777" w:rsidR="0027069A" w:rsidRPr="006F68F2" w:rsidRDefault="0027069A" w:rsidP="009931B3">
                      <w:pPr>
                        <w:pStyle w:val="BodyText"/>
                        <w:spacing w:before="0" w:after="0"/>
                        <w:rPr>
                          <w:color w:val="auto"/>
                        </w:rPr>
                      </w:pPr>
                      <w:r w:rsidRPr="006F68F2">
                        <w:rPr>
                          <w:color w:val="auto"/>
                        </w:rPr>
                        <w:t>For further information about this submission please contact:</w:t>
                      </w:r>
                    </w:p>
                    <w:p w14:paraId="086E884F" w14:textId="77777777" w:rsidR="0027069A" w:rsidRPr="006F68F2" w:rsidRDefault="0027069A" w:rsidP="009931B3">
                      <w:pPr>
                        <w:pStyle w:val="BodyText"/>
                        <w:spacing w:before="0" w:after="0"/>
                        <w:rPr>
                          <w:color w:val="auto"/>
                        </w:rPr>
                      </w:pPr>
                    </w:p>
                    <w:p w14:paraId="136FE271" w14:textId="77777777" w:rsidR="0027069A" w:rsidRPr="006F68F2" w:rsidRDefault="0027069A" w:rsidP="009931B3">
                      <w:pPr>
                        <w:pStyle w:val="BodyText"/>
                        <w:spacing w:before="0" w:after="0"/>
                        <w:rPr>
                          <w:color w:val="auto"/>
                        </w:rPr>
                      </w:pPr>
                      <w:r w:rsidRPr="006F68F2">
                        <w:rPr>
                          <w:color w:val="auto"/>
                        </w:rPr>
                        <w:t>Rev. Dr Chris Jones</w:t>
                      </w:r>
                    </w:p>
                    <w:p w14:paraId="464ED52E" w14:textId="77777777" w:rsidR="0027069A" w:rsidRPr="006F68F2" w:rsidRDefault="0027069A" w:rsidP="009931B3">
                      <w:pPr>
                        <w:pStyle w:val="BodyText"/>
                        <w:spacing w:before="0" w:after="0"/>
                        <w:rPr>
                          <w:color w:val="auto"/>
                        </w:rPr>
                      </w:pPr>
                      <w:r w:rsidRPr="006F68F2">
                        <w:rPr>
                          <w:color w:val="auto"/>
                        </w:rPr>
                        <w:t>CEO Anglicare Tasmania</w:t>
                      </w:r>
                    </w:p>
                    <w:p w14:paraId="59550E2A" w14:textId="77777777" w:rsidR="0027069A" w:rsidRPr="006F68F2" w:rsidRDefault="0027069A" w:rsidP="009931B3">
                      <w:pPr>
                        <w:pStyle w:val="BodyText"/>
                        <w:spacing w:before="0" w:after="0"/>
                        <w:rPr>
                          <w:color w:val="auto"/>
                        </w:rPr>
                      </w:pPr>
                      <w:r w:rsidRPr="006F68F2">
                        <w:rPr>
                          <w:color w:val="auto"/>
                        </w:rPr>
                        <w:t xml:space="preserve">GPO Box 1620 </w:t>
                      </w:r>
                    </w:p>
                    <w:p w14:paraId="2F0D53E6" w14:textId="77777777" w:rsidR="0027069A" w:rsidRPr="006F68F2" w:rsidRDefault="0027069A" w:rsidP="009931B3">
                      <w:pPr>
                        <w:pStyle w:val="BodyText"/>
                        <w:spacing w:before="0" w:after="0"/>
                        <w:rPr>
                          <w:color w:val="auto"/>
                        </w:rPr>
                      </w:pPr>
                      <w:r w:rsidRPr="006F68F2">
                        <w:rPr>
                          <w:color w:val="auto"/>
                        </w:rPr>
                        <w:t>HOBART TAS 7001</w:t>
                      </w:r>
                    </w:p>
                    <w:p w14:paraId="2D5874F3" w14:textId="77777777" w:rsidR="0027069A" w:rsidRPr="006F68F2" w:rsidRDefault="0027069A" w:rsidP="009931B3">
                      <w:pPr>
                        <w:pStyle w:val="BodyText"/>
                        <w:rPr>
                          <w:color w:val="auto"/>
                        </w:rPr>
                      </w:pPr>
                    </w:p>
                    <w:p w14:paraId="358B5250" w14:textId="77777777" w:rsidR="0027069A" w:rsidRPr="006F68F2" w:rsidRDefault="0027069A" w:rsidP="009931B3">
                      <w:pPr>
                        <w:pStyle w:val="BodyText"/>
                        <w:spacing w:after="0"/>
                        <w:rPr>
                          <w:color w:val="auto"/>
                        </w:rPr>
                      </w:pPr>
                      <w:r w:rsidRPr="006F68F2">
                        <w:rPr>
                          <w:color w:val="auto"/>
                        </w:rPr>
                        <w:t>Phone: (03) 6213 3562</w:t>
                      </w:r>
                    </w:p>
                    <w:p w14:paraId="3CE19E34" w14:textId="77777777" w:rsidR="0027069A" w:rsidRDefault="0027069A" w:rsidP="009931B3">
                      <w:pPr>
                        <w:pStyle w:val="BodyText"/>
                        <w:spacing w:before="0" w:after="0"/>
                      </w:pPr>
                      <w:r w:rsidRPr="006F68F2">
                        <w:rPr>
                          <w:color w:val="auto"/>
                        </w:rPr>
                        <w:t xml:space="preserve">Email:           </w:t>
                      </w:r>
                      <w:hyperlink r:id="rId13" w:history="1">
                        <w:r w:rsidRPr="002650BD">
                          <w:rPr>
                            <w:rStyle w:val="Hyperlink"/>
                            <w:rFonts w:ascii="Avenir Next" w:hAnsi="Avenir Next"/>
                          </w:rPr>
                          <w:t>c.jones@anglicare-tas.org.au</w:t>
                        </w:r>
                      </w:hyperlink>
                      <w:r>
                        <w:t xml:space="preserve">    </w:t>
                      </w:r>
                    </w:p>
                    <w:p w14:paraId="367F143F" w14:textId="77777777" w:rsidR="0027069A" w:rsidRPr="006F73D8" w:rsidRDefault="0027069A" w:rsidP="009931B3">
                      <w:pPr>
                        <w:pStyle w:val="BodyText"/>
                        <w:spacing w:before="0" w:after="0"/>
                      </w:pPr>
                      <w:r w:rsidRPr="006F68F2">
                        <w:rPr>
                          <w:color w:val="auto"/>
                        </w:rPr>
                        <w:t xml:space="preserve">Website:      </w:t>
                      </w:r>
                      <w:hyperlink r:id="rId14" w:history="1">
                        <w:r w:rsidRPr="002650BD">
                          <w:rPr>
                            <w:rStyle w:val="Hyperlink"/>
                            <w:rFonts w:ascii="Avenir Next" w:hAnsi="Avenir Next"/>
                          </w:rPr>
                          <w:t>www.anglicare-tas.org.au</w:t>
                        </w:r>
                      </w:hyperlink>
                      <w:r>
                        <w:t xml:space="preserve"> </w:t>
                      </w:r>
                    </w:p>
                  </w:txbxContent>
                </v:textbox>
                <w10:wrap anchorx="margin"/>
              </v:shape>
            </w:pict>
          </mc:Fallback>
        </mc:AlternateContent>
      </w:r>
    </w:p>
    <w:p w14:paraId="1F3D83B4" w14:textId="77777777" w:rsidR="00CB0836" w:rsidRDefault="00CB0836" w:rsidP="00CB0836">
      <w:pPr>
        <w:pStyle w:val="Heading1"/>
      </w:pPr>
      <w:bookmarkStart w:id="6" w:name="_Toc119324893"/>
      <w:bookmarkStart w:id="7" w:name="_Toc151017018"/>
      <w:bookmarkStart w:id="8" w:name="_Toc118969668"/>
      <w:r>
        <w:lastRenderedPageBreak/>
        <w:t>Our recommendations</w:t>
      </w:r>
      <w:bookmarkEnd w:id="6"/>
      <w:bookmarkEnd w:id="7"/>
    </w:p>
    <w:p w14:paraId="15F260CB" w14:textId="77777777" w:rsidR="00CB0836" w:rsidRPr="00CF2102" w:rsidRDefault="00CB0836" w:rsidP="00CB0836">
      <w:r w:rsidRPr="00CF2102">
        <w:t>Anglicare Tasmania welcomes the opportunity to participate in the community consultation for the 202</w:t>
      </w:r>
      <w:r w:rsidR="00CB56A3">
        <w:t>4-25</w:t>
      </w:r>
      <w:r w:rsidRPr="00CF2102">
        <w:t xml:space="preserve"> State Budget. </w:t>
      </w:r>
    </w:p>
    <w:p w14:paraId="0E77FB67" w14:textId="566EE9DB" w:rsidR="00CB0836" w:rsidRDefault="00CB0836" w:rsidP="00CB0836">
      <w:r w:rsidRPr="00CF2102">
        <w:t>Anglicare Tasmania’s budget priorities come from recent research</w:t>
      </w:r>
      <w:r w:rsidR="00835554">
        <w:t xml:space="preserve"> and </w:t>
      </w:r>
      <w:r w:rsidRPr="00CF2102">
        <w:t>consultation with disadvantaged Tasmanians and the Anglicare frontline team members who work with them</w:t>
      </w:r>
      <w:r>
        <w:t>.</w:t>
      </w:r>
      <w:r w:rsidRPr="00CF2102">
        <w:t xml:space="preserve"> Anglicare encourages</w:t>
      </w:r>
      <w:r>
        <w:t xml:space="preserve"> </w:t>
      </w:r>
      <w:r w:rsidRPr="00CF2102">
        <w:t>the State Government to invest in resources, systems and services that will support Tasmanians to participate fully in shaping their own futures.</w:t>
      </w:r>
    </w:p>
    <w:p w14:paraId="2BF465FA" w14:textId="77777777" w:rsidR="00CB0836" w:rsidRPr="00F70A7C" w:rsidRDefault="00CB56A3" w:rsidP="00CB0836">
      <w:pPr>
        <w:pStyle w:val="NormalWeb"/>
        <w:shd w:val="clear" w:color="auto" w:fill="FFFFFF"/>
        <w:spacing w:before="0" w:beforeAutospacing="0" w:after="150" w:afterAutospacing="0"/>
        <w:rPr>
          <w:rFonts w:ascii="Avenir Next" w:eastAsia="AvenirNext LT Pro Bold" w:hAnsi="Avenir Next" w:cs="AvenirNext LT Pro Bold"/>
          <w:color w:val="575F61"/>
          <w:lang w:val="en-US" w:eastAsia="en-US"/>
        </w:rPr>
      </w:pPr>
      <w:r>
        <w:rPr>
          <w:rFonts w:ascii="Avenir Next" w:eastAsia="AvenirNext LT Pro Bold" w:hAnsi="Avenir Next" w:cs="AvenirNext LT Pro Bold"/>
          <w:color w:val="575F61"/>
          <w:szCs w:val="22"/>
          <w:lang w:val="en-US" w:eastAsia="en-US"/>
        </w:rPr>
        <w:t>This year’s priorities are focused on three areas</w:t>
      </w:r>
      <w:r w:rsidR="00CB0836" w:rsidRPr="00F70A7C">
        <w:rPr>
          <w:rFonts w:ascii="Avenir Next" w:eastAsia="AvenirNext LT Pro Bold" w:hAnsi="Avenir Next" w:cs="AvenirNext LT Pro Bold"/>
          <w:color w:val="575F61"/>
          <w:lang w:val="en-US" w:eastAsia="en-US"/>
        </w:rPr>
        <w:t>:</w:t>
      </w:r>
    </w:p>
    <w:p w14:paraId="59F8ED34" w14:textId="780E533E" w:rsidR="00CB0836" w:rsidRPr="00F70A7C" w:rsidRDefault="00AC7B8D" w:rsidP="005422E5">
      <w:pPr>
        <w:pStyle w:val="Bullets"/>
      </w:pPr>
      <w:r>
        <w:t xml:space="preserve">indexation </w:t>
      </w:r>
      <w:r w:rsidR="00742C66">
        <w:t xml:space="preserve">of funding of community </w:t>
      </w:r>
      <w:r>
        <w:t xml:space="preserve">and housing </w:t>
      </w:r>
      <w:r w:rsidR="00742C66">
        <w:t xml:space="preserve">services </w:t>
      </w:r>
      <w:r>
        <w:t xml:space="preserve">grants </w:t>
      </w:r>
      <w:r w:rsidR="00742C66">
        <w:t xml:space="preserve">to </w:t>
      </w:r>
      <w:r>
        <w:t>maintain delivery of services supporting Tasmanians</w:t>
      </w:r>
    </w:p>
    <w:p w14:paraId="3DB0C55F" w14:textId="589C65D0" w:rsidR="00CB0836" w:rsidRPr="00F70A7C" w:rsidRDefault="00866719" w:rsidP="005422E5">
      <w:pPr>
        <w:pStyle w:val="Bullets"/>
      </w:pPr>
      <w:r>
        <w:t xml:space="preserve">successful implementation of the Housing First </w:t>
      </w:r>
      <w:r w:rsidR="001A1C3E">
        <w:t>approach</w:t>
      </w:r>
    </w:p>
    <w:p w14:paraId="4190B36A" w14:textId="1435D8A9" w:rsidR="00CB0836" w:rsidRDefault="00DA7588" w:rsidP="005422E5">
      <w:pPr>
        <w:pStyle w:val="Bullets"/>
      </w:pPr>
      <w:r>
        <w:t>addressing</w:t>
      </w:r>
      <w:r w:rsidR="00F33314">
        <w:t xml:space="preserve"> selected recommendations from the Commission of Inquiry </w:t>
      </w:r>
      <w:r>
        <w:t xml:space="preserve">into </w:t>
      </w:r>
      <w:r w:rsidR="003A4B9B">
        <w:t xml:space="preserve">the </w:t>
      </w:r>
      <w:r w:rsidRPr="00DA7588">
        <w:t>Tasmanian Government’s Responses to Child Sexual Abuse in Institutional Settings</w:t>
      </w:r>
      <w:r>
        <w:t>.</w:t>
      </w:r>
    </w:p>
    <w:p w14:paraId="673FC48B" w14:textId="6AC82476" w:rsidR="006F68F2" w:rsidRPr="00DE6C31" w:rsidRDefault="00CB0836" w:rsidP="00DE6C31">
      <w:pPr>
        <w:rPr>
          <w:szCs w:val="24"/>
        </w:rPr>
      </w:pPr>
      <w:r>
        <w:rPr>
          <w:noProof/>
        </w:rPr>
        <mc:AlternateContent>
          <mc:Choice Requires="wps">
            <w:drawing>
              <wp:anchor distT="0" distB="0" distL="114300" distR="114300" simplePos="0" relativeHeight="251662336" behindDoc="0" locked="0" layoutInCell="1" allowOverlap="1" wp14:anchorId="4FD82204" wp14:editId="4BB405DB">
                <wp:simplePos x="0" y="0"/>
                <wp:positionH relativeFrom="margin">
                  <wp:posOffset>-6350</wp:posOffset>
                </wp:positionH>
                <wp:positionV relativeFrom="paragraph">
                  <wp:posOffset>2296160</wp:posOffset>
                </wp:positionV>
                <wp:extent cx="6076283" cy="3575050"/>
                <wp:effectExtent l="0" t="0" r="1270" b="6350"/>
                <wp:wrapNone/>
                <wp:docPr id="6" name="docshap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76283" cy="357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D0863" w14:textId="77777777" w:rsidR="007C05FF" w:rsidRDefault="007C05FF" w:rsidP="007C05FF">
                            <w:pPr>
                              <w:pStyle w:val="TitleinText"/>
                              <w:spacing w:before="0"/>
                            </w:pPr>
                            <w:bookmarkStart w:id="9" w:name="_Toc119317240"/>
                            <w:bookmarkStart w:id="10" w:name="_Toc119324579"/>
                            <w:r>
                              <w:t>Recommendation 1: Indexation</w:t>
                            </w:r>
                          </w:p>
                          <w:p w14:paraId="0EC77378" w14:textId="4AC71D40" w:rsidR="007C05FF" w:rsidRDefault="00916DC4" w:rsidP="007C05FF">
                            <w:pPr>
                              <w:pStyle w:val="TitleinText"/>
                              <w:spacing w:before="0"/>
                              <w:rPr>
                                <w:b w:val="0"/>
                              </w:rPr>
                            </w:pPr>
                            <w:r w:rsidRPr="00916DC4">
                              <w:rPr>
                                <w:b w:val="0"/>
                              </w:rPr>
                              <w:t xml:space="preserve">Indexation of Community Services Grants </w:t>
                            </w:r>
                            <w:r>
                              <w:rPr>
                                <w:b w:val="0"/>
                              </w:rPr>
                              <w:t>matches</w:t>
                            </w:r>
                            <w:r w:rsidRPr="00916DC4">
                              <w:rPr>
                                <w:b w:val="0"/>
                              </w:rPr>
                              <w:t xml:space="preserve"> rising costs and </w:t>
                            </w:r>
                            <w:r>
                              <w:rPr>
                                <w:b w:val="0"/>
                              </w:rPr>
                              <w:t xml:space="preserve">is </w:t>
                            </w:r>
                            <w:r w:rsidRPr="00916DC4">
                              <w:rPr>
                                <w:b w:val="0"/>
                              </w:rPr>
                              <w:t>determined by an agreed formula based on 70% WPI and 30% CPI plus any increase in the superannuation guarantee</w:t>
                            </w:r>
                            <w:r w:rsidR="007C05FF">
                              <w:rPr>
                                <w:b w:val="0"/>
                              </w:rPr>
                              <w:t>.</w:t>
                            </w:r>
                          </w:p>
                          <w:p w14:paraId="14A56A3C" w14:textId="77777777" w:rsidR="007C05FF" w:rsidRDefault="007C05FF" w:rsidP="007C05FF">
                            <w:pPr>
                              <w:spacing w:after="0"/>
                              <w:rPr>
                                <w:b/>
                              </w:rPr>
                            </w:pPr>
                            <w:r w:rsidRPr="0027069A">
                              <w:rPr>
                                <w:b/>
                              </w:rPr>
                              <w:t xml:space="preserve">Recommendation 2: </w:t>
                            </w:r>
                            <w:r>
                              <w:rPr>
                                <w:b/>
                              </w:rPr>
                              <w:t>Supported accommodation</w:t>
                            </w:r>
                          </w:p>
                          <w:p w14:paraId="28E94DA6" w14:textId="54797AF4" w:rsidR="007C05FF" w:rsidRPr="0027069A" w:rsidRDefault="00916DC4" w:rsidP="007C05FF">
                            <w:pPr>
                              <w:spacing w:before="0"/>
                            </w:pPr>
                            <w:r w:rsidRPr="00916DC4">
                              <w:t>Funding for supported accommodation is increased and is based on the difference between actual costs of service delivery and the income from residents.</w:t>
                            </w:r>
                          </w:p>
                          <w:p w14:paraId="1954A895" w14:textId="28FCCD64" w:rsidR="007C05FF" w:rsidRDefault="007C05FF" w:rsidP="007C05FF">
                            <w:pPr>
                              <w:pStyle w:val="TitleinText"/>
                              <w:spacing w:before="240"/>
                            </w:pPr>
                            <w:r w:rsidRPr="001020DA">
                              <w:t xml:space="preserve">Recommendation </w:t>
                            </w:r>
                            <w:r>
                              <w:t>3</w:t>
                            </w:r>
                            <w:r w:rsidRPr="001020DA">
                              <w:t>:</w:t>
                            </w:r>
                            <w:r>
                              <w:t xml:space="preserve"> </w:t>
                            </w:r>
                            <w:r w:rsidRPr="008D4928">
                              <w:t>A two-worker model for YouthCare crisis accommodation</w:t>
                            </w:r>
                          </w:p>
                          <w:p w14:paraId="5FD41659" w14:textId="1983E79C" w:rsidR="007C05FF" w:rsidRPr="008D4928" w:rsidRDefault="00962C06" w:rsidP="007C05FF">
                            <w:pPr>
                              <w:pStyle w:val="TitleinText"/>
                              <w:spacing w:before="0"/>
                              <w:rPr>
                                <w:b w:val="0"/>
                              </w:rPr>
                            </w:pPr>
                            <w:r>
                              <w:rPr>
                                <w:b w:val="0"/>
                              </w:rPr>
                              <w:t xml:space="preserve">Fund </w:t>
                            </w:r>
                            <w:r w:rsidR="007C05FF" w:rsidRPr="008D4928">
                              <w:rPr>
                                <w:b w:val="0"/>
                              </w:rPr>
                              <w:t>a two-worker staffing model for the YouthCare program</w:t>
                            </w:r>
                            <w:r w:rsidR="003A4B9B">
                              <w:rPr>
                                <w:b w:val="0"/>
                              </w:rPr>
                              <w:t>,</w:t>
                            </w:r>
                            <w:r w:rsidR="007C05FF" w:rsidRPr="008D4928">
                              <w:rPr>
                                <w:b w:val="0"/>
                              </w:rPr>
                              <w:t xml:space="preserve"> which provides crisis accommodation to males at risk of homelessness aged 13-20 years who have complex needs.</w:t>
                            </w:r>
                          </w:p>
                          <w:p w14:paraId="16F30909" w14:textId="1B94EEEB" w:rsidR="007C05FF" w:rsidRDefault="007C05FF" w:rsidP="007C05FF">
                            <w:pPr>
                              <w:pStyle w:val="TitleinText"/>
                              <w:spacing w:before="240"/>
                            </w:pPr>
                            <w:r w:rsidRPr="001020DA">
                              <w:t xml:space="preserve">Recommendation </w:t>
                            </w:r>
                            <w:r>
                              <w:t>4</w:t>
                            </w:r>
                            <w:r w:rsidRPr="001020DA">
                              <w:t xml:space="preserve">: </w:t>
                            </w:r>
                            <w:r>
                              <w:t>Respectful Relationships Education to prevent abuse</w:t>
                            </w:r>
                          </w:p>
                          <w:p w14:paraId="04AE532C" w14:textId="66AA654C" w:rsidR="007C05FF" w:rsidRDefault="007C05FF" w:rsidP="007C05FF">
                            <w:pPr>
                              <w:pStyle w:val="TitleinText"/>
                              <w:spacing w:before="0"/>
                              <w:rPr>
                                <w:b w:val="0"/>
                              </w:rPr>
                            </w:pPr>
                            <w:r>
                              <w:rPr>
                                <w:b w:val="0"/>
                              </w:rPr>
                              <w:t>Fu</w:t>
                            </w:r>
                            <w:r w:rsidR="00304B8A">
                              <w:rPr>
                                <w:b w:val="0"/>
                              </w:rPr>
                              <w:t>lly fu</w:t>
                            </w:r>
                            <w:r>
                              <w:rPr>
                                <w:b w:val="0"/>
                              </w:rPr>
                              <w:t>ndin</w:t>
                            </w:r>
                            <w:r w:rsidR="00304B8A">
                              <w:rPr>
                                <w:b w:val="0"/>
                              </w:rPr>
                              <w:t xml:space="preserve">g and mandating delivery of </w:t>
                            </w:r>
                            <w:r w:rsidRPr="003A3C21">
                              <w:rPr>
                                <w:b w:val="0"/>
                              </w:rPr>
                              <w:t>trauma-informed, evidence-based Respectful Relationships Education (RRE) that is co</w:t>
                            </w:r>
                            <w:r>
                              <w:rPr>
                                <w:b w:val="0"/>
                              </w:rPr>
                              <w:noBreakHyphen/>
                            </w:r>
                            <w:r w:rsidRPr="003A3C21">
                              <w:rPr>
                                <w:b w:val="0"/>
                              </w:rPr>
                              <w:t xml:space="preserve">designed </w:t>
                            </w:r>
                            <w:r>
                              <w:rPr>
                                <w:b w:val="0"/>
                              </w:rPr>
                              <w:t xml:space="preserve">with </w:t>
                            </w:r>
                            <w:r w:rsidRPr="003A3C21">
                              <w:rPr>
                                <w:b w:val="0"/>
                              </w:rPr>
                              <w:t xml:space="preserve">young people and </w:t>
                            </w:r>
                            <w:r>
                              <w:rPr>
                                <w:b w:val="0"/>
                              </w:rPr>
                              <w:t>delivered K-12 in all schools.</w:t>
                            </w:r>
                          </w:p>
                          <w:p w14:paraId="666A3357" w14:textId="77777777" w:rsidR="007C05FF" w:rsidRDefault="007C05FF" w:rsidP="007C05FF">
                            <w:pPr>
                              <w:pStyle w:val="TitleinText"/>
                              <w:spacing w:before="240"/>
                            </w:pPr>
                            <w:r w:rsidRPr="00A36C83">
                              <w:t>Recommendation 5:</w:t>
                            </w:r>
                            <w:r>
                              <w:t xml:space="preserve"> </w:t>
                            </w:r>
                            <w:r w:rsidRPr="008D4928">
                              <w:t>Supporting Tasmanians living with hoarding</w:t>
                            </w:r>
                            <w:r>
                              <w:t xml:space="preserve"> to maintain tenancies</w:t>
                            </w:r>
                          </w:p>
                          <w:p w14:paraId="134076BC" w14:textId="77D6BD6A" w:rsidR="007C05FF" w:rsidRPr="00DB0A99" w:rsidRDefault="007C05FF" w:rsidP="007C05FF">
                            <w:pPr>
                              <w:pStyle w:val="TitleinText"/>
                              <w:spacing w:before="0"/>
                              <w:rPr>
                                <w:b w:val="0"/>
                              </w:rPr>
                            </w:pPr>
                            <w:r>
                              <w:rPr>
                                <w:b w:val="0"/>
                              </w:rPr>
                              <w:t>$1.</w:t>
                            </w:r>
                            <w:r w:rsidR="00304B8A">
                              <w:rPr>
                                <w:b w:val="0"/>
                              </w:rPr>
                              <w:t>5</w:t>
                            </w:r>
                            <w:r w:rsidR="00D77790">
                              <w:rPr>
                                <w:b w:val="0"/>
                              </w:rPr>
                              <w:t>85</w:t>
                            </w:r>
                            <w:r>
                              <w:rPr>
                                <w:b w:val="0"/>
                              </w:rPr>
                              <w:t xml:space="preserve"> million</w:t>
                            </w:r>
                            <w:r w:rsidR="00304B8A">
                              <w:rPr>
                                <w:b w:val="0"/>
                              </w:rPr>
                              <w:t xml:space="preserve"> over 3 years to </w:t>
                            </w:r>
                            <w:r>
                              <w:rPr>
                                <w:b w:val="0"/>
                              </w:rPr>
                              <w:t xml:space="preserve">pilot a service delivery model </w:t>
                            </w:r>
                            <w:r w:rsidR="00304B8A">
                              <w:rPr>
                                <w:b w:val="0"/>
                              </w:rPr>
                              <w:t>providing</w:t>
                            </w:r>
                            <w:r>
                              <w:rPr>
                                <w:b w:val="0"/>
                              </w:rPr>
                              <w:t xml:space="preserve"> more effective support for </w:t>
                            </w:r>
                            <w:r w:rsidRPr="00EE7499">
                              <w:rPr>
                                <w:b w:val="0"/>
                              </w:rPr>
                              <w:t>Tasmanians living with hoarding</w:t>
                            </w:r>
                            <w:r>
                              <w:rPr>
                                <w:b w:val="0"/>
                              </w:rPr>
                              <w:t>.</w:t>
                            </w:r>
                            <w:r w:rsidRPr="00EE7499">
                              <w:rPr>
                                <w:b w:val="0"/>
                              </w:rPr>
                              <w:t xml:space="preserve"> </w:t>
                            </w:r>
                          </w:p>
                          <w:bookmarkEnd w:id="9"/>
                          <w:bookmarkEnd w:id="10"/>
                          <w:p w14:paraId="66E8A8AB" w14:textId="77777777" w:rsidR="0027069A" w:rsidRDefault="0027069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82204" id="_x0000_s1028" type="#_x0000_t202" style="position:absolute;margin-left:-.5pt;margin-top:180.8pt;width:478.45pt;height:28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" filled="f" stroked="f">
                <o:lock v:ext="edit" aspectratio="t" verticies="t" text="t" shapetype="t"/>
                <v:textbox inset="0,0,0,0">
                  <w:txbxContent>
                    <w:p w14:paraId="02CD0863" w14:textId="77777777" w:rsidR="007C05FF" w:rsidRDefault="007C05FF" w:rsidP="007C05FF">
                      <w:pPr>
                        <w:pStyle w:val="TitleinText"/>
                        <w:spacing w:before="0"/>
                      </w:pPr>
                      <w:bookmarkStart w:id="11" w:name="_Toc119317240"/>
                      <w:bookmarkStart w:id="12" w:name="_Toc119324579"/>
                      <w:r>
                        <w:t>Recommendation 1: Indexation</w:t>
                      </w:r>
                    </w:p>
                    <w:p w14:paraId="0EC77378" w14:textId="4AC71D40" w:rsidR="007C05FF" w:rsidRDefault="00916DC4" w:rsidP="007C05FF">
                      <w:pPr>
                        <w:pStyle w:val="TitleinText"/>
                        <w:spacing w:before="0"/>
                        <w:rPr>
                          <w:b w:val="0"/>
                        </w:rPr>
                      </w:pPr>
                      <w:r w:rsidRPr="00916DC4">
                        <w:rPr>
                          <w:b w:val="0"/>
                        </w:rPr>
                        <w:t xml:space="preserve">Indexation of Community Services Grants </w:t>
                      </w:r>
                      <w:r>
                        <w:rPr>
                          <w:b w:val="0"/>
                        </w:rPr>
                        <w:t>matches</w:t>
                      </w:r>
                      <w:r w:rsidRPr="00916DC4">
                        <w:rPr>
                          <w:b w:val="0"/>
                        </w:rPr>
                        <w:t xml:space="preserve"> rising costs and </w:t>
                      </w:r>
                      <w:r>
                        <w:rPr>
                          <w:b w:val="0"/>
                        </w:rPr>
                        <w:t xml:space="preserve">is </w:t>
                      </w:r>
                      <w:r w:rsidRPr="00916DC4">
                        <w:rPr>
                          <w:b w:val="0"/>
                        </w:rPr>
                        <w:t>determined by an agreed formula based on 70% WPI and 30% CPI plus any increase in the superannuation guarantee</w:t>
                      </w:r>
                      <w:r w:rsidR="007C05FF">
                        <w:rPr>
                          <w:b w:val="0"/>
                        </w:rPr>
                        <w:t>.</w:t>
                      </w:r>
                    </w:p>
                    <w:p w14:paraId="14A56A3C" w14:textId="77777777" w:rsidR="007C05FF" w:rsidRDefault="007C05FF" w:rsidP="007C05FF">
                      <w:pPr>
                        <w:spacing w:after="0"/>
                        <w:rPr>
                          <w:b/>
                        </w:rPr>
                      </w:pPr>
                      <w:r w:rsidRPr="0027069A">
                        <w:rPr>
                          <w:b/>
                        </w:rPr>
                        <w:t xml:space="preserve">Recommendation 2: </w:t>
                      </w:r>
                      <w:r>
                        <w:rPr>
                          <w:b/>
                        </w:rPr>
                        <w:t>Supported accommodation</w:t>
                      </w:r>
                    </w:p>
                    <w:p w14:paraId="28E94DA6" w14:textId="54797AF4" w:rsidR="007C05FF" w:rsidRPr="0027069A" w:rsidRDefault="00916DC4" w:rsidP="007C05FF">
                      <w:pPr>
                        <w:spacing w:before="0"/>
                      </w:pPr>
                      <w:r w:rsidRPr="00916DC4">
                        <w:t>Funding for supported accommodation is increased and is based on the difference between actual costs of service delivery and the income from residents.</w:t>
                      </w:r>
                    </w:p>
                    <w:p w14:paraId="1954A895" w14:textId="28FCCD64" w:rsidR="007C05FF" w:rsidRDefault="007C05FF" w:rsidP="007C05FF">
                      <w:pPr>
                        <w:pStyle w:val="TitleinText"/>
                        <w:spacing w:before="240"/>
                      </w:pPr>
                      <w:r w:rsidRPr="001020DA">
                        <w:t xml:space="preserve">Recommendation </w:t>
                      </w:r>
                      <w:r>
                        <w:t>3</w:t>
                      </w:r>
                      <w:r w:rsidRPr="001020DA">
                        <w:t>:</w:t>
                      </w:r>
                      <w:r>
                        <w:t xml:space="preserve"> </w:t>
                      </w:r>
                      <w:r w:rsidRPr="008D4928">
                        <w:t>A two-worker model for YouthCare crisis accommodation</w:t>
                      </w:r>
                    </w:p>
                    <w:p w14:paraId="5FD41659" w14:textId="1983E79C" w:rsidR="007C05FF" w:rsidRPr="008D4928" w:rsidRDefault="00962C06" w:rsidP="007C05FF">
                      <w:pPr>
                        <w:pStyle w:val="TitleinText"/>
                        <w:spacing w:before="0"/>
                        <w:rPr>
                          <w:b w:val="0"/>
                        </w:rPr>
                      </w:pPr>
                      <w:r>
                        <w:rPr>
                          <w:b w:val="0"/>
                        </w:rPr>
                        <w:t xml:space="preserve">Fund </w:t>
                      </w:r>
                      <w:r w:rsidR="007C05FF" w:rsidRPr="008D4928">
                        <w:rPr>
                          <w:b w:val="0"/>
                        </w:rPr>
                        <w:t>a two-worker staffing model for the YouthCare program</w:t>
                      </w:r>
                      <w:r w:rsidR="003A4B9B">
                        <w:rPr>
                          <w:b w:val="0"/>
                        </w:rPr>
                        <w:t>,</w:t>
                      </w:r>
                      <w:r w:rsidR="007C05FF" w:rsidRPr="008D4928">
                        <w:rPr>
                          <w:b w:val="0"/>
                        </w:rPr>
                        <w:t xml:space="preserve"> which provides crisis accommodation to males at risk of homelessness aged 13-20 years who have complex needs.</w:t>
                      </w:r>
                    </w:p>
                    <w:p w14:paraId="16F30909" w14:textId="1B94EEEB" w:rsidR="007C05FF" w:rsidRDefault="007C05FF" w:rsidP="007C05FF">
                      <w:pPr>
                        <w:pStyle w:val="TitleinText"/>
                        <w:spacing w:before="240"/>
                      </w:pPr>
                      <w:r w:rsidRPr="001020DA">
                        <w:t xml:space="preserve">Recommendation </w:t>
                      </w:r>
                      <w:r>
                        <w:t>4</w:t>
                      </w:r>
                      <w:r w:rsidRPr="001020DA">
                        <w:t xml:space="preserve">: </w:t>
                      </w:r>
                      <w:r>
                        <w:t>Respectful Relationships Education to prevent abuse</w:t>
                      </w:r>
                    </w:p>
                    <w:p w14:paraId="04AE532C" w14:textId="66AA654C" w:rsidR="007C05FF" w:rsidRDefault="007C05FF" w:rsidP="007C05FF">
                      <w:pPr>
                        <w:pStyle w:val="TitleinText"/>
                        <w:spacing w:before="0"/>
                        <w:rPr>
                          <w:b w:val="0"/>
                        </w:rPr>
                      </w:pPr>
                      <w:r>
                        <w:rPr>
                          <w:b w:val="0"/>
                        </w:rPr>
                        <w:t>Fu</w:t>
                      </w:r>
                      <w:r w:rsidR="00304B8A">
                        <w:rPr>
                          <w:b w:val="0"/>
                        </w:rPr>
                        <w:t>lly fu</w:t>
                      </w:r>
                      <w:r>
                        <w:rPr>
                          <w:b w:val="0"/>
                        </w:rPr>
                        <w:t>ndin</w:t>
                      </w:r>
                      <w:r w:rsidR="00304B8A">
                        <w:rPr>
                          <w:b w:val="0"/>
                        </w:rPr>
                        <w:t xml:space="preserve">g and mandating delivery of </w:t>
                      </w:r>
                      <w:r w:rsidRPr="003A3C21">
                        <w:rPr>
                          <w:b w:val="0"/>
                        </w:rPr>
                        <w:t>trauma-informed, evidence-based Respectful Relationships Education (RRE) that is co</w:t>
                      </w:r>
                      <w:r>
                        <w:rPr>
                          <w:b w:val="0"/>
                        </w:rPr>
                        <w:noBreakHyphen/>
                      </w:r>
                      <w:r w:rsidRPr="003A3C21">
                        <w:rPr>
                          <w:b w:val="0"/>
                        </w:rPr>
                        <w:t xml:space="preserve">designed </w:t>
                      </w:r>
                      <w:r>
                        <w:rPr>
                          <w:b w:val="0"/>
                        </w:rPr>
                        <w:t xml:space="preserve">with </w:t>
                      </w:r>
                      <w:r w:rsidRPr="003A3C21">
                        <w:rPr>
                          <w:b w:val="0"/>
                        </w:rPr>
                        <w:t xml:space="preserve">young people and </w:t>
                      </w:r>
                      <w:r>
                        <w:rPr>
                          <w:b w:val="0"/>
                        </w:rPr>
                        <w:t>delivered K-12 in all schools.</w:t>
                      </w:r>
                    </w:p>
                    <w:p w14:paraId="666A3357" w14:textId="77777777" w:rsidR="007C05FF" w:rsidRDefault="007C05FF" w:rsidP="007C05FF">
                      <w:pPr>
                        <w:pStyle w:val="TitleinText"/>
                        <w:spacing w:before="240"/>
                      </w:pPr>
                      <w:r w:rsidRPr="00A36C83">
                        <w:t>Recommendation 5:</w:t>
                      </w:r>
                      <w:r>
                        <w:t xml:space="preserve"> </w:t>
                      </w:r>
                      <w:r w:rsidRPr="008D4928">
                        <w:t>Supporting Tasmanians living with hoarding</w:t>
                      </w:r>
                      <w:r>
                        <w:t xml:space="preserve"> to maintain tenancies</w:t>
                      </w:r>
                    </w:p>
                    <w:p w14:paraId="134076BC" w14:textId="77D6BD6A" w:rsidR="007C05FF" w:rsidRPr="00DB0A99" w:rsidRDefault="007C05FF" w:rsidP="007C05FF">
                      <w:pPr>
                        <w:pStyle w:val="TitleinText"/>
                        <w:spacing w:before="0"/>
                        <w:rPr>
                          <w:b w:val="0"/>
                        </w:rPr>
                      </w:pPr>
                      <w:r>
                        <w:rPr>
                          <w:b w:val="0"/>
                        </w:rPr>
                        <w:t>$1.</w:t>
                      </w:r>
                      <w:r w:rsidR="00304B8A">
                        <w:rPr>
                          <w:b w:val="0"/>
                        </w:rPr>
                        <w:t>5</w:t>
                      </w:r>
                      <w:r w:rsidR="00D77790">
                        <w:rPr>
                          <w:b w:val="0"/>
                        </w:rPr>
                        <w:t>85</w:t>
                      </w:r>
                      <w:r>
                        <w:rPr>
                          <w:b w:val="0"/>
                        </w:rPr>
                        <w:t xml:space="preserve"> million</w:t>
                      </w:r>
                      <w:r w:rsidR="00304B8A">
                        <w:rPr>
                          <w:b w:val="0"/>
                        </w:rPr>
                        <w:t xml:space="preserve"> over 3 years to </w:t>
                      </w:r>
                      <w:r>
                        <w:rPr>
                          <w:b w:val="0"/>
                        </w:rPr>
                        <w:t xml:space="preserve">pilot a service delivery model </w:t>
                      </w:r>
                      <w:r w:rsidR="00304B8A">
                        <w:rPr>
                          <w:b w:val="0"/>
                        </w:rPr>
                        <w:t>providing</w:t>
                      </w:r>
                      <w:r>
                        <w:rPr>
                          <w:b w:val="0"/>
                        </w:rPr>
                        <w:t xml:space="preserve"> more effective support for </w:t>
                      </w:r>
                      <w:r w:rsidRPr="00EE7499">
                        <w:rPr>
                          <w:b w:val="0"/>
                        </w:rPr>
                        <w:t>Tasmanians living with hoarding</w:t>
                      </w:r>
                      <w:r>
                        <w:rPr>
                          <w:b w:val="0"/>
                        </w:rPr>
                        <w:t>.</w:t>
                      </w:r>
                      <w:r w:rsidRPr="00EE7499">
                        <w:rPr>
                          <w:b w:val="0"/>
                        </w:rPr>
                        <w:t xml:space="preserve"> </w:t>
                      </w:r>
                    </w:p>
                    <w:bookmarkEnd w:id="11"/>
                    <w:bookmarkEnd w:id="12"/>
                    <w:p w14:paraId="66E8A8AB" w14:textId="77777777" w:rsidR="0027069A" w:rsidRDefault="0027069A"/>
                  </w:txbxContent>
                </v:textbox>
                <w10:wrap anchorx="margin"/>
              </v:shape>
            </w:pict>
          </mc:Fallback>
        </mc:AlternateContent>
      </w:r>
      <w:r>
        <w:rPr>
          <w:noProof/>
        </w:rPr>
        <mc:AlternateContent>
          <mc:Choice Requires="wps">
            <w:drawing>
              <wp:anchor distT="0" distB="0" distL="114300" distR="114300" simplePos="0" relativeHeight="251661312" behindDoc="1" locked="0" layoutInCell="1" allowOverlap="1" wp14:anchorId="0F99F3BF" wp14:editId="2028A2B5">
                <wp:simplePos x="0" y="0"/>
                <wp:positionH relativeFrom="page">
                  <wp:posOffset>9525</wp:posOffset>
                </wp:positionH>
                <wp:positionV relativeFrom="paragraph">
                  <wp:posOffset>1921511</wp:posOffset>
                </wp:positionV>
                <wp:extent cx="7543800" cy="6356350"/>
                <wp:effectExtent l="0" t="0" r="0" b="6350"/>
                <wp:wrapNone/>
                <wp:docPr id="2" name="Rectangle 2"/>
                <wp:cNvGraphicFramePr/>
                <a:graphic xmlns:a="http://schemas.openxmlformats.org/drawingml/2006/main">
                  <a:graphicData uri="http://schemas.microsoft.com/office/word/2010/wordprocessingShape">
                    <wps:wsp>
                      <wps:cNvSpPr/>
                      <wps:spPr>
                        <a:xfrm>
                          <a:off x="0" y="0"/>
                          <a:ext cx="7543800" cy="635635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085AB5" id="Rectangle 2" o:spid="_x0000_s1026" style="position:absolute;margin-left:.75pt;margin-top:151.3pt;width:594pt;height:500.5pt;z-index:-2516551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" fillcolor="#e6e3d9" stroked="f" strokeweight="2pt">
                <w10:wrap anchorx="page"/>
              </v:rect>
            </w:pict>
          </mc:Fallback>
        </mc:AlternateContent>
      </w:r>
      <w:r w:rsidRPr="00CF2102">
        <w:br w:type="page"/>
      </w:r>
      <w:bookmarkEnd w:id="8"/>
    </w:p>
    <w:p w14:paraId="1463FCF0" w14:textId="38FCF936" w:rsidR="006F68F2" w:rsidRDefault="0027069A" w:rsidP="000B6A0E">
      <w:pPr>
        <w:pStyle w:val="Heading2"/>
      </w:pPr>
      <w:bookmarkStart w:id="13" w:name="_Toc151017019"/>
      <w:r>
        <w:lastRenderedPageBreak/>
        <w:t>Indexation</w:t>
      </w:r>
      <w:bookmarkEnd w:id="13"/>
      <w:r>
        <w:t xml:space="preserve"> </w:t>
      </w:r>
    </w:p>
    <w:p w14:paraId="5AEB4101" w14:textId="73A89A92" w:rsidR="0099484D" w:rsidRDefault="0099484D" w:rsidP="0099484D">
      <w:pPr>
        <w:pStyle w:val="TitleinText"/>
      </w:pPr>
      <w:r>
        <w:t xml:space="preserve">Recommendation 1: </w:t>
      </w:r>
      <w:r w:rsidR="0092529A">
        <w:rPr>
          <w:b w:val="0"/>
        </w:rPr>
        <w:t>Indexation of</w:t>
      </w:r>
      <w:r w:rsidR="004344B0">
        <w:rPr>
          <w:b w:val="0"/>
        </w:rPr>
        <w:t xml:space="preserve"> </w:t>
      </w:r>
      <w:r w:rsidRPr="0099484D">
        <w:rPr>
          <w:b w:val="0"/>
        </w:rPr>
        <w:t xml:space="preserve">Community Services </w:t>
      </w:r>
      <w:r w:rsidR="000E7322">
        <w:rPr>
          <w:b w:val="0"/>
        </w:rPr>
        <w:t xml:space="preserve">Grants </w:t>
      </w:r>
      <w:r w:rsidR="00916DC4">
        <w:rPr>
          <w:b w:val="0"/>
        </w:rPr>
        <w:t>matches</w:t>
      </w:r>
      <w:r w:rsidR="00916DC4" w:rsidRPr="00916DC4">
        <w:rPr>
          <w:b w:val="0"/>
        </w:rPr>
        <w:t xml:space="preserve"> rising costs and </w:t>
      </w:r>
      <w:r w:rsidR="00916DC4">
        <w:rPr>
          <w:b w:val="0"/>
        </w:rPr>
        <w:t xml:space="preserve">is determined </w:t>
      </w:r>
      <w:r w:rsidR="0092529A" w:rsidRPr="00962C06">
        <w:rPr>
          <w:b w:val="0"/>
        </w:rPr>
        <w:t>by an</w:t>
      </w:r>
      <w:r w:rsidRPr="00962C06">
        <w:rPr>
          <w:b w:val="0"/>
        </w:rPr>
        <w:t xml:space="preserve"> agreed formula based on 70% W</w:t>
      </w:r>
      <w:r w:rsidR="00C3735C" w:rsidRPr="00A37B64">
        <w:rPr>
          <w:b w:val="0"/>
        </w:rPr>
        <w:t xml:space="preserve">age </w:t>
      </w:r>
      <w:r w:rsidRPr="00962C06">
        <w:rPr>
          <w:b w:val="0"/>
        </w:rPr>
        <w:t>P</w:t>
      </w:r>
      <w:r w:rsidR="00C3735C" w:rsidRPr="00A37B64">
        <w:rPr>
          <w:b w:val="0"/>
        </w:rPr>
        <w:t xml:space="preserve">rice </w:t>
      </w:r>
      <w:r w:rsidRPr="00962C06">
        <w:rPr>
          <w:b w:val="0"/>
        </w:rPr>
        <w:t>I</w:t>
      </w:r>
      <w:r w:rsidR="00C3735C" w:rsidRPr="00A37B64">
        <w:rPr>
          <w:b w:val="0"/>
        </w:rPr>
        <w:t>ndex</w:t>
      </w:r>
      <w:r w:rsidRPr="00962C06">
        <w:rPr>
          <w:b w:val="0"/>
        </w:rPr>
        <w:t xml:space="preserve"> and 30% C</w:t>
      </w:r>
      <w:r w:rsidR="00C3735C" w:rsidRPr="00A37B64">
        <w:rPr>
          <w:b w:val="0"/>
        </w:rPr>
        <w:t xml:space="preserve">onsumer </w:t>
      </w:r>
      <w:r w:rsidRPr="00962C06">
        <w:rPr>
          <w:b w:val="0"/>
        </w:rPr>
        <w:t>P</w:t>
      </w:r>
      <w:r w:rsidR="00C3735C" w:rsidRPr="00A37B64">
        <w:rPr>
          <w:b w:val="0"/>
        </w:rPr>
        <w:t xml:space="preserve">rice </w:t>
      </w:r>
      <w:r w:rsidRPr="00962C06">
        <w:rPr>
          <w:b w:val="0"/>
        </w:rPr>
        <w:t>I</w:t>
      </w:r>
      <w:r w:rsidR="00C3735C" w:rsidRPr="00A37B64">
        <w:rPr>
          <w:b w:val="0"/>
        </w:rPr>
        <w:t>ndex</w:t>
      </w:r>
      <w:r w:rsidRPr="00962C06">
        <w:rPr>
          <w:b w:val="0"/>
        </w:rPr>
        <w:t xml:space="preserve"> plus any increase in the superannuation guarantee.</w:t>
      </w:r>
    </w:p>
    <w:p w14:paraId="0E299796" w14:textId="77777777" w:rsidR="006F68F2" w:rsidRPr="00562122" w:rsidRDefault="00866719" w:rsidP="006F68F2">
      <w:pPr>
        <w:pStyle w:val="TitleinText"/>
      </w:pPr>
      <w:r>
        <w:t>Why this is a priority</w:t>
      </w:r>
    </w:p>
    <w:p w14:paraId="6CA90F42" w14:textId="4C67FA7E" w:rsidR="006F68F2" w:rsidRDefault="00DF4592" w:rsidP="00CC4E5F">
      <w:r>
        <w:t>I</w:t>
      </w:r>
      <w:r w:rsidR="006F68F2">
        <w:t xml:space="preserve">ncreased funding </w:t>
      </w:r>
      <w:r>
        <w:t>is needed</w:t>
      </w:r>
      <w:r w:rsidR="006F68F2">
        <w:t xml:space="preserve"> to meet the rising cost of delivering </w:t>
      </w:r>
      <w:r w:rsidR="00174A66">
        <w:t>Anglicare Tasmania services</w:t>
      </w:r>
      <w:r w:rsidR="00174A66" w:rsidRPr="00174A66">
        <w:t xml:space="preserve"> </w:t>
      </w:r>
      <w:r w:rsidR="003A4B9B">
        <w:t xml:space="preserve">that </w:t>
      </w:r>
      <w:r w:rsidR="00174A66">
        <w:t>many</w:t>
      </w:r>
      <w:r w:rsidR="003B6F1B">
        <w:t xml:space="preserve"> </w:t>
      </w:r>
      <w:r w:rsidR="00174A66">
        <w:t>Tasmanians rely</w:t>
      </w:r>
      <w:r w:rsidR="003A4B9B">
        <w:t xml:space="preserve"> on</w:t>
      </w:r>
      <w:r w:rsidR="00174A66">
        <w:t xml:space="preserve">. </w:t>
      </w:r>
      <w:r w:rsidR="00CC4E5F" w:rsidRPr="00962C06">
        <w:t>Anglicare Tasmania acknowledges</w:t>
      </w:r>
      <w:r w:rsidR="00CB543E">
        <w:t xml:space="preserve"> and welcomes</w:t>
      </w:r>
      <w:r w:rsidR="00CC4E5F" w:rsidRPr="00962C06">
        <w:t xml:space="preserve"> </w:t>
      </w:r>
      <w:r w:rsidR="00962C06" w:rsidRPr="00A37B64">
        <w:t>the review underway to develop fair and adequate indexation of funding for community services.</w:t>
      </w:r>
      <w:r w:rsidR="00CC4E5F">
        <w:t xml:space="preserve"> </w:t>
      </w:r>
    </w:p>
    <w:p w14:paraId="2CBB58E7" w14:textId="451DDBB1" w:rsidR="006F68F2" w:rsidRPr="00396885" w:rsidRDefault="0099484D" w:rsidP="006F68F2">
      <w:r>
        <w:t xml:space="preserve">In 2023-24, </w:t>
      </w:r>
      <w:r w:rsidR="006F68F2" w:rsidRPr="00396885">
        <w:t xml:space="preserve">Anglicare experienced a funding shortfall </w:t>
      </w:r>
      <w:r w:rsidR="006F68F2" w:rsidRPr="00BD38C5">
        <w:t>of $1.</w:t>
      </w:r>
      <w:r w:rsidR="00DF4592">
        <w:t>7</w:t>
      </w:r>
      <w:r w:rsidR="006F68F2" w:rsidRPr="00BD38C5">
        <w:t xml:space="preserve"> million, which is</w:t>
      </w:r>
      <w:r w:rsidR="006F68F2" w:rsidRPr="00396885">
        <w:t xml:space="preserve"> </w:t>
      </w:r>
      <w:r w:rsidR="006F68F2">
        <w:t xml:space="preserve">the </w:t>
      </w:r>
      <w:r w:rsidR="006F68F2" w:rsidRPr="00396885">
        <w:t xml:space="preserve">equivalent </w:t>
      </w:r>
      <w:r w:rsidR="006F68F2">
        <w:t>of</w:t>
      </w:r>
      <w:r w:rsidR="006F68F2" w:rsidRPr="00396885">
        <w:t xml:space="preserve"> almost 1</w:t>
      </w:r>
      <w:r w:rsidR="00DF4592">
        <w:t>5</w:t>
      </w:r>
      <w:r w:rsidR="006F68F2" w:rsidRPr="00396885">
        <w:t xml:space="preserve"> </w:t>
      </w:r>
      <w:r w:rsidR="006F68F2">
        <w:t>f</w:t>
      </w:r>
      <w:r w:rsidR="006F68F2" w:rsidRPr="00396885">
        <w:t>ull-time jobs.</w:t>
      </w:r>
      <w:r w:rsidR="006E679C">
        <w:t xml:space="preserve"> </w:t>
      </w:r>
      <w:r w:rsidR="0092529A">
        <w:t>Based on current forecasts, Anglicare estimates that indexation of 6.4% will be required in 2024-25 to meet operating costs.</w:t>
      </w:r>
    </w:p>
    <w:p w14:paraId="2A4E6E8F" w14:textId="4C01903C" w:rsidR="006F68F2" w:rsidRDefault="001D0E94" w:rsidP="006F68F2">
      <w:r>
        <w:t>G</w:t>
      </w:r>
      <w:r w:rsidR="006F68F2">
        <w:t xml:space="preserve">rant funding has been indexed at 2.25% in recent years with an additional </w:t>
      </w:r>
      <w:r w:rsidR="00B2628A">
        <w:t xml:space="preserve">1.75% </w:t>
      </w:r>
      <w:r w:rsidR="00913EE5">
        <w:t xml:space="preserve">provided to Anglicare </w:t>
      </w:r>
      <w:r w:rsidR="00B2628A">
        <w:t>in 202</w:t>
      </w:r>
      <w:r w:rsidR="00DF4592">
        <w:t>3-24</w:t>
      </w:r>
      <w:r w:rsidR="006F68F2">
        <w:t xml:space="preserve">. Under stable </w:t>
      </w:r>
      <w:r w:rsidR="00174A66">
        <w:t>economic conditions with</w:t>
      </w:r>
      <w:r w:rsidR="00BE4BB8">
        <w:t xml:space="preserve"> inflation in the target range</w:t>
      </w:r>
      <w:r w:rsidR="00174A66">
        <w:t xml:space="preserve">, </w:t>
      </w:r>
      <w:r w:rsidR="007E386A">
        <w:t xml:space="preserve">this </w:t>
      </w:r>
      <w:r w:rsidR="006F68F2">
        <w:t>indexation</w:t>
      </w:r>
      <w:r w:rsidR="004344B0">
        <w:t xml:space="preserve"> rate</w:t>
      </w:r>
      <w:r w:rsidR="006F68F2">
        <w:t xml:space="preserve"> </w:t>
      </w:r>
      <w:r w:rsidR="00174A66">
        <w:t>is reasonable</w:t>
      </w:r>
      <w:r w:rsidR="006F68F2">
        <w:t xml:space="preserve">. However, </w:t>
      </w:r>
      <w:r w:rsidR="009C3F0F">
        <w:t>we are currently</w:t>
      </w:r>
      <w:r w:rsidR="006F68F2">
        <w:t xml:space="preserve"> in an unstable and challenging environment, characterised by high inflation, structural adjustment </w:t>
      </w:r>
      <w:r w:rsidR="003A4B9B">
        <w:t>(</w:t>
      </w:r>
      <w:r w:rsidR="006F68F2">
        <w:t xml:space="preserve">particularly in </w:t>
      </w:r>
      <w:r w:rsidR="003A4B9B">
        <w:t xml:space="preserve">the </w:t>
      </w:r>
      <w:r w:rsidR="006F68F2">
        <w:t>energy market</w:t>
      </w:r>
      <w:r w:rsidR="003A4B9B">
        <w:t>)</w:t>
      </w:r>
      <w:r w:rsidR="006F68F2">
        <w:t>, a tight labour market, and unstable equity mark</w:t>
      </w:r>
      <w:r w:rsidR="00BE4BB8">
        <w:t xml:space="preserve">ets. </w:t>
      </w:r>
      <w:r w:rsidR="00174A66">
        <w:t>An</w:t>
      </w:r>
      <w:r w:rsidR="00BE4BB8">
        <w:t xml:space="preserve"> indexation formula that is responsive to macroeconomic fluctuations and aligned with community sector costs </w:t>
      </w:r>
      <w:r w:rsidR="00174A66">
        <w:t xml:space="preserve">would provide certainty for community service providers, the </w:t>
      </w:r>
      <w:r w:rsidR="00C3735C">
        <w:t>State G</w:t>
      </w:r>
      <w:r w:rsidR="00174A66">
        <w:t>overnment</w:t>
      </w:r>
      <w:r w:rsidR="000E7322">
        <w:t>,</w:t>
      </w:r>
      <w:r w:rsidR="00174A66">
        <w:t xml:space="preserve"> and the Tasmanians they serve</w:t>
      </w:r>
      <w:r w:rsidR="00BE4BB8">
        <w:t>.</w:t>
      </w:r>
    </w:p>
    <w:p w14:paraId="1DF43938" w14:textId="77777777" w:rsidR="006F68F2" w:rsidRDefault="006F68F2" w:rsidP="006F68F2">
      <w:pPr>
        <w:pStyle w:val="TitleinText"/>
      </w:pPr>
      <w:r>
        <w:t>Key issues</w:t>
      </w:r>
    </w:p>
    <w:p w14:paraId="3D43E7F2" w14:textId="77777777" w:rsidR="006F68F2" w:rsidRPr="00D64E68" w:rsidRDefault="006F68F2" w:rsidP="005422E5">
      <w:pPr>
        <w:pStyle w:val="Bullets"/>
        <w:rPr>
          <w:rStyle w:val="SubtleEmphasis"/>
          <w:i w:val="0"/>
        </w:rPr>
      </w:pPr>
      <w:r w:rsidRPr="00D64E68">
        <w:rPr>
          <w:rStyle w:val="SubtleEmphasis"/>
        </w:rPr>
        <w:t xml:space="preserve">Labour costs </w:t>
      </w:r>
    </w:p>
    <w:p w14:paraId="7125F724" w14:textId="77777777" w:rsidR="006F68F2" w:rsidRDefault="006F68F2" w:rsidP="00CC4E5F">
      <w:pPr>
        <w:ind w:left="284"/>
      </w:pPr>
      <w:r>
        <w:t xml:space="preserve">Labour costs </w:t>
      </w:r>
      <w:r w:rsidRPr="00996A4F">
        <w:t xml:space="preserve">account for </w:t>
      </w:r>
      <w:r w:rsidR="003C5FA6">
        <w:t>77</w:t>
      </w:r>
      <w:r w:rsidRPr="00996A4F">
        <w:t>% of the cost of Anglicare’s service provision. In 20</w:t>
      </w:r>
      <w:r w:rsidR="00B2628A">
        <w:t>2</w:t>
      </w:r>
      <w:r w:rsidR="006E679C">
        <w:t>3-24</w:t>
      </w:r>
      <w:r w:rsidRPr="00996A4F">
        <w:t xml:space="preserve">, Anglicare experienced a </w:t>
      </w:r>
      <w:r w:rsidR="003C5FA6">
        <w:t>6.25</w:t>
      </w:r>
      <w:r w:rsidRPr="00996A4F">
        <w:t xml:space="preserve">% increase in labour costs across its service contracts due to wage growth of </w:t>
      </w:r>
      <w:r w:rsidR="003C5FA6">
        <w:t>5.75</w:t>
      </w:r>
      <w:r w:rsidRPr="00996A4F">
        <w:t>% and an increase of 0.5% in the superannuation contribution guarantee.</w:t>
      </w:r>
    </w:p>
    <w:p w14:paraId="5887242D" w14:textId="77777777" w:rsidR="006F68F2" w:rsidRPr="00D64E68" w:rsidRDefault="006F68F2" w:rsidP="005422E5">
      <w:pPr>
        <w:pStyle w:val="Bullets"/>
        <w:rPr>
          <w:rStyle w:val="SubtleEmphasis"/>
          <w:i w:val="0"/>
        </w:rPr>
      </w:pPr>
      <w:r w:rsidRPr="00D64E68">
        <w:rPr>
          <w:rStyle w:val="SubtleEmphasis"/>
        </w:rPr>
        <w:t xml:space="preserve">Non-labour costs </w:t>
      </w:r>
    </w:p>
    <w:p w14:paraId="5383B52D" w14:textId="2C99280F" w:rsidR="006F68F2" w:rsidRPr="00996A4F" w:rsidRDefault="006F68F2" w:rsidP="00913EE5">
      <w:pPr>
        <w:ind w:left="284"/>
      </w:pPr>
      <w:r w:rsidRPr="00996A4F">
        <w:t xml:space="preserve">In </w:t>
      </w:r>
      <w:r w:rsidR="003C5FA6">
        <w:t>202</w:t>
      </w:r>
      <w:r w:rsidR="00913EE5">
        <w:t>2</w:t>
      </w:r>
      <w:r w:rsidR="00B2628A">
        <w:t>-23</w:t>
      </w:r>
      <w:r w:rsidRPr="00996A4F">
        <w:t xml:space="preserve">, </w:t>
      </w:r>
      <w:r w:rsidR="00964008">
        <w:t>inflation was at 6-7%</w:t>
      </w:r>
      <w:r w:rsidR="004344B0">
        <w:t xml:space="preserve"> pa</w:t>
      </w:r>
      <w:r w:rsidR="00964008">
        <w:t xml:space="preserve"> for much of the year with </w:t>
      </w:r>
      <w:r w:rsidR="00DF4592">
        <w:t>annual growth in CPI</w:t>
      </w:r>
      <w:r w:rsidR="00B2628A">
        <w:t xml:space="preserve"> reach</w:t>
      </w:r>
      <w:r w:rsidR="00913EE5">
        <w:t>ing</w:t>
      </w:r>
      <w:r w:rsidR="00B2628A">
        <w:t xml:space="preserve"> a peak of 7.9% in </w:t>
      </w:r>
      <w:r w:rsidR="00DF4592">
        <w:t xml:space="preserve">the </w:t>
      </w:r>
      <w:r w:rsidR="00B2628A">
        <w:t xml:space="preserve">December quarter </w:t>
      </w:r>
      <w:r w:rsidR="00DF4592">
        <w:t xml:space="preserve">of </w:t>
      </w:r>
      <w:r w:rsidR="00B2628A">
        <w:t>2022</w:t>
      </w:r>
      <w:r w:rsidR="00DF4592">
        <w:t xml:space="preserve">. </w:t>
      </w:r>
      <w:r w:rsidR="00913EE5">
        <w:t xml:space="preserve">Although inflation is </w:t>
      </w:r>
      <w:r w:rsidR="00CC4E5F">
        <w:t xml:space="preserve">now </w:t>
      </w:r>
      <w:r w:rsidR="00913EE5">
        <w:t>sitting between 5-6%, it is still well above the 2-3% target range.</w:t>
      </w:r>
    </w:p>
    <w:p w14:paraId="7ECA6F96" w14:textId="77777777" w:rsidR="006F68F2" w:rsidRPr="00D64E68" w:rsidRDefault="006F68F2" w:rsidP="005422E5">
      <w:pPr>
        <w:pStyle w:val="Bullets"/>
        <w:rPr>
          <w:rStyle w:val="SubtleEmphasis"/>
          <w:i w:val="0"/>
        </w:rPr>
      </w:pPr>
      <w:r w:rsidRPr="00D64E68">
        <w:rPr>
          <w:rStyle w:val="SubtleEmphasis"/>
        </w:rPr>
        <w:t xml:space="preserve">Key costs </w:t>
      </w:r>
      <w:r w:rsidR="006E679C">
        <w:rPr>
          <w:rStyle w:val="SubtleEmphasis"/>
        </w:rPr>
        <w:t>are rising</w:t>
      </w:r>
      <w:r w:rsidRPr="00D64E68">
        <w:rPr>
          <w:rStyle w:val="SubtleEmphasis"/>
        </w:rPr>
        <w:t xml:space="preserve"> by more than CPI</w:t>
      </w:r>
    </w:p>
    <w:p w14:paraId="3727D171" w14:textId="77777777" w:rsidR="006F68F2" w:rsidRDefault="00BE4BB8" w:rsidP="00CC4E5F">
      <w:pPr>
        <w:ind w:left="284"/>
      </w:pPr>
      <w:r>
        <w:t>T</w:t>
      </w:r>
      <w:r w:rsidR="006F68F2">
        <w:t xml:space="preserve">hree major costs </w:t>
      </w:r>
      <w:r w:rsidR="00CC4E5F">
        <w:t xml:space="preserve">for Anglicare </w:t>
      </w:r>
      <w:r w:rsidR="006F68F2">
        <w:t xml:space="preserve">are </w:t>
      </w:r>
      <w:r w:rsidR="0027069A">
        <w:t>rising</w:t>
      </w:r>
      <w:r w:rsidR="006F68F2">
        <w:t xml:space="preserve"> by more than CPI</w:t>
      </w:r>
      <w:r w:rsidR="00CC4E5F">
        <w:t>.</w:t>
      </w:r>
      <w:r w:rsidR="00CC4E5F" w:rsidRPr="00CC4E5F">
        <w:t xml:space="preserve"> </w:t>
      </w:r>
      <w:r w:rsidR="00CC4E5F">
        <w:t>These costs disproportionately impact Anglicare’s supported accommodation facilities (see Recommendation 2):</w:t>
      </w:r>
    </w:p>
    <w:p w14:paraId="0D9AB0F3" w14:textId="73072D2E" w:rsidR="00174A66" w:rsidRDefault="006F68F2" w:rsidP="005422E5">
      <w:pPr>
        <w:pStyle w:val="Bullets"/>
        <w:numPr>
          <w:ilvl w:val="0"/>
          <w:numId w:val="0"/>
        </w:numPr>
        <w:ind w:left="720"/>
      </w:pPr>
      <w:r w:rsidRPr="00835554">
        <w:rPr>
          <w:rStyle w:val="IntenseEmphasis"/>
        </w:rPr>
        <w:t>Electricity and energy costs</w:t>
      </w:r>
      <w:r w:rsidRPr="00996A4F">
        <w:t xml:space="preserve"> </w:t>
      </w:r>
      <w:r w:rsidR="00B86A4B">
        <w:t>are rising (</w:t>
      </w:r>
      <w:r w:rsidR="004344B0">
        <w:t xml:space="preserve">tariffs </w:t>
      </w:r>
      <w:r w:rsidR="00962C06">
        <w:t xml:space="preserve">will rise </w:t>
      </w:r>
      <w:r w:rsidR="00B86A4B">
        <w:t>by 43% from December 202</w:t>
      </w:r>
      <w:r w:rsidR="0092529A">
        <w:t>3</w:t>
      </w:r>
      <w:r w:rsidR="00B86A4B">
        <w:t xml:space="preserve">) </w:t>
      </w:r>
      <w:r w:rsidRPr="00996A4F">
        <w:t>partly due to global supply limitations and the transition to renewables.</w:t>
      </w:r>
      <w:r w:rsidR="006E679C">
        <w:t xml:space="preserve"> </w:t>
      </w:r>
    </w:p>
    <w:p w14:paraId="0283060A" w14:textId="77777777" w:rsidR="006E679C" w:rsidRPr="006E679C" w:rsidRDefault="00964008" w:rsidP="005422E5">
      <w:pPr>
        <w:pStyle w:val="Bullets"/>
        <w:numPr>
          <w:ilvl w:val="0"/>
          <w:numId w:val="0"/>
        </w:numPr>
        <w:ind w:left="720"/>
        <w:rPr>
          <w:iCs/>
        </w:rPr>
      </w:pPr>
      <w:r w:rsidRPr="00835554">
        <w:rPr>
          <w:rStyle w:val="IntenseEmphasis"/>
        </w:rPr>
        <w:t>Food prices</w:t>
      </w:r>
      <w:r w:rsidR="006E679C">
        <w:rPr>
          <w:rStyle w:val="IntenseEmphasis"/>
          <w:b/>
        </w:rPr>
        <w:t xml:space="preserve"> </w:t>
      </w:r>
      <w:r w:rsidRPr="00964008">
        <w:t>and th</w:t>
      </w:r>
      <w:r>
        <w:t xml:space="preserve">e cost of </w:t>
      </w:r>
      <w:r w:rsidR="0099484D">
        <w:t xml:space="preserve">catering supplies </w:t>
      </w:r>
      <w:r w:rsidR="006E679C" w:rsidRPr="00964008">
        <w:rPr>
          <w:iCs/>
        </w:rPr>
        <w:t>have</w:t>
      </w:r>
      <w:r w:rsidR="006E679C" w:rsidRPr="006E679C">
        <w:rPr>
          <w:iCs/>
        </w:rPr>
        <w:t xml:space="preserve"> risen by 7-8%</w:t>
      </w:r>
      <w:r w:rsidR="00BE4BB8">
        <w:rPr>
          <w:iCs/>
        </w:rPr>
        <w:t>.</w:t>
      </w:r>
    </w:p>
    <w:p w14:paraId="778B641A" w14:textId="77777777" w:rsidR="00CC4E5F" w:rsidRDefault="006F68F2" w:rsidP="005422E5">
      <w:pPr>
        <w:pStyle w:val="Bullets"/>
        <w:numPr>
          <w:ilvl w:val="0"/>
          <w:numId w:val="0"/>
        </w:numPr>
        <w:ind w:left="720"/>
      </w:pPr>
      <w:r w:rsidRPr="00835554">
        <w:rPr>
          <w:rStyle w:val="IntenseEmphasis"/>
        </w:rPr>
        <w:t>Insurance premiums</w:t>
      </w:r>
      <w:r w:rsidRPr="00996A4F">
        <w:t xml:space="preserve"> </w:t>
      </w:r>
      <w:r w:rsidR="0099484D">
        <w:t>rose by 14.2% in 2023-24 (June Quarter, ABS) and have continued to rise in 2023-24.</w:t>
      </w:r>
    </w:p>
    <w:p w14:paraId="398C3BAC" w14:textId="77777777" w:rsidR="006F68F2" w:rsidRPr="00835554" w:rsidRDefault="006F68F2" w:rsidP="005422E5">
      <w:pPr>
        <w:pStyle w:val="Bullets"/>
        <w:rPr>
          <w:rStyle w:val="SubtleEmphasis"/>
        </w:rPr>
      </w:pPr>
      <w:r w:rsidRPr="00835554">
        <w:rPr>
          <w:rStyle w:val="SubtleEmphasis"/>
        </w:rPr>
        <w:t xml:space="preserve">Unstable equity markets </w:t>
      </w:r>
    </w:p>
    <w:p w14:paraId="53DA1A90" w14:textId="7BA4892E" w:rsidR="006F68F2" w:rsidRDefault="006F68F2" w:rsidP="006F68F2">
      <w:pPr>
        <w:ind w:left="284"/>
      </w:pPr>
      <w:r>
        <w:t>Concurrent instability in investment markets</w:t>
      </w:r>
      <w:r w:rsidR="006E679C">
        <w:t xml:space="preserve"> due to factors such as geopolitical unrest</w:t>
      </w:r>
      <w:r w:rsidR="003A4B9B">
        <w:t xml:space="preserve"> and</w:t>
      </w:r>
      <w:r w:rsidR="006E679C">
        <w:t xml:space="preserve"> climate change</w:t>
      </w:r>
      <w:r>
        <w:t xml:space="preserve"> reduces Anglicare Tasmania’s capacity to meet funding shortfalls from sources other than grant funding.</w:t>
      </w:r>
    </w:p>
    <w:p w14:paraId="7139E16C" w14:textId="77777777" w:rsidR="00B86A4B" w:rsidRDefault="006F68F2" w:rsidP="005422E5">
      <w:pPr>
        <w:pStyle w:val="Bullets"/>
        <w:numPr>
          <w:ilvl w:val="0"/>
          <w:numId w:val="0"/>
        </w:numPr>
      </w:pPr>
      <w:r w:rsidRPr="00CC4E5F">
        <w:t>Additional supporting information in relation to this recommendation is available on request</w:t>
      </w:r>
      <w:r w:rsidRPr="00C715DB">
        <w:t>.</w:t>
      </w:r>
    </w:p>
    <w:p w14:paraId="5489E7A4" w14:textId="77777777" w:rsidR="007D1B09" w:rsidRDefault="00174A66" w:rsidP="000B6A0E">
      <w:pPr>
        <w:pStyle w:val="Heading2"/>
      </w:pPr>
      <w:bookmarkStart w:id="14" w:name="_Toc151017020"/>
      <w:r w:rsidRPr="0088735F">
        <w:lastRenderedPageBreak/>
        <w:t xml:space="preserve">Supported </w:t>
      </w:r>
      <w:r w:rsidR="0088735F">
        <w:t>accommodation</w:t>
      </w:r>
      <w:bookmarkEnd w:id="14"/>
    </w:p>
    <w:p w14:paraId="49885EB6" w14:textId="492F6557" w:rsidR="007D1B09" w:rsidRDefault="007D1B09" w:rsidP="007D1B09">
      <w:pPr>
        <w:pStyle w:val="TitleinText"/>
        <w:rPr>
          <w:b w:val="0"/>
        </w:rPr>
      </w:pPr>
      <w:r w:rsidRPr="00835554">
        <w:t>Recommendation 2:</w:t>
      </w:r>
      <w:r>
        <w:rPr>
          <w:rStyle w:val="IntenseEmphasis"/>
          <w:i w:val="0"/>
          <w:iCs w:val="0"/>
          <w:color w:val="575F61"/>
        </w:rPr>
        <w:t xml:space="preserve"> </w:t>
      </w:r>
      <w:r w:rsidR="00916DC4">
        <w:rPr>
          <w:b w:val="0"/>
        </w:rPr>
        <w:t xml:space="preserve">Funding </w:t>
      </w:r>
      <w:r w:rsidR="00905E58">
        <w:rPr>
          <w:b w:val="0"/>
        </w:rPr>
        <w:t>for supported accommodation</w:t>
      </w:r>
      <w:r w:rsidR="00DC39B0">
        <w:rPr>
          <w:b w:val="0"/>
        </w:rPr>
        <w:t xml:space="preserve"> is </w:t>
      </w:r>
      <w:r w:rsidR="0092529A">
        <w:rPr>
          <w:b w:val="0"/>
        </w:rPr>
        <w:t xml:space="preserve">increased and is </w:t>
      </w:r>
      <w:r w:rsidR="00DC39B0">
        <w:rPr>
          <w:b w:val="0"/>
        </w:rPr>
        <w:t xml:space="preserve">based on the difference between </w:t>
      </w:r>
      <w:r w:rsidR="00905E58">
        <w:rPr>
          <w:b w:val="0"/>
        </w:rPr>
        <w:t>actual</w:t>
      </w:r>
      <w:r w:rsidR="00DC39B0">
        <w:rPr>
          <w:b w:val="0"/>
        </w:rPr>
        <w:t xml:space="preserve"> costs </w:t>
      </w:r>
      <w:r w:rsidR="00905E58">
        <w:rPr>
          <w:b w:val="0"/>
        </w:rPr>
        <w:t xml:space="preserve">of service delivery </w:t>
      </w:r>
      <w:r w:rsidR="00DC39B0">
        <w:rPr>
          <w:b w:val="0"/>
        </w:rPr>
        <w:t xml:space="preserve">and </w:t>
      </w:r>
      <w:r w:rsidR="00905E58">
        <w:rPr>
          <w:b w:val="0"/>
        </w:rPr>
        <w:t xml:space="preserve">the </w:t>
      </w:r>
      <w:r w:rsidR="00DC39B0">
        <w:rPr>
          <w:b w:val="0"/>
        </w:rPr>
        <w:t>income from residents.</w:t>
      </w:r>
    </w:p>
    <w:p w14:paraId="0FA647AF" w14:textId="77777777" w:rsidR="008916E0" w:rsidRPr="008916E0" w:rsidRDefault="00CC4E5F" w:rsidP="007D1B09">
      <w:pPr>
        <w:pStyle w:val="TitleinText"/>
      </w:pPr>
      <w:r>
        <w:t>Why this is a priority</w:t>
      </w:r>
    </w:p>
    <w:p w14:paraId="7743BA52" w14:textId="28EF8F42" w:rsidR="00DC39B0" w:rsidRDefault="007C7197" w:rsidP="007763C1">
      <w:pPr>
        <w:pStyle w:val="TitleinText"/>
        <w:rPr>
          <w:b w:val="0"/>
        </w:rPr>
      </w:pPr>
      <w:r>
        <w:rPr>
          <w:b w:val="0"/>
        </w:rPr>
        <w:t xml:space="preserve">Supported accommodation for </w:t>
      </w:r>
      <w:r w:rsidR="002634DC">
        <w:rPr>
          <w:b w:val="0"/>
        </w:rPr>
        <w:t xml:space="preserve">vulnerable </w:t>
      </w:r>
      <w:r>
        <w:rPr>
          <w:b w:val="0"/>
        </w:rPr>
        <w:t xml:space="preserve">Tasmanians </w:t>
      </w:r>
      <w:r w:rsidR="002634DC">
        <w:rPr>
          <w:b w:val="0"/>
        </w:rPr>
        <w:t xml:space="preserve">is an important </w:t>
      </w:r>
      <w:r>
        <w:rPr>
          <w:b w:val="0"/>
        </w:rPr>
        <w:t xml:space="preserve">component of the </w:t>
      </w:r>
      <w:r w:rsidR="003A4B9B">
        <w:rPr>
          <w:b w:val="0"/>
        </w:rPr>
        <w:t>s</w:t>
      </w:r>
      <w:r>
        <w:rPr>
          <w:b w:val="0"/>
        </w:rPr>
        <w:t xml:space="preserve">tate’s housing system </w:t>
      </w:r>
      <w:r w:rsidR="003A4B9B">
        <w:rPr>
          <w:b w:val="0"/>
        </w:rPr>
        <w:t xml:space="preserve">and </w:t>
      </w:r>
      <w:r w:rsidR="002634DC">
        <w:rPr>
          <w:b w:val="0"/>
        </w:rPr>
        <w:t>key to</w:t>
      </w:r>
      <w:r>
        <w:rPr>
          <w:b w:val="0"/>
        </w:rPr>
        <w:t xml:space="preserve"> successful implementation of a Housing First approach. </w:t>
      </w:r>
    </w:p>
    <w:p w14:paraId="4425DEB9" w14:textId="095799E4" w:rsidR="007763C1" w:rsidRPr="007763C1" w:rsidRDefault="007C7197" w:rsidP="007763C1">
      <w:pPr>
        <w:pStyle w:val="TitleinText"/>
        <w:rPr>
          <w:b w:val="0"/>
        </w:rPr>
      </w:pPr>
      <w:r>
        <w:rPr>
          <w:b w:val="0"/>
        </w:rPr>
        <w:t>Anglicare operates a range of supported accommodation facilities</w:t>
      </w:r>
      <w:r w:rsidR="002634DC">
        <w:rPr>
          <w:b w:val="0"/>
        </w:rPr>
        <w:t xml:space="preserve"> state-wide </w:t>
      </w:r>
      <w:r w:rsidR="007763C1" w:rsidRPr="007763C1">
        <w:rPr>
          <w:b w:val="0"/>
        </w:rPr>
        <w:t>to meet the needs of many vulnerable Tasmanians</w:t>
      </w:r>
      <w:r w:rsidR="007763C1">
        <w:rPr>
          <w:b w:val="0"/>
        </w:rPr>
        <w:t xml:space="preserve">, including those who are </w:t>
      </w:r>
    </w:p>
    <w:p w14:paraId="7BDE360C" w14:textId="00B77B2D" w:rsidR="007763C1" w:rsidRPr="007763C1" w:rsidRDefault="007763C1" w:rsidP="005422E5">
      <w:pPr>
        <w:pStyle w:val="Bullets"/>
      </w:pPr>
      <w:r w:rsidRPr="007763C1">
        <w:t xml:space="preserve">homeless or at risk of homelessness </w:t>
      </w:r>
    </w:p>
    <w:p w14:paraId="16CC5835" w14:textId="77777777" w:rsidR="007763C1" w:rsidRPr="007763C1" w:rsidRDefault="007763C1" w:rsidP="005422E5">
      <w:pPr>
        <w:pStyle w:val="Bullets"/>
      </w:pPr>
      <w:r w:rsidRPr="007763C1">
        <w:t>unaccompanied children who are homeless or at risk of homelessness</w:t>
      </w:r>
    </w:p>
    <w:p w14:paraId="3860A7D2" w14:textId="77777777" w:rsidR="007763C1" w:rsidRPr="007763C1" w:rsidRDefault="007763C1" w:rsidP="005422E5">
      <w:pPr>
        <w:pStyle w:val="Bullets"/>
      </w:pPr>
      <w:r w:rsidRPr="007763C1">
        <w:t>unable to maintain a tenancy in their own right</w:t>
      </w:r>
    </w:p>
    <w:p w14:paraId="6F12F076" w14:textId="322FDA6E" w:rsidR="00CC4E5F" w:rsidRDefault="007763C1" w:rsidP="005422E5">
      <w:pPr>
        <w:pStyle w:val="Bullets"/>
        <w:rPr>
          <w:b/>
        </w:rPr>
      </w:pPr>
      <w:r w:rsidRPr="007763C1">
        <w:t>in need of</w:t>
      </w:r>
      <w:r w:rsidR="00EC404B">
        <w:t xml:space="preserve"> low to moderate </w:t>
      </w:r>
      <w:r w:rsidRPr="007763C1">
        <w:t>level personal or living support not provided in social housing or private accommodation</w:t>
      </w:r>
      <w:r w:rsidR="003A4B9B">
        <w:t>.</w:t>
      </w:r>
    </w:p>
    <w:p w14:paraId="6C68B998" w14:textId="0C48A380" w:rsidR="00905E58" w:rsidRDefault="000D4185" w:rsidP="00A1784D">
      <w:pPr>
        <w:pStyle w:val="TitleinText"/>
        <w:rPr>
          <w:b w:val="0"/>
        </w:rPr>
      </w:pPr>
      <w:r>
        <w:rPr>
          <w:b w:val="0"/>
        </w:rPr>
        <w:t xml:space="preserve">In 2023-24, Anglicare’s supported accommodation is projected to have a funding shortfall </w:t>
      </w:r>
      <w:r w:rsidR="004D3267">
        <w:rPr>
          <w:b w:val="0"/>
        </w:rPr>
        <w:t>due to rising costs</w:t>
      </w:r>
      <w:r w:rsidR="00962C06">
        <w:rPr>
          <w:b w:val="0"/>
        </w:rPr>
        <w:t>.</w:t>
      </w:r>
    </w:p>
    <w:p w14:paraId="44C1C156" w14:textId="77777777" w:rsidR="000D4185" w:rsidRDefault="000D4185" w:rsidP="00A7164F">
      <w:pPr>
        <w:pStyle w:val="TitleinText"/>
      </w:pPr>
      <w:r>
        <w:t>Key issues</w:t>
      </w:r>
    </w:p>
    <w:p w14:paraId="4D657A2B" w14:textId="4B371285" w:rsidR="003378EE" w:rsidRDefault="003378EE" w:rsidP="005422E5">
      <w:pPr>
        <w:pStyle w:val="Bullets"/>
      </w:pPr>
      <w:r>
        <w:t>In past years, the increase in real wages has exceeded indexation</w:t>
      </w:r>
      <w:r w:rsidR="004106DA">
        <w:t>.</w:t>
      </w:r>
    </w:p>
    <w:p w14:paraId="490CAD92" w14:textId="3E0CEB92" w:rsidR="00002219" w:rsidRPr="00002219" w:rsidRDefault="004106DA" w:rsidP="003E34EC">
      <w:pPr>
        <w:pStyle w:val="Bullets"/>
      </w:pPr>
      <w:r>
        <w:t>C</w:t>
      </w:r>
      <w:r w:rsidR="00002219">
        <w:t xml:space="preserve">atering costs </w:t>
      </w:r>
      <w:r w:rsidR="00F739D7">
        <w:t xml:space="preserve">at our </w:t>
      </w:r>
      <w:r w:rsidR="003A4B9B">
        <w:t>four</w:t>
      </w:r>
      <w:r w:rsidR="00F739D7">
        <w:t xml:space="preserve"> </w:t>
      </w:r>
      <w:r w:rsidR="003A4B9B">
        <w:t>l</w:t>
      </w:r>
      <w:r w:rsidR="00F739D7">
        <w:t xml:space="preserve">odges </w:t>
      </w:r>
      <w:r w:rsidR="003A4B9B">
        <w:t xml:space="preserve">that </w:t>
      </w:r>
      <w:r w:rsidR="00F739D7">
        <w:t xml:space="preserve">support clients with moderate needs </w:t>
      </w:r>
      <w:r w:rsidR="00002219">
        <w:t>have increased by 7.6%</w:t>
      </w:r>
      <w:r w:rsidR="003E34EC">
        <w:t xml:space="preserve">, </w:t>
      </w:r>
      <w:r w:rsidR="00002219">
        <w:t xml:space="preserve">electricity costs and </w:t>
      </w:r>
      <w:r>
        <w:t>insurance have increased in excess of CPI</w:t>
      </w:r>
      <w:r w:rsidR="00A14D5B">
        <w:t xml:space="preserve"> (see recommendation 1)</w:t>
      </w:r>
      <w:r w:rsidR="003A4B9B">
        <w:t>,</w:t>
      </w:r>
      <w:r w:rsidR="003E34EC">
        <w:t xml:space="preserve"> and e</w:t>
      </w:r>
      <w:r>
        <w:t>nergy efficiency is variable across different sites due to age</w:t>
      </w:r>
      <w:r w:rsidR="00F739D7">
        <w:t xml:space="preserve"> of the facilities.</w:t>
      </w:r>
    </w:p>
    <w:p w14:paraId="5DC62D91" w14:textId="7F0DBB4D" w:rsidR="004D3267" w:rsidRDefault="002634DC" w:rsidP="005422E5">
      <w:pPr>
        <w:pStyle w:val="Bullets"/>
      </w:pPr>
      <w:r w:rsidRPr="002634DC">
        <w:t>Residents of Anglicare’s residential facilities pay a fixed proportion of their income toward the running costs</w:t>
      </w:r>
      <w:r w:rsidR="004D3267">
        <w:t xml:space="preserve">, which is the primary source of income for </w:t>
      </w:r>
      <w:r w:rsidR="003939BF">
        <w:t>facilities (</w:t>
      </w:r>
      <w:r w:rsidR="00846E97">
        <w:t>70-</w:t>
      </w:r>
      <w:r w:rsidR="003939BF">
        <w:t>80%)</w:t>
      </w:r>
      <w:r w:rsidR="00846E97">
        <w:t>. T</w:t>
      </w:r>
      <w:r w:rsidRPr="002634DC">
        <w:t xml:space="preserve">he balance </w:t>
      </w:r>
      <w:r w:rsidR="00846E97">
        <w:t xml:space="preserve">of income </w:t>
      </w:r>
      <w:r w:rsidR="004D3267">
        <w:t>comes</w:t>
      </w:r>
      <w:r w:rsidRPr="002634DC">
        <w:t xml:space="preserve"> from</w:t>
      </w:r>
      <w:r w:rsidR="00846E97">
        <w:t xml:space="preserve"> </w:t>
      </w:r>
      <w:r w:rsidR="00736209">
        <w:t>S</w:t>
      </w:r>
      <w:r w:rsidR="00846E97">
        <w:t xml:space="preserve">tate </w:t>
      </w:r>
      <w:r w:rsidR="00736209">
        <w:t>G</w:t>
      </w:r>
      <w:r w:rsidR="00846E97">
        <w:t>overnment</w:t>
      </w:r>
      <w:r w:rsidRPr="002634DC">
        <w:t xml:space="preserve"> grant funding. </w:t>
      </w:r>
    </w:p>
    <w:p w14:paraId="09BA3F9F" w14:textId="0230BB03" w:rsidR="00846E97" w:rsidRDefault="0092529A" w:rsidP="002A0220">
      <w:pPr>
        <w:rPr>
          <w:b/>
        </w:rPr>
      </w:pPr>
      <w:r>
        <w:t>There has been a small increase in the contribution of residents due to indexing of income support payments in September 2023</w:t>
      </w:r>
      <w:r w:rsidR="002A0220">
        <w:t xml:space="preserve">. </w:t>
      </w:r>
      <w:r w:rsidR="004D3267">
        <w:t xml:space="preserve">However, </w:t>
      </w:r>
      <w:r w:rsidR="00736209">
        <w:t>S</w:t>
      </w:r>
      <w:r w:rsidR="004D3267">
        <w:t xml:space="preserve">tate </w:t>
      </w:r>
      <w:r w:rsidR="00736209">
        <w:t>G</w:t>
      </w:r>
      <w:r w:rsidR="004D3267">
        <w:t>overnment funding does not cover the remaining costs</w:t>
      </w:r>
      <w:r w:rsidR="00F74E8E">
        <w:t xml:space="preserve"> and </w:t>
      </w:r>
      <w:r w:rsidR="00894794">
        <w:t xml:space="preserve">a simple indexation model </w:t>
      </w:r>
      <w:r w:rsidR="005422E5">
        <w:t>does not efficiently or effectively match the grant funding to the actual costs.</w:t>
      </w:r>
    </w:p>
    <w:p w14:paraId="066B8DBD" w14:textId="18AB9B31" w:rsidR="008916E0" w:rsidRDefault="00846E97" w:rsidP="002A0220">
      <w:r>
        <w:t>To place supported accommodation</w:t>
      </w:r>
      <w:r w:rsidR="005422E5">
        <w:t xml:space="preserve"> services</w:t>
      </w:r>
      <w:r>
        <w:t xml:space="preserve"> on a sustainable footing, i</w:t>
      </w:r>
      <w:r w:rsidRPr="00846E97">
        <w:t xml:space="preserve">t is </w:t>
      </w:r>
      <w:r w:rsidR="005422E5">
        <w:t>proposed</w:t>
      </w:r>
      <w:r w:rsidRPr="00846E97">
        <w:t xml:space="preserve"> that </w:t>
      </w:r>
      <w:r w:rsidR="00736209">
        <w:t>S</w:t>
      </w:r>
      <w:r w:rsidRPr="00846E97">
        <w:t xml:space="preserve">tate </w:t>
      </w:r>
      <w:r w:rsidR="00736209">
        <w:t>G</w:t>
      </w:r>
      <w:r w:rsidR="00A14D5B">
        <w:t xml:space="preserve">overnment </w:t>
      </w:r>
      <w:r>
        <w:t>funding</w:t>
      </w:r>
      <w:r w:rsidRPr="00846E97">
        <w:t xml:space="preserve"> is determined annually based on the difference between the actual cost of service delivery and the income paid by residents.</w:t>
      </w:r>
    </w:p>
    <w:p w14:paraId="66F59C93" w14:textId="6E31B07E" w:rsidR="00F22300" w:rsidRDefault="00697C58" w:rsidP="00A7164F">
      <w:pPr>
        <w:pStyle w:val="TitleinText"/>
        <w:rPr>
          <w:b w:val="0"/>
        </w:rPr>
      </w:pPr>
      <w:r>
        <w:rPr>
          <w:b w:val="0"/>
        </w:rPr>
        <w:t>Detailed information has been provided to Homes Tasmania and is available on request.</w:t>
      </w:r>
    </w:p>
    <w:p w14:paraId="034CB522" w14:textId="77777777" w:rsidR="00F22300" w:rsidRDefault="00F22300">
      <w:pPr>
        <w:spacing w:before="0" w:after="0"/>
        <w:rPr>
          <w:rFonts w:ascii="Avenir Next Demi Bold" w:hAnsi="Avenir Next Demi Bold"/>
          <w:bCs/>
          <w:szCs w:val="24"/>
        </w:rPr>
      </w:pPr>
      <w:r>
        <w:rPr>
          <w:b/>
        </w:rPr>
        <w:br w:type="page"/>
      </w:r>
    </w:p>
    <w:p w14:paraId="7784945B" w14:textId="77777777" w:rsidR="006F68F2" w:rsidRDefault="00A70294" w:rsidP="000B6A0E">
      <w:pPr>
        <w:pStyle w:val="Heading2"/>
      </w:pPr>
      <w:bookmarkStart w:id="15" w:name="_Toc151017021"/>
      <w:bookmarkStart w:id="16" w:name="_Hlk151013252"/>
      <w:r>
        <w:lastRenderedPageBreak/>
        <w:t>A</w:t>
      </w:r>
      <w:r w:rsidR="008447C6">
        <w:t xml:space="preserve"> </w:t>
      </w:r>
      <w:r w:rsidR="00C71578">
        <w:t>two</w:t>
      </w:r>
      <w:r>
        <w:t>-</w:t>
      </w:r>
      <w:r w:rsidR="00C71578">
        <w:t xml:space="preserve">worker model for </w:t>
      </w:r>
      <w:r>
        <w:t>YouthCare</w:t>
      </w:r>
      <w:r w:rsidR="00C71578">
        <w:t xml:space="preserve"> crisis accommodation</w:t>
      </w:r>
      <w:bookmarkEnd w:id="15"/>
      <w:r w:rsidR="00697C58">
        <w:t xml:space="preserve"> </w:t>
      </w:r>
    </w:p>
    <w:bookmarkEnd w:id="16"/>
    <w:p w14:paraId="343C68E9" w14:textId="3361B971" w:rsidR="00697C58" w:rsidRDefault="00697C58" w:rsidP="00697C58">
      <w:pPr>
        <w:pStyle w:val="BodyText"/>
      </w:pPr>
      <w:r w:rsidRPr="00C71578">
        <w:rPr>
          <w:b/>
          <w:lang w:val="en-US"/>
        </w:rPr>
        <w:t>Recommendation 3:</w:t>
      </w:r>
      <w:r>
        <w:rPr>
          <w:lang w:val="en-US"/>
        </w:rPr>
        <w:t xml:space="preserve"> </w:t>
      </w:r>
      <w:r w:rsidR="008D4928">
        <w:t>Providing funding for</w:t>
      </w:r>
      <w:r w:rsidRPr="00C71578">
        <w:t xml:space="preserve"> a two-worker staffing model for the YouthCare program</w:t>
      </w:r>
      <w:r w:rsidR="004F5424">
        <w:t>,</w:t>
      </w:r>
      <w:r w:rsidRPr="00C71578">
        <w:t xml:space="preserve"> which provides </w:t>
      </w:r>
      <w:r w:rsidR="00C1639B">
        <w:t xml:space="preserve">crisis </w:t>
      </w:r>
      <w:r w:rsidRPr="00C71578">
        <w:t>accommodation to young males at risk of homelessness aged 13-2</w:t>
      </w:r>
      <w:r w:rsidR="00C71578" w:rsidRPr="00C71578">
        <w:t>0</w:t>
      </w:r>
      <w:r w:rsidRPr="00C71578">
        <w:t xml:space="preserve"> years who have complex needs.</w:t>
      </w:r>
    </w:p>
    <w:p w14:paraId="0C91843F" w14:textId="77777777" w:rsidR="003C6CBD" w:rsidRDefault="00C71578" w:rsidP="00697C58">
      <w:pPr>
        <w:pStyle w:val="BodyText"/>
        <w:rPr>
          <w:b/>
          <w:lang w:val="en-US"/>
        </w:rPr>
      </w:pPr>
      <w:r>
        <w:rPr>
          <w:b/>
          <w:lang w:val="en-US"/>
        </w:rPr>
        <w:t>Why this is a priority</w:t>
      </w:r>
    </w:p>
    <w:p w14:paraId="458B10F2" w14:textId="163261F9" w:rsidR="00C1639B" w:rsidRDefault="002570F7" w:rsidP="00697C58">
      <w:pPr>
        <w:pStyle w:val="BodyText"/>
        <w:rPr>
          <w:lang w:val="en-US"/>
        </w:rPr>
      </w:pPr>
      <w:r>
        <w:rPr>
          <w:lang w:val="en-US"/>
        </w:rPr>
        <w:t>Anglicare Tasmania</w:t>
      </w:r>
      <w:r w:rsidR="001C190C">
        <w:rPr>
          <w:lang w:val="en-US"/>
        </w:rPr>
        <w:t xml:space="preserve"> is funded </w:t>
      </w:r>
      <w:r>
        <w:rPr>
          <w:lang w:val="en-US"/>
        </w:rPr>
        <w:t xml:space="preserve">by the Tasmanian </w:t>
      </w:r>
      <w:r w:rsidR="00736209">
        <w:rPr>
          <w:lang w:val="en-US"/>
        </w:rPr>
        <w:t>G</w:t>
      </w:r>
      <w:r>
        <w:rPr>
          <w:lang w:val="en-US"/>
        </w:rPr>
        <w:t xml:space="preserve">overnment </w:t>
      </w:r>
      <w:r w:rsidR="001C190C">
        <w:rPr>
          <w:lang w:val="en-US"/>
        </w:rPr>
        <w:t xml:space="preserve">to provide youth crisis accommodation </w:t>
      </w:r>
      <w:r>
        <w:rPr>
          <w:lang w:val="en-US"/>
        </w:rPr>
        <w:t xml:space="preserve">(YouthCare) </w:t>
      </w:r>
      <w:r w:rsidR="001C190C">
        <w:rPr>
          <w:lang w:val="en-US"/>
        </w:rPr>
        <w:t>that must be safe, affordable</w:t>
      </w:r>
      <w:r w:rsidR="00F739D7">
        <w:rPr>
          <w:lang w:val="en-US"/>
        </w:rPr>
        <w:t xml:space="preserve"> and</w:t>
      </w:r>
      <w:r w:rsidR="001C190C">
        <w:rPr>
          <w:lang w:val="en-US"/>
        </w:rPr>
        <w:t xml:space="preserve"> appropriate to the identified needs of the client and for the duration of a client’s period of crisis.</w:t>
      </w:r>
      <w:r w:rsidR="008447C6">
        <w:rPr>
          <w:lang w:val="en-US"/>
        </w:rPr>
        <w:t xml:space="preserve"> </w:t>
      </w:r>
      <w:r w:rsidR="00A70294">
        <w:rPr>
          <w:lang w:val="en-US"/>
        </w:rPr>
        <w:t>Anglicare recommends that the staffing model under the agreement and associated funding</w:t>
      </w:r>
      <w:r w:rsidR="00FF6119">
        <w:t xml:space="preserve"> </w:t>
      </w:r>
      <w:r w:rsidR="00A70294">
        <w:t xml:space="preserve">is increased from one worker to two workers, </w:t>
      </w:r>
      <w:r w:rsidR="00F739D7">
        <w:t>24/7</w:t>
      </w:r>
      <w:r w:rsidR="00A70294">
        <w:t>,</w:t>
      </w:r>
      <w:r w:rsidR="008447C6">
        <w:rPr>
          <w:lang w:val="en-US"/>
        </w:rPr>
        <w:t xml:space="preserve"> to </w:t>
      </w:r>
      <w:r w:rsidR="00FF6119">
        <w:rPr>
          <w:lang w:val="en-US"/>
        </w:rPr>
        <w:t>provide effective</w:t>
      </w:r>
      <w:r w:rsidR="008447C6">
        <w:rPr>
          <w:lang w:val="en-US"/>
        </w:rPr>
        <w:t xml:space="preserve"> support </w:t>
      </w:r>
      <w:r w:rsidR="00FF6119">
        <w:rPr>
          <w:lang w:val="en-US"/>
        </w:rPr>
        <w:t xml:space="preserve">to </w:t>
      </w:r>
      <w:r w:rsidR="008447C6">
        <w:rPr>
          <w:lang w:val="en-US"/>
        </w:rPr>
        <w:t>clients</w:t>
      </w:r>
      <w:r w:rsidR="00FF6119">
        <w:rPr>
          <w:lang w:val="en-US"/>
        </w:rPr>
        <w:t xml:space="preserve"> and a safe environment for </w:t>
      </w:r>
      <w:r w:rsidR="008447C6">
        <w:rPr>
          <w:lang w:val="en-US"/>
        </w:rPr>
        <w:t>clients and workers.</w:t>
      </w:r>
    </w:p>
    <w:p w14:paraId="0315E644" w14:textId="2ADCC95B" w:rsidR="001C190C" w:rsidRDefault="00C1639B" w:rsidP="00697C58">
      <w:pPr>
        <w:pStyle w:val="BodyText"/>
        <w:rPr>
          <w:lang w:val="en-US"/>
        </w:rPr>
      </w:pPr>
      <w:r>
        <w:rPr>
          <w:lang w:val="en-US"/>
        </w:rPr>
        <w:t xml:space="preserve">YouthCare provides </w:t>
      </w:r>
      <w:r w:rsidR="004F5424">
        <w:rPr>
          <w:lang w:val="en-US"/>
        </w:rPr>
        <w:t>six</w:t>
      </w:r>
      <w:r>
        <w:rPr>
          <w:lang w:val="en-US"/>
        </w:rPr>
        <w:t xml:space="preserve"> permanent beds and one emergency bed for males aged </w:t>
      </w:r>
      <w:r w:rsidR="001C190C">
        <w:rPr>
          <w:lang w:val="en-US"/>
        </w:rPr>
        <w:t xml:space="preserve">13 to 20 years </w:t>
      </w:r>
      <w:r w:rsidR="002570F7">
        <w:rPr>
          <w:lang w:val="en-US"/>
        </w:rPr>
        <w:t xml:space="preserve">who often have complex needs </w:t>
      </w:r>
      <w:r w:rsidR="00835554">
        <w:rPr>
          <w:lang w:val="en-US"/>
        </w:rPr>
        <w:t>involving</w:t>
      </w:r>
      <w:r w:rsidR="00F5180A">
        <w:rPr>
          <w:lang w:val="en-US"/>
        </w:rPr>
        <w:t xml:space="preserve"> </w:t>
      </w:r>
      <w:r w:rsidR="002570F7">
        <w:rPr>
          <w:lang w:val="en-US"/>
        </w:rPr>
        <w:t>offending</w:t>
      </w:r>
      <w:r w:rsidR="00F5180A">
        <w:rPr>
          <w:lang w:val="en-US"/>
        </w:rPr>
        <w:t xml:space="preserve"> behaviours</w:t>
      </w:r>
      <w:r w:rsidR="00F739D7">
        <w:rPr>
          <w:lang w:val="en-US"/>
        </w:rPr>
        <w:t>, mental health</w:t>
      </w:r>
      <w:r w:rsidR="00F5180A">
        <w:rPr>
          <w:lang w:val="en-US"/>
        </w:rPr>
        <w:t xml:space="preserve">, </w:t>
      </w:r>
      <w:r w:rsidR="002570F7">
        <w:rPr>
          <w:lang w:val="en-US"/>
        </w:rPr>
        <w:t>substance abuse</w:t>
      </w:r>
      <w:r w:rsidR="00F739D7">
        <w:rPr>
          <w:lang w:val="en-US"/>
        </w:rPr>
        <w:t xml:space="preserve"> and</w:t>
      </w:r>
      <w:r w:rsidR="00F5180A">
        <w:rPr>
          <w:lang w:val="en-US"/>
        </w:rPr>
        <w:t xml:space="preserve">/or drug </w:t>
      </w:r>
      <w:r w:rsidR="00F739D7">
        <w:rPr>
          <w:lang w:val="en-US"/>
        </w:rPr>
        <w:t>addictions</w:t>
      </w:r>
      <w:r w:rsidR="002570F7">
        <w:rPr>
          <w:lang w:val="en-US"/>
        </w:rPr>
        <w:t xml:space="preserve">. </w:t>
      </w:r>
      <w:r w:rsidR="00A70294">
        <w:rPr>
          <w:lang w:val="en-US"/>
        </w:rPr>
        <w:t xml:space="preserve">Current funding provides for </w:t>
      </w:r>
      <w:r w:rsidR="002570F7">
        <w:rPr>
          <w:lang w:val="en-US"/>
        </w:rPr>
        <w:t xml:space="preserve">YouthCare </w:t>
      </w:r>
      <w:r w:rsidR="00A70294">
        <w:rPr>
          <w:lang w:val="en-US"/>
        </w:rPr>
        <w:t>to be staffed with</w:t>
      </w:r>
      <w:r>
        <w:rPr>
          <w:lang w:val="en-US"/>
        </w:rPr>
        <w:t xml:space="preserve"> one worker </w:t>
      </w:r>
      <w:r w:rsidR="00F739D7">
        <w:rPr>
          <w:lang w:val="en-US"/>
        </w:rPr>
        <w:t>24/7</w:t>
      </w:r>
      <w:r>
        <w:rPr>
          <w:lang w:val="en-US"/>
        </w:rPr>
        <w:t xml:space="preserve">. </w:t>
      </w:r>
      <w:r w:rsidR="002570F7">
        <w:rPr>
          <w:lang w:val="en-US"/>
        </w:rPr>
        <w:t>Considering</w:t>
      </w:r>
      <w:r w:rsidR="001C190C">
        <w:rPr>
          <w:lang w:val="en-US"/>
        </w:rPr>
        <w:t xml:space="preserve"> the complex needs of the clients and their age range, </w:t>
      </w:r>
      <w:r w:rsidR="00A70294">
        <w:rPr>
          <w:lang w:val="en-US"/>
        </w:rPr>
        <w:t>providing for</w:t>
      </w:r>
      <w:r w:rsidR="009A10EE">
        <w:rPr>
          <w:lang w:val="en-US"/>
        </w:rPr>
        <w:t xml:space="preserve"> </w:t>
      </w:r>
      <w:r w:rsidR="001C190C">
        <w:rPr>
          <w:lang w:val="en-US"/>
        </w:rPr>
        <w:t xml:space="preserve">two workers </w:t>
      </w:r>
      <w:r w:rsidR="00061F3B">
        <w:rPr>
          <w:lang w:val="en-US"/>
        </w:rPr>
        <w:t>24/7</w:t>
      </w:r>
      <w:r w:rsidR="001C190C">
        <w:rPr>
          <w:lang w:val="en-US"/>
        </w:rPr>
        <w:t xml:space="preserve"> </w:t>
      </w:r>
      <w:r w:rsidR="009A10EE">
        <w:rPr>
          <w:lang w:val="en-US"/>
        </w:rPr>
        <w:t>is</w:t>
      </w:r>
      <w:r w:rsidR="00F739D7">
        <w:rPr>
          <w:lang w:val="en-US"/>
        </w:rPr>
        <w:t xml:space="preserve"> essential</w:t>
      </w:r>
      <w:r w:rsidR="00061F3B">
        <w:rPr>
          <w:lang w:val="en-US"/>
        </w:rPr>
        <w:t xml:space="preserve"> in order</w:t>
      </w:r>
      <w:r w:rsidR="00F739D7">
        <w:rPr>
          <w:lang w:val="en-US"/>
        </w:rPr>
        <w:t xml:space="preserve"> to manage risk</w:t>
      </w:r>
      <w:r w:rsidR="00061F3B">
        <w:rPr>
          <w:lang w:val="en-US"/>
        </w:rPr>
        <w:t xml:space="preserve">, </w:t>
      </w:r>
      <w:r w:rsidR="00F739D7">
        <w:rPr>
          <w:lang w:val="en-US"/>
        </w:rPr>
        <w:t xml:space="preserve">provide support within </w:t>
      </w:r>
      <w:r w:rsidR="00894794">
        <w:rPr>
          <w:lang w:val="en-US"/>
        </w:rPr>
        <w:t>the</w:t>
      </w:r>
      <w:r w:rsidR="00F739D7">
        <w:rPr>
          <w:lang w:val="en-US"/>
        </w:rPr>
        <w:t xml:space="preserve"> Advantaged Thinking framework and achieve the</w:t>
      </w:r>
      <w:r w:rsidR="00894794">
        <w:rPr>
          <w:lang w:val="en-US"/>
        </w:rPr>
        <w:t xml:space="preserve"> agreed</w:t>
      </w:r>
      <w:r w:rsidR="00F739D7">
        <w:rPr>
          <w:lang w:val="en-US"/>
        </w:rPr>
        <w:t xml:space="preserve"> goals and aspirations of the young person</w:t>
      </w:r>
      <w:r w:rsidR="00894794">
        <w:rPr>
          <w:lang w:val="en-US"/>
        </w:rPr>
        <w:t>.</w:t>
      </w:r>
    </w:p>
    <w:p w14:paraId="6A15DDBF" w14:textId="66A3C5F5" w:rsidR="00F5180A" w:rsidRPr="00F5180A" w:rsidRDefault="00F5180A" w:rsidP="00F5180A">
      <w:pPr>
        <w:rPr>
          <w:szCs w:val="24"/>
          <w:lang w:val="en-US"/>
        </w:rPr>
      </w:pPr>
      <w:r w:rsidRPr="00F5180A">
        <w:rPr>
          <w:szCs w:val="24"/>
          <w:lang w:val="en-US"/>
        </w:rPr>
        <w:t xml:space="preserve">The Commission of Inquiry into the Tasmanian Government’s Response to Child Sexual Abuse in Institutional Settings </w:t>
      </w:r>
      <w:r>
        <w:rPr>
          <w:szCs w:val="24"/>
          <w:lang w:val="en-US"/>
        </w:rPr>
        <w:t>Report made a number of recommendations</w:t>
      </w:r>
      <w:r w:rsidR="00211B61">
        <w:rPr>
          <w:szCs w:val="24"/>
          <w:lang w:val="en-US"/>
        </w:rPr>
        <w:t xml:space="preserve"> for the</w:t>
      </w:r>
      <w:r>
        <w:rPr>
          <w:szCs w:val="24"/>
          <w:lang w:val="en-US"/>
        </w:rPr>
        <w:t xml:space="preserve"> </w:t>
      </w:r>
      <w:r w:rsidRPr="00F5180A">
        <w:rPr>
          <w:szCs w:val="24"/>
          <w:lang w:val="en-US"/>
        </w:rPr>
        <w:t xml:space="preserve">care </w:t>
      </w:r>
      <w:r w:rsidR="00211B61">
        <w:rPr>
          <w:szCs w:val="24"/>
          <w:lang w:val="en-US"/>
        </w:rPr>
        <w:t>of</w:t>
      </w:r>
      <w:r w:rsidRPr="00F5180A">
        <w:rPr>
          <w:szCs w:val="24"/>
          <w:lang w:val="en-US"/>
        </w:rPr>
        <w:t xml:space="preserve"> </w:t>
      </w:r>
      <w:r w:rsidR="004F5424">
        <w:rPr>
          <w:szCs w:val="24"/>
          <w:lang w:val="en-US"/>
        </w:rPr>
        <w:t>y</w:t>
      </w:r>
      <w:r w:rsidRPr="00F5180A">
        <w:rPr>
          <w:szCs w:val="24"/>
          <w:lang w:val="en-US"/>
        </w:rPr>
        <w:t xml:space="preserve">oung </w:t>
      </w:r>
      <w:r w:rsidR="004F5424">
        <w:rPr>
          <w:szCs w:val="24"/>
          <w:lang w:val="en-US"/>
        </w:rPr>
        <w:t>p</w:t>
      </w:r>
      <w:r w:rsidRPr="00F5180A">
        <w:rPr>
          <w:szCs w:val="24"/>
          <w:lang w:val="en-US"/>
        </w:rPr>
        <w:t xml:space="preserve">eople and support staff, </w:t>
      </w:r>
      <w:r w:rsidR="00211B61">
        <w:rPr>
          <w:szCs w:val="24"/>
          <w:lang w:val="en-US"/>
        </w:rPr>
        <w:t xml:space="preserve">which included </w:t>
      </w:r>
      <w:r w:rsidRPr="00F5180A">
        <w:rPr>
          <w:szCs w:val="24"/>
          <w:lang w:val="en-US"/>
        </w:rPr>
        <w:t xml:space="preserve">appropriate staffing and qualifications along with </w:t>
      </w:r>
      <w:r w:rsidR="00835554">
        <w:rPr>
          <w:szCs w:val="24"/>
          <w:lang w:val="en-US"/>
        </w:rPr>
        <w:t xml:space="preserve">having </w:t>
      </w:r>
      <w:r w:rsidRPr="00F5180A">
        <w:rPr>
          <w:szCs w:val="24"/>
          <w:lang w:val="en-US"/>
        </w:rPr>
        <w:t xml:space="preserve">appropriate structures in place.  </w:t>
      </w:r>
    </w:p>
    <w:p w14:paraId="7BD22EE5" w14:textId="6AA1F855" w:rsidR="008447C6" w:rsidRDefault="005D3BB4" w:rsidP="0060563D">
      <w:pPr>
        <w:pStyle w:val="Bullets"/>
        <w:numPr>
          <w:ilvl w:val="0"/>
          <w:numId w:val="0"/>
        </w:numPr>
      </w:pPr>
      <w:r>
        <w:t xml:space="preserve">Anglicare Tasmania prioritises and maintains </w:t>
      </w:r>
      <w:r w:rsidR="001A1C3E">
        <w:t xml:space="preserve">a safe environment for </w:t>
      </w:r>
      <w:r w:rsidR="003E34EC">
        <w:t xml:space="preserve">YouthCare </w:t>
      </w:r>
      <w:r>
        <w:t>clients</w:t>
      </w:r>
      <w:r w:rsidR="003E34EC">
        <w:t xml:space="preserve">, many of whom are under 18 years of age, and </w:t>
      </w:r>
      <w:r w:rsidR="0035220A">
        <w:t>for Anglicare staff</w:t>
      </w:r>
      <w:r>
        <w:t xml:space="preserve">. </w:t>
      </w:r>
      <w:r w:rsidR="00736209">
        <w:t>A</w:t>
      </w:r>
      <w:r w:rsidR="003E34EC">
        <w:t xml:space="preserve"> single worker model </w:t>
      </w:r>
      <w:r w:rsidR="00D77790">
        <w:t>limit</w:t>
      </w:r>
      <w:r w:rsidR="00CB543E">
        <w:t>s</w:t>
      </w:r>
      <w:r w:rsidR="0035220A">
        <w:t xml:space="preserve"> the</w:t>
      </w:r>
      <w:r w:rsidR="003E34EC">
        <w:t xml:space="preserve"> </w:t>
      </w:r>
      <w:r w:rsidR="00D77790">
        <w:t>scope of the</w:t>
      </w:r>
      <w:r w:rsidR="001A1C3E">
        <w:t xml:space="preserve"> individual </w:t>
      </w:r>
      <w:r w:rsidR="00C15C2E">
        <w:t xml:space="preserve">youth crisis </w:t>
      </w:r>
      <w:r w:rsidR="001A1C3E">
        <w:t xml:space="preserve">support </w:t>
      </w:r>
      <w:r w:rsidR="00D77790">
        <w:t>services</w:t>
      </w:r>
      <w:r w:rsidR="001A1C3E">
        <w:t xml:space="preserve"> </w:t>
      </w:r>
      <w:r w:rsidR="00D77790">
        <w:t xml:space="preserve">that </w:t>
      </w:r>
      <w:r w:rsidR="00C15C2E">
        <w:t>the facility is intended to provide</w:t>
      </w:r>
      <w:r w:rsidR="00736209">
        <w:t xml:space="preserve">, </w:t>
      </w:r>
      <w:r w:rsidR="00577768">
        <w:t>n</w:t>
      </w:r>
      <w:r w:rsidR="00C15C2E">
        <w:t xml:space="preserve">amely providing the support necessary to stabilise the client’s crisis, supporting </w:t>
      </w:r>
      <w:r w:rsidR="004F5424">
        <w:t xml:space="preserve">the </w:t>
      </w:r>
      <w:r w:rsidR="00C15C2E">
        <w:t>client to rebuild relationships where appropriate, and plan</w:t>
      </w:r>
      <w:r w:rsidR="004F5424">
        <w:t>ning</w:t>
      </w:r>
      <w:r w:rsidR="00C15C2E">
        <w:t xml:space="preserve"> their exit out of crisis.</w:t>
      </w:r>
      <w:r w:rsidR="004F5424">
        <w:t xml:space="preserve"> </w:t>
      </w:r>
      <w:r w:rsidR="009C33BA">
        <w:t>A two</w:t>
      </w:r>
      <w:r w:rsidR="008447C6">
        <w:t>-</w:t>
      </w:r>
      <w:r w:rsidR="009C33BA">
        <w:t xml:space="preserve">worker model </w:t>
      </w:r>
      <w:r w:rsidR="00C15C2E">
        <w:t>is recommended in order to achieve the objectives of YouthCare.</w:t>
      </w:r>
      <w:r w:rsidR="008447C6">
        <w:t xml:space="preserve"> </w:t>
      </w:r>
    </w:p>
    <w:p w14:paraId="1F885E10" w14:textId="0AC2434F" w:rsidR="00D77790" w:rsidRPr="00BA1C3E" w:rsidRDefault="00D77790" w:rsidP="00BA1C3E">
      <w:pPr>
        <w:pStyle w:val="BodyText"/>
      </w:pPr>
      <w:r>
        <w:t>Additional detail has been provided to Home</w:t>
      </w:r>
      <w:r w:rsidR="004F5424">
        <w:t>s</w:t>
      </w:r>
      <w:r>
        <w:t xml:space="preserve"> Tasmania and is available on request.</w:t>
      </w:r>
    </w:p>
    <w:p w14:paraId="34E19B60" w14:textId="77777777" w:rsidR="006F68F2" w:rsidRDefault="006F68F2" w:rsidP="006F68F2"/>
    <w:p w14:paraId="4E1273A9" w14:textId="77777777" w:rsidR="006F68F2" w:rsidRDefault="006F68F2" w:rsidP="006F68F2">
      <w:pPr>
        <w:spacing w:before="0" w:after="0"/>
      </w:pPr>
      <w:r>
        <w:br w:type="page"/>
      </w:r>
    </w:p>
    <w:p w14:paraId="08792EA3" w14:textId="77777777" w:rsidR="00751E3A" w:rsidRPr="003F50DF" w:rsidRDefault="00751E3A" w:rsidP="000B6A0E">
      <w:pPr>
        <w:pStyle w:val="Heading2"/>
      </w:pPr>
      <w:bookmarkStart w:id="17" w:name="_Toc151017022"/>
      <w:bookmarkStart w:id="18" w:name="_Toc118969670"/>
      <w:bookmarkStart w:id="19" w:name="_Hlk118888391"/>
      <w:r w:rsidRPr="003F50DF">
        <w:lastRenderedPageBreak/>
        <w:t>Funding expansion of Respectful Relationships Education</w:t>
      </w:r>
      <w:bookmarkEnd w:id="17"/>
    </w:p>
    <w:p w14:paraId="116EBC3A" w14:textId="62A5A0B0" w:rsidR="00FF684F" w:rsidRDefault="003C3368" w:rsidP="00835554">
      <w:pPr>
        <w:pStyle w:val="TitleinText"/>
      </w:pPr>
      <w:r>
        <w:t xml:space="preserve">Recommendation 4: </w:t>
      </w:r>
      <w:r w:rsidR="00C21193" w:rsidRPr="003C3368">
        <w:rPr>
          <w:rFonts w:ascii="Avenir Next" w:hAnsi="Avenir Next"/>
          <w:b w:val="0"/>
          <w:bCs w:val="0"/>
          <w:szCs w:val="22"/>
        </w:rPr>
        <w:t>Fu</w:t>
      </w:r>
      <w:r w:rsidR="00585B06" w:rsidRPr="003C3368">
        <w:rPr>
          <w:rFonts w:ascii="Avenir Next" w:hAnsi="Avenir Next"/>
          <w:b w:val="0"/>
          <w:bCs w:val="0"/>
          <w:szCs w:val="22"/>
        </w:rPr>
        <w:t>lly fu</w:t>
      </w:r>
      <w:r w:rsidR="00C21193" w:rsidRPr="003C3368">
        <w:rPr>
          <w:rFonts w:ascii="Avenir Next" w:hAnsi="Avenir Next"/>
          <w:b w:val="0"/>
          <w:bCs w:val="0"/>
          <w:szCs w:val="22"/>
        </w:rPr>
        <w:t xml:space="preserve">nd </w:t>
      </w:r>
      <w:r w:rsidR="00585B06" w:rsidRPr="003C3368">
        <w:rPr>
          <w:rFonts w:ascii="Avenir Next" w:hAnsi="Avenir Next"/>
          <w:b w:val="0"/>
          <w:bCs w:val="0"/>
          <w:szCs w:val="22"/>
        </w:rPr>
        <w:t xml:space="preserve">and mandate </w:t>
      </w:r>
      <w:r w:rsidR="00C21193" w:rsidRPr="003C3368">
        <w:rPr>
          <w:rFonts w:ascii="Avenir Next" w:hAnsi="Avenir Next"/>
          <w:b w:val="0"/>
          <w:bCs w:val="0"/>
          <w:szCs w:val="22"/>
        </w:rPr>
        <w:t xml:space="preserve">the </w:t>
      </w:r>
      <w:r w:rsidR="00585B06" w:rsidRPr="003C3368">
        <w:rPr>
          <w:rFonts w:ascii="Avenir Next" w:hAnsi="Avenir Next"/>
          <w:b w:val="0"/>
          <w:bCs w:val="0"/>
          <w:szCs w:val="22"/>
        </w:rPr>
        <w:t xml:space="preserve">delivery of trauma-informed, evidence-based Respectful Relationships Education (RRE) that is co-designed with young people </w:t>
      </w:r>
      <w:r w:rsidR="004F5424" w:rsidRPr="003C3368">
        <w:rPr>
          <w:rFonts w:ascii="Avenir Next" w:hAnsi="Avenir Next"/>
          <w:b w:val="0"/>
          <w:bCs w:val="0"/>
          <w:szCs w:val="22"/>
        </w:rPr>
        <w:t xml:space="preserve">and delivered </w:t>
      </w:r>
      <w:r w:rsidR="00FF684F" w:rsidRPr="003C3368">
        <w:rPr>
          <w:rFonts w:ascii="Avenir Next" w:hAnsi="Avenir Next"/>
          <w:b w:val="0"/>
          <w:bCs w:val="0"/>
          <w:szCs w:val="22"/>
        </w:rPr>
        <w:t>K-12 in all Tasmanian schools.</w:t>
      </w:r>
      <w:r w:rsidR="00FF684F">
        <w:t xml:space="preserve"> </w:t>
      </w:r>
    </w:p>
    <w:p w14:paraId="57371198" w14:textId="77777777" w:rsidR="00FF684F" w:rsidRDefault="00FF684F">
      <w:pPr>
        <w:spacing w:before="0" w:after="0"/>
        <w:rPr>
          <w:b/>
        </w:rPr>
      </w:pPr>
    </w:p>
    <w:p w14:paraId="26C11ED6" w14:textId="6037C96C" w:rsidR="00050F70" w:rsidRDefault="007C05FF">
      <w:pPr>
        <w:spacing w:before="0" w:after="0"/>
        <w:rPr>
          <w:b/>
        </w:rPr>
      </w:pPr>
      <w:r w:rsidRPr="007C05FF">
        <w:rPr>
          <w:b/>
        </w:rPr>
        <w:t>Why this is a priority</w:t>
      </w:r>
    </w:p>
    <w:p w14:paraId="017F374D" w14:textId="205C9A96" w:rsidR="00751E3A" w:rsidRDefault="00DD66D4" w:rsidP="007F627E">
      <w:r>
        <w:t xml:space="preserve">This is a key recommendation from Anglicare’s ground-breaking research </w:t>
      </w:r>
      <w:hyperlink r:id="rId15" w:history="1">
        <w:r w:rsidRPr="00CE65E9">
          <w:rPr>
            <w:rStyle w:val="Hyperlink"/>
            <w:rFonts w:ascii="Avenir Next" w:hAnsi="Avenir Next"/>
            <w:i/>
          </w:rPr>
          <w:t>Young, in love and in danger</w:t>
        </w:r>
      </w:hyperlink>
      <w:r>
        <w:t xml:space="preserve"> into teen intimate partner violence</w:t>
      </w:r>
      <w:r w:rsidR="00C21193">
        <w:t xml:space="preserve"> and abuse, which is more prevalent in Tasmania than in Australia as a whole</w:t>
      </w:r>
      <w:r>
        <w:t>. The Commission of Inquiry in</w:t>
      </w:r>
      <w:r w:rsidR="00162A71">
        <w:t>to</w:t>
      </w:r>
      <w:r>
        <w:t xml:space="preserve"> the Tasmanian Government’s </w:t>
      </w:r>
      <w:r w:rsidR="00C21193">
        <w:t>R</w:t>
      </w:r>
      <w:r>
        <w:t xml:space="preserve">esponses </w:t>
      </w:r>
      <w:r w:rsidR="00C21193">
        <w:t xml:space="preserve">to Child Sexual Abuse in Institutional Settings </w:t>
      </w:r>
      <w:r w:rsidR="00CE65E9">
        <w:t xml:space="preserve">directly </w:t>
      </w:r>
      <w:r w:rsidR="00C21193">
        <w:t>referenced this research in identifying the need to address perceptions and gender norms with consistent and evidence-based education programs to prevent abuse</w:t>
      </w:r>
      <w:r w:rsidR="000C1393">
        <w:t xml:space="preserve"> (Volume 3, p.103)</w:t>
      </w:r>
      <w:r w:rsidR="00C21193">
        <w:t>.</w:t>
      </w:r>
      <w:r w:rsidR="00162A71">
        <w:t xml:space="preserve"> </w:t>
      </w:r>
      <w:r w:rsidR="00585B06">
        <w:t>As a result</w:t>
      </w:r>
      <w:r w:rsidR="00CE65E9">
        <w:t>,</w:t>
      </w:r>
      <w:r w:rsidR="00585B06">
        <w:t xml:space="preserve"> it made the following recommendation:</w:t>
      </w:r>
    </w:p>
    <w:p w14:paraId="6D5A7071" w14:textId="15091119" w:rsidR="00162A71" w:rsidRDefault="00162A71">
      <w:pPr>
        <w:spacing w:before="0" w:after="0"/>
      </w:pPr>
    </w:p>
    <w:p w14:paraId="17E1ADDF" w14:textId="6DC5464F" w:rsidR="00162A71" w:rsidRPr="003C3368" w:rsidRDefault="00162A71" w:rsidP="000C1393">
      <w:pPr>
        <w:spacing w:before="0" w:after="0"/>
        <w:ind w:left="360"/>
        <w:rPr>
          <w:i/>
        </w:rPr>
      </w:pPr>
      <w:r w:rsidRPr="003C3368">
        <w:rPr>
          <w:i/>
        </w:rPr>
        <w:t xml:space="preserve">Recommendation 6.1 </w:t>
      </w:r>
    </w:p>
    <w:p w14:paraId="6928693C" w14:textId="77777777" w:rsidR="00162A71" w:rsidRPr="003C3368" w:rsidRDefault="00162A71" w:rsidP="000C1393">
      <w:pPr>
        <w:pStyle w:val="ListParagraph"/>
        <w:rPr>
          <w:rFonts w:ascii="Avenir Next Demi Bold" w:eastAsia="AvenirNextLTPro-Demi" w:hAnsi="Avenir Next Demi Bold" w:cs="AvenirNextLTPro-Demi"/>
          <w:b/>
          <w:i/>
          <w:iCs/>
          <w:color w:val="248EB9"/>
          <w:spacing w:val="-6"/>
          <w:sz w:val="36"/>
          <w:szCs w:val="36"/>
          <w:lang w:val="en-US"/>
        </w:rPr>
      </w:pPr>
      <w:r w:rsidRPr="003C3368">
        <w:rPr>
          <w:i/>
        </w:rPr>
        <w:t xml:space="preserve">The Department for Education, Children and Young People should introduce and fund a mandatory child sexual abuse prevention curriculum as part of the mandatory respectful behaviours curriculum from early learning programs to Year 12, across all types of government schools (including specialist schools). </w:t>
      </w:r>
    </w:p>
    <w:p w14:paraId="4E701510" w14:textId="77777777" w:rsidR="00162A71" w:rsidRPr="003C3368" w:rsidRDefault="00162A71" w:rsidP="000C1393">
      <w:pPr>
        <w:pStyle w:val="ListParagraph"/>
        <w:rPr>
          <w:rFonts w:ascii="Avenir Next Demi Bold" w:eastAsia="AvenirNextLTPro-Demi" w:hAnsi="Avenir Next Demi Bold" w:cs="AvenirNextLTPro-Demi"/>
          <w:b/>
          <w:i/>
          <w:iCs/>
          <w:color w:val="248EB9"/>
          <w:spacing w:val="-6"/>
          <w:sz w:val="36"/>
          <w:szCs w:val="36"/>
          <w:lang w:val="en-US"/>
        </w:rPr>
      </w:pPr>
      <w:r w:rsidRPr="003C3368">
        <w:rPr>
          <w:i/>
        </w:rPr>
        <w:t xml:space="preserve">This mandatory prevention curriculum should draw on expert evidence of best practice and successful approaches adopted in other states and territories, including South Australia’s mandatory curriculum. </w:t>
      </w:r>
    </w:p>
    <w:p w14:paraId="36513866" w14:textId="77777777" w:rsidR="00162A71" w:rsidRPr="003C3368" w:rsidRDefault="00162A71" w:rsidP="000C1393">
      <w:pPr>
        <w:pStyle w:val="ListParagraph"/>
        <w:rPr>
          <w:rFonts w:ascii="Avenir Next Demi Bold" w:eastAsia="AvenirNextLTPro-Demi" w:hAnsi="Avenir Next Demi Bold" w:cs="AvenirNextLTPro-Demi"/>
          <w:b/>
          <w:i/>
          <w:iCs/>
          <w:color w:val="248EB9"/>
          <w:spacing w:val="-6"/>
          <w:sz w:val="36"/>
          <w:szCs w:val="36"/>
          <w:lang w:val="en-US"/>
        </w:rPr>
      </w:pPr>
      <w:r w:rsidRPr="003C3368">
        <w:rPr>
          <w:i/>
        </w:rPr>
        <w:t xml:space="preserve">The Department should develop a plan for sustained implementation of the mandatory prevention curriculum. The plan should: </w:t>
      </w:r>
    </w:p>
    <w:p w14:paraId="3B7DCF3D" w14:textId="77777777" w:rsidR="00162A71" w:rsidRPr="003C3368" w:rsidRDefault="00162A71" w:rsidP="003C3368">
      <w:pPr>
        <w:pStyle w:val="ListParagraph"/>
        <w:numPr>
          <w:ilvl w:val="1"/>
          <w:numId w:val="26"/>
        </w:numPr>
        <w:ind w:right="27"/>
        <w:rPr>
          <w:rFonts w:ascii="Avenir Next Demi Bold" w:eastAsia="AvenirNextLTPro-Demi" w:hAnsi="Avenir Next Demi Bold" w:cs="AvenirNextLTPro-Demi"/>
          <w:b/>
          <w:i/>
          <w:iCs/>
          <w:color w:val="248EB9"/>
          <w:spacing w:val="-6"/>
          <w:sz w:val="36"/>
          <w:szCs w:val="36"/>
          <w:lang w:val="en-US"/>
        </w:rPr>
      </w:pPr>
      <w:r w:rsidRPr="003C3368">
        <w:rPr>
          <w:i/>
        </w:rPr>
        <w:t xml:space="preserve">set out the goals and objectives of implementing the mandatory prevention curriculum </w:t>
      </w:r>
    </w:p>
    <w:p w14:paraId="29A25C73" w14:textId="77777777" w:rsidR="00162A71" w:rsidRPr="003C3368" w:rsidRDefault="00162A71" w:rsidP="003C3368">
      <w:pPr>
        <w:pStyle w:val="ListParagraph"/>
        <w:numPr>
          <w:ilvl w:val="1"/>
          <w:numId w:val="26"/>
        </w:numPr>
        <w:ind w:right="27"/>
        <w:rPr>
          <w:rFonts w:ascii="Avenir Next Demi Bold" w:eastAsia="AvenirNextLTPro-Demi" w:hAnsi="Avenir Next Demi Bold" w:cs="AvenirNextLTPro-Demi"/>
          <w:b/>
          <w:i/>
          <w:iCs/>
          <w:color w:val="248EB9"/>
          <w:spacing w:val="-6"/>
          <w:sz w:val="36"/>
          <w:szCs w:val="36"/>
          <w:lang w:val="en-US"/>
        </w:rPr>
      </w:pPr>
      <w:r w:rsidRPr="003C3368">
        <w:rPr>
          <w:i/>
        </w:rPr>
        <w:t xml:space="preserve">define the roles and responsibilities of key participants </w:t>
      </w:r>
    </w:p>
    <w:p w14:paraId="6F6DA8BC" w14:textId="77777777" w:rsidR="00162A71" w:rsidRPr="003C3368" w:rsidRDefault="00162A71" w:rsidP="003C3368">
      <w:pPr>
        <w:pStyle w:val="ListParagraph"/>
        <w:numPr>
          <w:ilvl w:val="1"/>
          <w:numId w:val="26"/>
        </w:numPr>
        <w:ind w:right="27"/>
        <w:rPr>
          <w:rFonts w:ascii="Avenir Next Demi Bold" w:eastAsia="AvenirNextLTPro-Demi" w:hAnsi="Avenir Next Demi Bold" w:cs="AvenirNextLTPro-Demi"/>
          <w:b/>
          <w:i/>
          <w:iCs/>
          <w:color w:val="248EB9"/>
          <w:spacing w:val="-6"/>
          <w:sz w:val="36"/>
          <w:szCs w:val="36"/>
          <w:lang w:val="en-US"/>
        </w:rPr>
      </w:pPr>
      <w:r w:rsidRPr="003C3368">
        <w:rPr>
          <w:i/>
        </w:rPr>
        <w:t xml:space="preserve">include criteria for evaluating the curriculum. </w:t>
      </w:r>
    </w:p>
    <w:p w14:paraId="7AC74D3A" w14:textId="3836D00E" w:rsidR="00162A71" w:rsidRPr="003C3368" w:rsidRDefault="00162A71" w:rsidP="003C3368">
      <w:pPr>
        <w:pStyle w:val="ListParagraph"/>
        <w:ind w:right="27"/>
        <w:rPr>
          <w:rFonts w:ascii="Avenir Next Demi Bold" w:eastAsia="AvenirNextLTPro-Demi" w:hAnsi="Avenir Next Demi Bold" w:cs="AvenirNextLTPro-Demi"/>
          <w:b/>
          <w:i/>
          <w:iCs/>
          <w:color w:val="248EB9"/>
          <w:spacing w:val="-6"/>
          <w:sz w:val="36"/>
          <w:szCs w:val="36"/>
          <w:lang w:val="en-US"/>
        </w:rPr>
      </w:pPr>
      <w:r w:rsidRPr="003C3368">
        <w:rPr>
          <w:i/>
        </w:rPr>
        <w:t xml:space="preserve">The Department should evaluate the effectiveness of the mandatory prevention curriculum five years after its implementation. </w:t>
      </w:r>
      <w:r w:rsidR="003C3368">
        <w:t>(Volume 1, p.79)</w:t>
      </w:r>
    </w:p>
    <w:p w14:paraId="4EE09CCD" w14:textId="44332C6C" w:rsidR="00304B8A" w:rsidRDefault="00162A71" w:rsidP="00C263FE">
      <w:pPr>
        <w:rPr>
          <w:lang w:val="en-US"/>
        </w:rPr>
      </w:pPr>
      <w:r>
        <w:rPr>
          <w:lang w:val="en-US"/>
        </w:rPr>
        <w:t xml:space="preserve">Anglicare </w:t>
      </w:r>
      <w:r w:rsidR="00585B06">
        <w:rPr>
          <w:lang w:val="en-US"/>
        </w:rPr>
        <w:t xml:space="preserve">strongly </w:t>
      </w:r>
      <w:r>
        <w:rPr>
          <w:lang w:val="en-US"/>
        </w:rPr>
        <w:t>supports th</w:t>
      </w:r>
      <w:r w:rsidR="00585B06">
        <w:rPr>
          <w:lang w:val="en-US"/>
        </w:rPr>
        <w:t>e fully funded implementation of this</w:t>
      </w:r>
      <w:r>
        <w:rPr>
          <w:lang w:val="en-US"/>
        </w:rPr>
        <w:t xml:space="preserve"> </w:t>
      </w:r>
      <w:r w:rsidR="00585B06">
        <w:rPr>
          <w:lang w:val="en-US"/>
        </w:rPr>
        <w:t>recommendation</w:t>
      </w:r>
      <w:r>
        <w:rPr>
          <w:lang w:val="en-US"/>
        </w:rPr>
        <w:t xml:space="preserve">. </w:t>
      </w:r>
    </w:p>
    <w:p w14:paraId="66FB4985" w14:textId="242F8A7D" w:rsidR="00C263FE" w:rsidRDefault="00C263FE" w:rsidP="00C263FE">
      <w:pPr>
        <w:rPr>
          <w:lang w:val="en-US"/>
        </w:rPr>
      </w:pPr>
      <w:r>
        <w:rPr>
          <w:lang w:val="en-US"/>
        </w:rPr>
        <w:t xml:space="preserve">Anglicare’s </w:t>
      </w:r>
      <w:r w:rsidR="008D006B">
        <w:rPr>
          <w:lang w:val="en-US"/>
        </w:rPr>
        <w:t xml:space="preserve">research </w:t>
      </w:r>
      <w:r>
        <w:rPr>
          <w:lang w:val="en-US"/>
        </w:rPr>
        <w:t>recommends that</w:t>
      </w:r>
      <w:r w:rsidR="008D006B">
        <w:rPr>
          <w:lang w:val="en-US"/>
        </w:rPr>
        <w:t xml:space="preserve"> Respectful Relationships Education:</w:t>
      </w:r>
    </w:p>
    <w:p w14:paraId="3BD9044E" w14:textId="4991CE1E" w:rsidR="00162A71" w:rsidRPr="00F22300" w:rsidRDefault="00C263FE" w:rsidP="00835554">
      <w:pPr>
        <w:pStyle w:val="Bullets"/>
      </w:pPr>
      <w:r w:rsidRPr="00F22300">
        <w:t>is mandated in all schools</w:t>
      </w:r>
      <w:r w:rsidR="00FF684F" w:rsidRPr="00F22300">
        <w:t xml:space="preserve"> (government and independent schools)</w:t>
      </w:r>
    </w:p>
    <w:p w14:paraId="2628B710" w14:textId="19EC3194" w:rsidR="00C263FE" w:rsidRPr="00F22300" w:rsidRDefault="00C263FE" w:rsidP="00835554">
      <w:pPr>
        <w:pStyle w:val="Bullets"/>
      </w:pPr>
      <w:r w:rsidRPr="00F22300">
        <w:t xml:space="preserve">is trauma-informed </w:t>
      </w:r>
    </w:p>
    <w:p w14:paraId="1536AAB9" w14:textId="10503D8E" w:rsidR="00304B8A" w:rsidRPr="00F22300" w:rsidRDefault="00304B8A" w:rsidP="00835554">
      <w:pPr>
        <w:pStyle w:val="Bullets"/>
      </w:pPr>
      <w:r w:rsidRPr="00F22300">
        <w:t>is co-designed with young people</w:t>
      </w:r>
    </w:p>
    <w:p w14:paraId="469BBB77" w14:textId="1B0FCFD9" w:rsidR="008D006B" w:rsidRPr="00F22300" w:rsidRDefault="008D006B" w:rsidP="00835554">
      <w:pPr>
        <w:pStyle w:val="Bullets"/>
      </w:pPr>
      <w:r w:rsidRPr="00F22300">
        <w:t xml:space="preserve">recognises the </w:t>
      </w:r>
      <w:r w:rsidR="00585B06" w:rsidRPr="00F22300">
        <w:t>role of intimate partner relationships in the lives of adolescents</w:t>
      </w:r>
    </w:p>
    <w:p w14:paraId="49D90C8B" w14:textId="1FF6AD10" w:rsidR="0035220A" w:rsidRPr="00F22300" w:rsidRDefault="0035220A" w:rsidP="00835554">
      <w:pPr>
        <w:pStyle w:val="Bullets"/>
      </w:pPr>
      <w:r w:rsidRPr="00F22300">
        <w:t xml:space="preserve">is focused on building strengths </w:t>
      </w:r>
    </w:p>
    <w:p w14:paraId="51B1DA19" w14:textId="29D88387" w:rsidR="00C263FE" w:rsidRPr="0035220A" w:rsidRDefault="00CE65E9" w:rsidP="00835554">
      <w:pPr>
        <w:pStyle w:val="Bullets"/>
        <w:rPr>
          <w:lang w:val="en-US"/>
        </w:rPr>
      </w:pPr>
      <w:r w:rsidRPr="00F22300">
        <w:t>includes education</w:t>
      </w:r>
      <w:r w:rsidRPr="0035220A">
        <w:rPr>
          <w:lang w:val="en-US"/>
        </w:rPr>
        <w:t xml:space="preserve"> in </w:t>
      </w:r>
      <w:r w:rsidR="008D006B" w:rsidRPr="0035220A">
        <w:rPr>
          <w:lang w:val="en-US"/>
        </w:rPr>
        <w:t xml:space="preserve">conflict management </w:t>
      </w:r>
      <w:r w:rsidR="00585B06" w:rsidRPr="0035220A">
        <w:rPr>
          <w:lang w:val="en-US"/>
        </w:rPr>
        <w:t>skills</w:t>
      </w:r>
      <w:r w:rsidRPr="0035220A">
        <w:rPr>
          <w:lang w:val="en-US"/>
        </w:rPr>
        <w:t xml:space="preserve"> in relationships</w:t>
      </w:r>
      <w:r w:rsidR="003C3368">
        <w:rPr>
          <w:lang w:val="en-US"/>
        </w:rPr>
        <w:t>.</w:t>
      </w:r>
    </w:p>
    <w:p w14:paraId="366C5488" w14:textId="77777777" w:rsidR="00894794" w:rsidRPr="00894794" w:rsidRDefault="00894794" w:rsidP="00894794">
      <w:pPr>
        <w:rPr>
          <w:lang w:val="en-US"/>
        </w:rPr>
      </w:pPr>
    </w:p>
    <w:p w14:paraId="6DCEE239" w14:textId="77777777" w:rsidR="00894794" w:rsidRPr="00894794" w:rsidRDefault="00894794" w:rsidP="00894794">
      <w:pPr>
        <w:rPr>
          <w:lang w:val="en-US"/>
        </w:rPr>
      </w:pPr>
    </w:p>
    <w:p w14:paraId="7565CBA7" w14:textId="4873CFFC" w:rsidR="00DD66D4" w:rsidRPr="00162A71" w:rsidRDefault="00DD66D4" w:rsidP="00162A71">
      <w:pPr>
        <w:rPr>
          <w:lang w:val="en-US"/>
        </w:rPr>
      </w:pPr>
      <w:r w:rsidRPr="00162A71">
        <w:rPr>
          <w:lang w:val="en-US"/>
        </w:rPr>
        <w:br w:type="page"/>
      </w:r>
    </w:p>
    <w:p w14:paraId="34EC06AB" w14:textId="0C928EE1" w:rsidR="008916E0" w:rsidRDefault="008916E0" w:rsidP="000B6A0E">
      <w:pPr>
        <w:pStyle w:val="Heading2"/>
      </w:pPr>
      <w:bookmarkStart w:id="20" w:name="_Toc151017023"/>
      <w:r>
        <w:lastRenderedPageBreak/>
        <w:t>Supporting Tasmanians living with hoarding</w:t>
      </w:r>
      <w:r w:rsidR="008D4928">
        <w:t xml:space="preserve"> to maintain tenancies</w:t>
      </w:r>
      <w:bookmarkEnd w:id="20"/>
    </w:p>
    <w:bookmarkEnd w:id="18"/>
    <w:p w14:paraId="72D55D15" w14:textId="0188A5DF" w:rsidR="006F68F2" w:rsidRPr="00B26855" w:rsidRDefault="00C15C2E" w:rsidP="008D4928">
      <w:pPr>
        <w:pStyle w:val="BodyText"/>
        <w:rPr>
          <w:color w:val="4F81BD" w:themeColor="accent1"/>
        </w:rPr>
      </w:pPr>
      <w:r w:rsidRPr="00C71578">
        <w:rPr>
          <w:b/>
          <w:lang w:val="en-US"/>
        </w:rPr>
        <w:t xml:space="preserve">Recommendation </w:t>
      </w:r>
      <w:r w:rsidR="003C3368">
        <w:rPr>
          <w:b/>
          <w:lang w:val="en-US"/>
        </w:rPr>
        <w:t>5</w:t>
      </w:r>
      <w:r w:rsidRPr="00C71578">
        <w:rPr>
          <w:b/>
          <w:lang w:val="en-US"/>
        </w:rPr>
        <w:t>:</w:t>
      </w:r>
      <w:r>
        <w:rPr>
          <w:lang w:val="en-US"/>
        </w:rPr>
        <w:t xml:space="preserve"> </w:t>
      </w:r>
      <w:r w:rsidR="00835554">
        <w:rPr>
          <w:lang w:val="en-US"/>
        </w:rPr>
        <w:t xml:space="preserve">Allocating </w:t>
      </w:r>
      <w:r w:rsidR="006F68F2" w:rsidRPr="00DC6704">
        <w:t>$</w:t>
      </w:r>
      <w:r w:rsidR="007C05FF">
        <w:t>1.54 million over three years to</w:t>
      </w:r>
      <w:r w:rsidR="006F68F2">
        <w:t xml:space="preserve"> develop and pilot </w:t>
      </w:r>
      <w:r w:rsidR="006F68F2" w:rsidRPr="00726CEA">
        <w:t xml:space="preserve">a service delivery model to </w:t>
      </w:r>
      <w:r w:rsidR="00B86A4B">
        <w:t xml:space="preserve">provide more effective </w:t>
      </w:r>
      <w:r w:rsidR="006F68F2" w:rsidRPr="00726CEA">
        <w:t xml:space="preserve">support </w:t>
      </w:r>
      <w:r w:rsidR="003C3368">
        <w:t xml:space="preserve">to </w:t>
      </w:r>
      <w:r w:rsidR="006F68F2" w:rsidRPr="00726CEA">
        <w:t xml:space="preserve">Tasmanians living with hoarding and challenges maintaining a healthy home. </w:t>
      </w:r>
    </w:p>
    <w:p w14:paraId="7E60F2A6" w14:textId="77777777" w:rsidR="006F68F2" w:rsidRDefault="004707CE" w:rsidP="006F68F2">
      <w:pPr>
        <w:pStyle w:val="TitleinText"/>
      </w:pPr>
      <w:r>
        <w:t>Why this is a priority</w:t>
      </w:r>
    </w:p>
    <w:p w14:paraId="6849CC9A" w14:textId="066049B7" w:rsidR="00F53E77" w:rsidRDefault="00F53E77" w:rsidP="007F627E">
      <w:r>
        <w:t xml:space="preserve">Tasmanians living with hoarding and experiencing challenges maintaining a healthy </w:t>
      </w:r>
      <w:r w:rsidR="001D25B7">
        <w:t>ho</w:t>
      </w:r>
      <w:r w:rsidR="008D4928">
        <w:t>me</w:t>
      </w:r>
      <w:r w:rsidR="001D25B7">
        <w:t xml:space="preserve"> </w:t>
      </w:r>
      <w:r w:rsidR="00D50626">
        <w:t>are at risk of homelessness</w:t>
      </w:r>
      <w:r w:rsidR="00973CA9">
        <w:t>. Providing support</w:t>
      </w:r>
      <w:r w:rsidR="001E4124">
        <w:t xml:space="preserve"> that</w:t>
      </w:r>
      <w:r w:rsidR="00973CA9">
        <w:t xml:space="preserve"> </w:t>
      </w:r>
      <w:r w:rsidR="00D50626">
        <w:t xml:space="preserve">enables them to maintain a tenancy is critical to a successful </w:t>
      </w:r>
      <w:r w:rsidR="003C3368">
        <w:t>H</w:t>
      </w:r>
      <w:r w:rsidR="00D50626">
        <w:t xml:space="preserve">ousing </w:t>
      </w:r>
      <w:r w:rsidR="003C3368">
        <w:t>F</w:t>
      </w:r>
      <w:r w:rsidR="00D50626">
        <w:t xml:space="preserve">irst </w:t>
      </w:r>
      <w:r w:rsidR="008D4928">
        <w:t>approach</w:t>
      </w:r>
      <w:r w:rsidR="00D50626">
        <w:t>.</w:t>
      </w:r>
      <w:r w:rsidR="001E4124">
        <w:t xml:space="preserve"> </w:t>
      </w:r>
    </w:p>
    <w:p w14:paraId="723B2B59" w14:textId="26F93986" w:rsidR="00B26855" w:rsidRDefault="00D50626" w:rsidP="005422E5">
      <w:pPr>
        <w:pStyle w:val="Bullets"/>
        <w:numPr>
          <w:ilvl w:val="0"/>
          <w:numId w:val="0"/>
        </w:numPr>
      </w:pPr>
      <w:r>
        <w:t>Anglicare Tasmania</w:t>
      </w:r>
      <w:r w:rsidR="00B26855">
        <w:t xml:space="preserve"> continue</w:t>
      </w:r>
      <w:r>
        <w:t>s</w:t>
      </w:r>
      <w:r w:rsidR="00B26855">
        <w:t xml:space="preserve"> to receive requests for practical, on-ground assistance for Tasmanians living with hoarding</w:t>
      </w:r>
      <w:r>
        <w:t>,</w:t>
      </w:r>
      <w:r w:rsidR="00B26855">
        <w:t xml:space="preserve"> such as this request </w:t>
      </w:r>
      <w:r>
        <w:t>from a family member received</w:t>
      </w:r>
      <w:r w:rsidR="00C21E72">
        <w:t xml:space="preserve"> by </w:t>
      </w:r>
      <w:r w:rsidR="00736209">
        <w:t xml:space="preserve">our </w:t>
      </w:r>
      <w:r w:rsidR="00C21E72">
        <w:t>S</w:t>
      </w:r>
      <w:r w:rsidR="00736209">
        <w:t xml:space="preserve">ocial </w:t>
      </w:r>
      <w:r w:rsidR="00C21E72">
        <w:t>A</w:t>
      </w:r>
      <w:r w:rsidR="00736209">
        <w:t xml:space="preserve">ction and </w:t>
      </w:r>
      <w:r w:rsidR="00C21E72">
        <w:t>R</w:t>
      </w:r>
      <w:r w:rsidR="00736209">
        <w:t xml:space="preserve">esearch </w:t>
      </w:r>
      <w:r w:rsidR="00C21E72">
        <w:t>C</w:t>
      </w:r>
      <w:r w:rsidR="00736209">
        <w:t>entre (SARC)</w:t>
      </w:r>
      <w:r>
        <w:t xml:space="preserve"> in October 2023</w:t>
      </w:r>
      <w:r w:rsidR="00B26855">
        <w:t>:</w:t>
      </w:r>
    </w:p>
    <w:p w14:paraId="62FAFBC0" w14:textId="2D1FDE0C" w:rsidR="00B26855" w:rsidRPr="00A76B7D" w:rsidRDefault="00B26855" w:rsidP="00B26855">
      <w:pPr>
        <w:pStyle w:val="IntenseQuote"/>
      </w:pPr>
      <w:r w:rsidRPr="00A76B7D">
        <w:t>We are struggling to find services in Tasmania that can help with my mother in law’s hoarding… it prevents us from visiting and also the grandchildren from seeing their [grandparents] … Every surface to the house and shed is full and has spilled over to the yard. There is also animal hoarding ... there are many other paid storage facilities being utilised outside the property causing financial stress. Obviously it is a condition difficult to treat …</w:t>
      </w:r>
      <w:r w:rsidR="003C3368">
        <w:t xml:space="preserve"> </w:t>
      </w:r>
      <w:r w:rsidRPr="00A76B7D">
        <w:t>We feel we have lost our mother. Please advise if there is any support in Hobart available.</w:t>
      </w:r>
    </w:p>
    <w:p w14:paraId="5198EFDB" w14:textId="77777777" w:rsidR="00B26855" w:rsidRPr="001D25B7" w:rsidRDefault="00D50626" w:rsidP="00B26855">
      <w:pPr>
        <w:pStyle w:val="BodyText"/>
      </w:pPr>
      <w:r>
        <w:t>In September 2023, a</w:t>
      </w:r>
      <w:r w:rsidR="00B26855">
        <w:t xml:space="preserve"> </w:t>
      </w:r>
      <w:r>
        <w:t xml:space="preserve">(non-Anglicare) </w:t>
      </w:r>
      <w:r w:rsidR="00B26855">
        <w:t xml:space="preserve">case worker in </w:t>
      </w:r>
      <w:r>
        <w:t>northern Tasmania</w:t>
      </w:r>
      <w:r w:rsidR="00B26855">
        <w:t xml:space="preserve"> </w:t>
      </w:r>
      <w:r w:rsidR="00C21E72">
        <w:t xml:space="preserve">contacted SARC seeking information about the availability of </w:t>
      </w:r>
      <w:r w:rsidR="00B26855">
        <w:t>assistance for a client whose hoarding was preventing delivery of other services that he needs:</w:t>
      </w:r>
    </w:p>
    <w:p w14:paraId="73368F1B" w14:textId="648EED34" w:rsidR="00B26855" w:rsidRDefault="00B26855" w:rsidP="00B26855">
      <w:pPr>
        <w:pStyle w:val="IntenseQuote"/>
        <w:ind w:left="862" w:right="862"/>
      </w:pPr>
      <w:r>
        <w:t>[</w:t>
      </w:r>
      <w:r w:rsidR="003C3368">
        <w:t>N</w:t>
      </w:r>
      <w:r>
        <w:t>ame withheld]</w:t>
      </w:r>
      <w:r w:rsidRPr="00EF5BD5">
        <w:t xml:space="preserve"> is a 75 year old man with severe hoarding both inside and outside</w:t>
      </w:r>
      <w:r w:rsidR="00B56012">
        <w:t xml:space="preserve"> </w:t>
      </w:r>
      <w:r>
        <w:t>…</w:t>
      </w:r>
      <w:r w:rsidR="003C3368">
        <w:t xml:space="preserve"> </w:t>
      </w:r>
      <w:r w:rsidRPr="00EF5BD5">
        <w:t>he was provided with referral codes in the past for hoarding, but no one has availability</w:t>
      </w:r>
      <w:r w:rsidR="003C3368">
        <w:t xml:space="preserve"> </w:t>
      </w:r>
      <w:r>
        <w:t>…</w:t>
      </w:r>
      <w:r w:rsidR="003C3368">
        <w:t xml:space="preserve"> </w:t>
      </w:r>
      <w:r w:rsidRPr="00EF5BD5">
        <w:t>He cannot shower at his property or cook and relies on doing this at other people’s house</w:t>
      </w:r>
      <w:r w:rsidR="003C3368">
        <w:t>s</w:t>
      </w:r>
      <w:r w:rsidRPr="00EF5BD5">
        <w:t xml:space="preserve"> within the communit</w:t>
      </w:r>
      <w:r>
        <w:t xml:space="preserve">y. </w:t>
      </w:r>
      <w:r w:rsidRPr="00A76B7D">
        <w:t xml:space="preserve">I was reaching out to see if you knew of anything in the North that could help out, as this is impacting the way </w:t>
      </w:r>
      <w:r w:rsidRPr="00EF5BD5">
        <w:t>he lives and can receive services.</w:t>
      </w:r>
      <w:r>
        <w:t xml:space="preserve"> </w:t>
      </w:r>
    </w:p>
    <w:p w14:paraId="625F56A7" w14:textId="7B0A4925" w:rsidR="00C21E72" w:rsidRDefault="001E4124" w:rsidP="0060563D">
      <w:pPr>
        <w:pStyle w:val="BodyText"/>
        <w:rPr>
          <w:rFonts w:ascii="Avenir Next Demi Bold" w:hAnsi="Avenir Next Demi Bold"/>
          <w:b/>
          <w:bCs/>
        </w:rPr>
      </w:pPr>
      <w:r>
        <w:t xml:space="preserve">Currently there is </w:t>
      </w:r>
      <w:r w:rsidR="00A27FB6">
        <w:t>very limited</w:t>
      </w:r>
      <w:r>
        <w:t xml:space="preserve"> practical assistance available in Tasmania</w:t>
      </w:r>
      <w:r w:rsidR="00C21E72">
        <w:t xml:space="preserve"> that is accessible to those on low incomes and most at risk of homelessness</w:t>
      </w:r>
      <w:r w:rsidR="003C3368">
        <w:t>,</w:t>
      </w:r>
      <w:r w:rsidR="00A27FB6">
        <w:t xml:space="preserve"> and none that provides the coordinated care</w:t>
      </w:r>
      <w:r w:rsidR="003C3368">
        <w:t xml:space="preserve"> and</w:t>
      </w:r>
      <w:r w:rsidR="00A27FB6">
        <w:t xml:space="preserve"> clinical and psychosocial supports needed to facilitate long-term change. </w:t>
      </w:r>
      <w:r w:rsidR="00C21E72">
        <w:t>Assistance</w:t>
      </w:r>
      <w:r w:rsidR="00A27FB6">
        <w:t xml:space="preserve">, if available, </w:t>
      </w:r>
      <w:r w:rsidR="00C21E72">
        <w:t>is generally</w:t>
      </w:r>
      <w:r>
        <w:t xml:space="preserve"> limited to intensive clean-up and rubbish removal</w:t>
      </w:r>
      <w:r w:rsidR="003C3368">
        <w:t>,</w:t>
      </w:r>
      <w:r w:rsidR="00B86A4B">
        <w:t xml:space="preserve"> which</w:t>
      </w:r>
      <w:r w:rsidR="00A27FB6">
        <w:t xml:space="preserve"> provides little benefit to </w:t>
      </w:r>
      <w:r>
        <w:t>the client</w:t>
      </w:r>
      <w:r w:rsidR="00B86A4B">
        <w:t>,</w:t>
      </w:r>
      <w:r w:rsidR="00A27FB6">
        <w:t xml:space="preserve"> </w:t>
      </w:r>
      <w:r>
        <w:t xml:space="preserve">the landlord and the community </w:t>
      </w:r>
      <w:r w:rsidR="00FA4AFF">
        <w:t>relative to</w:t>
      </w:r>
      <w:r>
        <w:t xml:space="preserve"> the cost incurred</w:t>
      </w:r>
      <w:r w:rsidR="00C21E72">
        <w:t>.</w:t>
      </w:r>
    </w:p>
    <w:p w14:paraId="7E8C20AD" w14:textId="77777777" w:rsidR="006F68F2" w:rsidRDefault="006F68F2" w:rsidP="006F68F2">
      <w:pPr>
        <w:pStyle w:val="TitleinText"/>
      </w:pPr>
      <w:r>
        <w:t>Proposal</w:t>
      </w:r>
    </w:p>
    <w:p w14:paraId="60CE8F25" w14:textId="0F6DA89A" w:rsidR="006F68F2" w:rsidRPr="00141C42" w:rsidRDefault="006F68F2" w:rsidP="007F627E">
      <w:pPr>
        <w:pStyle w:val="TitleinText"/>
        <w:spacing w:after="120"/>
        <w:rPr>
          <w:rFonts w:ascii="Times New Roman" w:eastAsiaTheme="minorHAnsi" w:hAnsi="Times New Roman" w:cs="Times New Roman"/>
          <w:color w:val="auto"/>
          <w:lang w:eastAsia="en-AU"/>
        </w:rPr>
      </w:pPr>
      <w:r>
        <w:rPr>
          <w:b w:val="0"/>
        </w:rPr>
        <w:t xml:space="preserve">Anglicare Tasmania proposes </w:t>
      </w:r>
      <w:r w:rsidR="00973CA9">
        <w:rPr>
          <w:b w:val="0"/>
        </w:rPr>
        <w:t>piloting</w:t>
      </w:r>
      <w:r>
        <w:rPr>
          <w:b w:val="0"/>
        </w:rPr>
        <w:t xml:space="preserve"> </w:t>
      </w:r>
      <w:r>
        <w:rPr>
          <w:rFonts w:ascii="Avenir Next" w:hAnsi="Avenir Next"/>
          <w:b w:val="0"/>
          <w:bCs w:val="0"/>
        </w:rPr>
        <w:t>a specialised care</w:t>
      </w:r>
      <w:r w:rsidR="00973CA9">
        <w:rPr>
          <w:rFonts w:ascii="Avenir Next" w:hAnsi="Avenir Next"/>
          <w:b w:val="0"/>
          <w:bCs w:val="0"/>
        </w:rPr>
        <w:t xml:space="preserve"> program</w:t>
      </w:r>
      <w:r>
        <w:rPr>
          <w:rFonts w:ascii="Avenir Next" w:hAnsi="Avenir Next"/>
          <w:b w:val="0"/>
          <w:bCs w:val="0"/>
        </w:rPr>
        <w:t xml:space="preserve"> </w:t>
      </w:r>
      <w:r>
        <w:rPr>
          <w:b w:val="0"/>
        </w:rPr>
        <w:t xml:space="preserve">based on the findings of the </w:t>
      </w:r>
      <w:hyperlink r:id="rId16" w:history="1">
        <w:r w:rsidRPr="007F627E">
          <w:rPr>
            <w:rStyle w:val="Hyperlink"/>
            <w:rFonts w:ascii="Avenir Next Demi Bold" w:hAnsi="Avenir Next Demi Bold"/>
            <w:b w:val="0"/>
            <w:i/>
          </w:rPr>
          <w:t>Treasured Lives</w:t>
        </w:r>
      </w:hyperlink>
      <w:r>
        <w:rPr>
          <w:b w:val="0"/>
          <w:i/>
        </w:rPr>
        <w:t xml:space="preserve"> </w:t>
      </w:r>
      <w:r>
        <w:rPr>
          <w:b w:val="0"/>
        </w:rPr>
        <w:t>research</w:t>
      </w:r>
      <w:r w:rsidR="003C3368">
        <w:rPr>
          <w:b w:val="0"/>
        </w:rPr>
        <w:t>,</w:t>
      </w:r>
      <w:r w:rsidR="001E4124">
        <w:rPr>
          <w:b w:val="0"/>
        </w:rPr>
        <w:t xml:space="preserve"> which recommended coordinated, person-centred care</w:t>
      </w:r>
      <w:r>
        <w:rPr>
          <w:rFonts w:ascii="Avenir Next" w:hAnsi="Avenir Next"/>
          <w:b w:val="0"/>
          <w:bCs w:val="0"/>
        </w:rPr>
        <w:t xml:space="preserve">. Funding is sought for year one of a three-year pilot, during which the service delivery model will be </w:t>
      </w:r>
      <w:r w:rsidR="00973CA9">
        <w:rPr>
          <w:rFonts w:ascii="Avenir Next" w:hAnsi="Avenir Next"/>
          <w:b w:val="0"/>
          <w:bCs w:val="0"/>
        </w:rPr>
        <w:t>developed</w:t>
      </w:r>
      <w:r>
        <w:rPr>
          <w:rFonts w:ascii="Avenir Next" w:hAnsi="Avenir Next"/>
          <w:b w:val="0"/>
          <w:bCs w:val="0"/>
        </w:rPr>
        <w:t>, package costs determined and the evaluation framework established.</w:t>
      </w:r>
      <w:r w:rsidRPr="00763E53">
        <w:t xml:space="preserve"> </w:t>
      </w:r>
      <w:r w:rsidRPr="00763E53">
        <w:rPr>
          <w:rFonts w:ascii="Avenir Next" w:hAnsi="Avenir Next"/>
          <w:b w:val="0"/>
          <w:bCs w:val="0"/>
        </w:rPr>
        <w:t xml:space="preserve">Anglicare Tasmania </w:t>
      </w:r>
      <w:r>
        <w:rPr>
          <w:rFonts w:ascii="Avenir Next" w:hAnsi="Avenir Next"/>
          <w:b w:val="0"/>
          <w:bCs w:val="0"/>
        </w:rPr>
        <w:t xml:space="preserve">proposes </w:t>
      </w:r>
      <w:r w:rsidRPr="00763E53">
        <w:rPr>
          <w:rFonts w:ascii="Avenir Next" w:hAnsi="Avenir Next"/>
          <w:b w:val="0"/>
          <w:bCs w:val="0"/>
        </w:rPr>
        <w:t>work</w:t>
      </w:r>
      <w:r>
        <w:rPr>
          <w:rFonts w:ascii="Avenir Next" w:hAnsi="Avenir Next"/>
          <w:b w:val="0"/>
          <w:bCs w:val="0"/>
        </w:rPr>
        <w:t>ing</w:t>
      </w:r>
      <w:r w:rsidRPr="00763E53">
        <w:rPr>
          <w:rFonts w:ascii="Avenir Next" w:hAnsi="Avenir Next"/>
          <w:b w:val="0"/>
          <w:bCs w:val="0"/>
        </w:rPr>
        <w:t xml:space="preserve"> with </w:t>
      </w:r>
      <w:r>
        <w:rPr>
          <w:rFonts w:ascii="Avenir Next" w:hAnsi="Avenir Next"/>
          <w:b w:val="0"/>
          <w:bCs w:val="0"/>
        </w:rPr>
        <w:t xml:space="preserve">the </w:t>
      </w:r>
      <w:r w:rsidRPr="00763E53">
        <w:rPr>
          <w:rFonts w:ascii="Avenir Next" w:hAnsi="Avenir Next"/>
          <w:b w:val="0"/>
          <w:bCs w:val="0"/>
        </w:rPr>
        <w:t xml:space="preserve">Department of Health in year one of this proposal to identify appropriate outcomes and </w:t>
      </w:r>
      <w:r w:rsidRPr="00763E53">
        <w:rPr>
          <w:rFonts w:ascii="Avenir Next" w:hAnsi="Avenir Next"/>
          <w:b w:val="0"/>
          <w:bCs w:val="0"/>
        </w:rPr>
        <w:lastRenderedPageBreak/>
        <w:t>outputs for year 2 and 3 of pilot program</w:t>
      </w:r>
      <w:r w:rsidR="00973CA9">
        <w:rPr>
          <w:rFonts w:ascii="Avenir Next" w:hAnsi="Avenir Next"/>
          <w:b w:val="0"/>
          <w:bCs w:val="0"/>
        </w:rPr>
        <w:t>.</w:t>
      </w:r>
    </w:p>
    <w:p w14:paraId="6F5679D9" w14:textId="5A3D49F8" w:rsidR="006F68F2" w:rsidRDefault="0097301E" w:rsidP="006F68F2">
      <w:pPr>
        <w:rPr>
          <w:rFonts w:ascii="Calibri" w:hAnsi="Calibri" w:cs="Calibri"/>
        </w:rPr>
      </w:pPr>
      <w:r>
        <w:t>C</w:t>
      </w:r>
      <w:r w:rsidR="006F68F2">
        <w:t>ase management and c</w:t>
      </w:r>
      <w:r w:rsidR="008447C6">
        <w:t>are c</w:t>
      </w:r>
      <w:r w:rsidR="006F68F2">
        <w:t xml:space="preserve">oordination </w:t>
      </w:r>
      <w:r w:rsidR="008447C6">
        <w:t>would be</w:t>
      </w:r>
      <w:r w:rsidR="006F68F2">
        <w:t xml:space="preserve"> provided by specialist social workers</w:t>
      </w:r>
      <w:r w:rsidR="00973CA9">
        <w:t xml:space="preserve">. </w:t>
      </w:r>
      <w:r w:rsidR="006F68F2">
        <w:rPr>
          <w:rFonts w:ascii="Calibri" w:hAnsi="Calibri" w:cs="Calibri"/>
        </w:rPr>
        <w:t>Anglicare Tasmania would provide referrals to specialist services</w:t>
      </w:r>
      <w:r w:rsidR="003C3368">
        <w:rPr>
          <w:rFonts w:ascii="Calibri" w:hAnsi="Calibri" w:cs="Calibri"/>
        </w:rPr>
        <w:t>;</w:t>
      </w:r>
      <w:r w:rsidR="006F68F2">
        <w:rPr>
          <w:rFonts w:ascii="Calibri" w:hAnsi="Calibri" w:cs="Calibri"/>
        </w:rPr>
        <w:t xml:space="preserve"> </w:t>
      </w:r>
      <w:r>
        <w:t>clinical and psychosocial supports, including cognitive behaviour therapy (CBT) if necessary</w:t>
      </w:r>
      <w:r w:rsidR="008447C6">
        <w:t>,</w:t>
      </w:r>
      <w:r>
        <w:t xml:space="preserve"> to address underlying conditions and facilitate long-term change</w:t>
      </w:r>
      <w:r w:rsidR="003C3368">
        <w:t>;</w:t>
      </w:r>
      <w:r>
        <w:t xml:space="preserve"> </w:t>
      </w:r>
      <w:r w:rsidR="006F68F2">
        <w:rPr>
          <w:rFonts w:ascii="Calibri" w:hAnsi="Calibri" w:cs="Calibri"/>
        </w:rPr>
        <w:t xml:space="preserve">and broker </w:t>
      </w:r>
      <w:r w:rsidR="00D50626">
        <w:rPr>
          <w:rFonts w:ascii="Calibri" w:hAnsi="Calibri" w:cs="Calibri"/>
        </w:rPr>
        <w:t>forensic cleaning</w:t>
      </w:r>
      <w:r w:rsidR="006F68F2" w:rsidRPr="0076550A">
        <w:rPr>
          <w:rFonts w:ascii="Calibri" w:hAnsi="Calibri" w:cs="Calibri"/>
        </w:rPr>
        <w:t xml:space="preserve"> to restore </w:t>
      </w:r>
      <w:r w:rsidR="006F68F2">
        <w:rPr>
          <w:rFonts w:ascii="Calibri" w:hAnsi="Calibri" w:cs="Calibri"/>
        </w:rPr>
        <w:t xml:space="preserve">a </w:t>
      </w:r>
      <w:r w:rsidR="006F68F2" w:rsidRPr="0076550A">
        <w:rPr>
          <w:rFonts w:ascii="Calibri" w:hAnsi="Calibri" w:cs="Calibri"/>
        </w:rPr>
        <w:t xml:space="preserve">healthy </w:t>
      </w:r>
      <w:r w:rsidR="006F68F2">
        <w:rPr>
          <w:rFonts w:ascii="Calibri" w:hAnsi="Calibri" w:cs="Calibri"/>
        </w:rPr>
        <w:t xml:space="preserve">home </w:t>
      </w:r>
      <w:r w:rsidR="006F68F2" w:rsidRPr="0076550A">
        <w:rPr>
          <w:rFonts w:ascii="Calibri" w:hAnsi="Calibri" w:cs="Calibri"/>
        </w:rPr>
        <w:t>environment</w:t>
      </w:r>
      <w:r w:rsidR="00D50626">
        <w:rPr>
          <w:rFonts w:ascii="Calibri" w:hAnsi="Calibri" w:cs="Calibri"/>
        </w:rPr>
        <w:t>:</w:t>
      </w:r>
      <w:r w:rsidR="006F68F2">
        <w:rPr>
          <w:rFonts w:ascii="Calibri" w:hAnsi="Calibri" w:cs="Calibri"/>
        </w:rPr>
        <w:t xml:space="preserve"> </w:t>
      </w:r>
    </w:p>
    <w:p w14:paraId="638D59E3" w14:textId="6F22282F" w:rsidR="006F68F2" w:rsidRPr="000D619D" w:rsidRDefault="006F68F2" w:rsidP="006F68F2">
      <w:pPr>
        <w:pStyle w:val="TitleinText"/>
        <w:rPr>
          <w:rFonts w:ascii="Avenir Next" w:hAnsi="Avenir Next"/>
          <w:bCs w:val="0"/>
        </w:rPr>
      </w:pPr>
      <w:r>
        <w:rPr>
          <w:rFonts w:ascii="Avenir Next" w:hAnsi="Avenir Next"/>
          <w:bCs w:val="0"/>
        </w:rPr>
        <w:t xml:space="preserve">Funding request for year one of </w:t>
      </w:r>
      <w:r w:rsidR="00CE65E9">
        <w:rPr>
          <w:rFonts w:ascii="Avenir Next" w:hAnsi="Avenir Next"/>
          <w:bCs w:val="0"/>
        </w:rPr>
        <w:t>the three</w:t>
      </w:r>
      <w:r w:rsidR="00304B8A">
        <w:rPr>
          <w:rFonts w:ascii="Avenir Next" w:hAnsi="Avenir Next"/>
          <w:bCs w:val="0"/>
        </w:rPr>
        <w:t>-</w:t>
      </w:r>
      <w:r w:rsidR="00CE65E9">
        <w:rPr>
          <w:rFonts w:ascii="Avenir Next" w:hAnsi="Avenir Next"/>
          <w:bCs w:val="0"/>
        </w:rPr>
        <w:t xml:space="preserve">year </w:t>
      </w:r>
      <w:r>
        <w:rPr>
          <w:rFonts w:ascii="Avenir Next" w:hAnsi="Avenir Next"/>
          <w:bCs w:val="0"/>
        </w:rPr>
        <w:t>pilot</w:t>
      </w:r>
    </w:p>
    <w:p w14:paraId="40BE5493" w14:textId="77777777" w:rsidR="006F68F2" w:rsidRDefault="006F68F2" w:rsidP="006F68F2">
      <w:pPr>
        <w:pStyle w:val="TitleinText"/>
        <w:rPr>
          <w:rFonts w:ascii="Avenir Next" w:hAnsi="Avenir Next"/>
          <w:b w:val="0"/>
          <w:bCs w:val="0"/>
        </w:rPr>
      </w:pPr>
      <w:r>
        <w:rPr>
          <w:rFonts w:ascii="Avenir Next" w:hAnsi="Avenir Next"/>
          <w:b w:val="0"/>
          <w:bCs w:val="0"/>
        </w:rPr>
        <w:t>For year one of the pilot the following funding is sought:</w:t>
      </w:r>
    </w:p>
    <w:p w14:paraId="60BF4F96" w14:textId="77777777" w:rsidR="006F68F2" w:rsidRDefault="006F68F2" w:rsidP="005422E5">
      <w:pPr>
        <w:pStyle w:val="Bullets"/>
      </w:pPr>
      <w:r>
        <w:t>$2</w:t>
      </w:r>
      <w:r w:rsidR="00F53E77">
        <w:t>97</w:t>
      </w:r>
      <w:r>
        <w:t>,</w:t>
      </w:r>
      <w:r w:rsidR="00F53E77">
        <w:t>9</w:t>
      </w:r>
      <w:r>
        <w:t>00 salaries and on-costs for 2 FTE social worker specialists</w:t>
      </w:r>
    </w:p>
    <w:p w14:paraId="265D1293" w14:textId="77777777" w:rsidR="006F68F2" w:rsidRDefault="006F68F2" w:rsidP="005422E5">
      <w:pPr>
        <w:pStyle w:val="Bullets"/>
      </w:pPr>
      <w:r>
        <w:t>$1</w:t>
      </w:r>
      <w:r w:rsidR="00F53E77">
        <w:t>75</w:t>
      </w:r>
      <w:r>
        <w:t>,</w:t>
      </w:r>
      <w:r w:rsidR="00F53E77">
        <w:t>6</w:t>
      </w:r>
      <w:r>
        <w:t>00 flexible fund to engage i</w:t>
      </w:r>
      <w:r w:rsidRPr="0076550A">
        <w:t xml:space="preserve">ntensive services to restore </w:t>
      </w:r>
      <w:r>
        <w:t xml:space="preserve">a </w:t>
      </w:r>
      <w:r w:rsidRPr="0076550A">
        <w:t xml:space="preserve">healthy </w:t>
      </w:r>
      <w:r>
        <w:t xml:space="preserve">home </w:t>
      </w:r>
      <w:r w:rsidRPr="0076550A">
        <w:t>environment</w:t>
      </w:r>
    </w:p>
    <w:p w14:paraId="5B9E4627" w14:textId="705BAC20" w:rsidR="006F68F2" w:rsidRDefault="006F68F2" w:rsidP="005422E5">
      <w:pPr>
        <w:pStyle w:val="Bullets"/>
      </w:pPr>
      <w:r>
        <w:t>$</w:t>
      </w:r>
      <w:r w:rsidR="00F53E77">
        <w:t>40</w:t>
      </w:r>
      <w:r>
        <w:t>,</w:t>
      </w:r>
      <w:r w:rsidR="00F53E77">
        <w:t>2</w:t>
      </w:r>
      <w:r>
        <w:t>00 flexible fund to provide clients with specialist cognitive behaviour therapy (CBT)</w:t>
      </w:r>
      <w:r w:rsidR="00F22300">
        <w:t>.</w:t>
      </w:r>
    </w:p>
    <w:p w14:paraId="61F61B36" w14:textId="77777777" w:rsidR="00D50626" w:rsidRDefault="006F68F2" w:rsidP="006F68F2">
      <w:pPr>
        <w:pStyle w:val="BodyText"/>
      </w:pPr>
      <w:r>
        <w:t>The flexible fund request is based on the estimated costs of services for up to 30 clients</w:t>
      </w:r>
      <w:r w:rsidR="00D50626">
        <w:t>.</w:t>
      </w:r>
    </w:p>
    <w:p w14:paraId="397EC6AD" w14:textId="77777777" w:rsidR="006F68F2" w:rsidRDefault="006F68F2" w:rsidP="006F68F2">
      <w:pPr>
        <w:pStyle w:val="BodyText"/>
      </w:pPr>
      <w:r>
        <w:t>Anglicare Tasmania will fund:</w:t>
      </w:r>
    </w:p>
    <w:p w14:paraId="4F98AF71" w14:textId="784FB050" w:rsidR="006F68F2" w:rsidRDefault="00F22300" w:rsidP="005422E5">
      <w:pPr>
        <w:pStyle w:val="Bullets"/>
      </w:pPr>
      <w:r>
        <w:t>t</w:t>
      </w:r>
      <w:r w:rsidR="006F68F2">
        <w:t xml:space="preserve">raining and capacity building, including </w:t>
      </w:r>
      <w:r w:rsidR="00973CA9">
        <w:t xml:space="preserve">specialised </w:t>
      </w:r>
      <w:r w:rsidR="006F68F2">
        <w:t>training for social worker specialists, CBT therapists and other staff working with these clients</w:t>
      </w:r>
      <w:r w:rsidR="00973CA9">
        <w:t xml:space="preserve">. </w:t>
      </w:r>
      <w:r w:rsidR="006F68F2">
        <w:t>This training is not available in Tasmania and external training providers would be engaged</w:t>
      </w:r>
    </w:p>
    <w:p w14:paraId="2F8F5EAA" w14:textId="43376717" w:rsidR="006F68F2" w:rsidRDefault="00F22300" w:rsidP="005422E5">
      <w:pPr>
        <w:pStyle w:val="Bullets"/>
      </w:pPr>
      <w:r>
        <w:t>c</w:t>
      </w:r>
      <w:r w:rsidR="006F68F2">
        <w:t>linical supervision of specialist social workers</w:t>
      </w:r>
    </w:p>
    <w:p w14:paraId="2A2F66B7" w14:textId="60E43591" w:rsidR="006F68F2" w:rsidRDefault="00F22300" w:rsidP="005422E5">
      <w:pPr>
        <w:pStyle w:val="Bullets"/>
      </w:pPr>
      <w:r>
        <w:t>m</w:t>
      </w:r>
      <w:r w:rsidR="006F68F2" w:rsidRPr="00141C42">
        <w:t xml:space="preserve">odifications to </w:t>
      </w:r>
      <w:r w:rsidR="006F68F2">
        <w:t xml:space="preserve">IT </w:t>
      </w:r>
      <w:r w:rsidR="006F68F2" w:rsidRPr="00141C42">
        <w:t>system configuration</w:t>
      </w:r>
      <w:r w:rsidR="006F68F2">
        <w:t xml:space="preserve"> to support data management</w:t>
      </w:r>
    </w:p>
    <w:p w14:paraId="778454D7" w14:textId="3729DEBF" w:rsidR="006F68F2" w:rsidRPr="00382B98" w:rsidRDefault="00F22300" w:rsidP="005422E5">
      <w:pPr>
        <w:pStyle w:val="Bullets"/>
      </w:pPr>
      <w:r>
        <w:t>a</w:t>
      </w:r>
      <w:r w:rsidR="006F68F2">
        <w:t>dministrative costs, additional pay for upskilled existing staff</w:t>
      </w:r>
      <w:r>
        <w:t xml:space="preserve"> and</w:t>
      </w:r>
      <w:r w:rsidR="006F68F2">
        <w:t xml:space="preserve"> management of the social workers.</w:t>
      </w:r>
    </w:p>
    <w:p w14:paraId="2AB7BE8F" w14:textId="5C5328E4" w:rsidR="006F68F2" w:rsidRPr="00311C49" w:rsidRDefault="006F68F2" w:rsidP="005422E5">
      <w:pPr>
        <w:pStyle w:val="Bullets"/>
        <w:numPr>
          <w:ilvl w:val="0"/>
          <w:numId w:val="0"/>
        </w:numPr>
      </w:pPr>
      <w:r>
        <w:t xml:space="preserve">A key benefit of this program is the provision of specialist training within Tasmania to build the </w:t>
      </w:r>
      <w:r w:rsidR="00F22300">
        <w:t>s</w:t>
      </w:r>
      <w:r>
        <w:t>tate’s capacity to provide specialist services in the area of hoarding.</w:t>
      </w:r>
      <w:r w:rsidR="00B86A4B">
        <w:t xml:space="preserve"> </w:t>
      </w:r>
    </w:p>
    <w:p w14:paraId="66163090" w14:textId="77777777" w:rsidR="006F68F2" w:rsidRDefault="006F68F2" w:rsidP="005422E5">
      <w:pPr>
        <w:pStyle w:val="Bullets"/>
        <w:numPr>
          <w:ilvl w:val="0"/>
          <w:numId w:val="0"/>
        </w:numPr>
      </w:pPr>
      <w:r>
        <w:t>Additional detail about the program proposal is available on request.</w:t>
      </w:r>
    </w:p>
    <w:p w14:paraId="7C52027D" w14:textId="77777777" w:rsidR="00B86A4B" w:rsidRPr="00B86A4B" w:rsidRDefault="00B86A4B" w:rsidP="00B86A4B">
      <w:pPr>
        <w:pStyle w:val="BodyText"/>
      </w:pPr>
    </w:p>
    <w:p w14:paraId="7136711D" w14:textId="2D5DCB01" w:rsidR="006F68F2" w:rsidRDefault="006F68F2" w:rsidP="006F68F2">
      <w:pPr>
        <w:pStyle w:val="BodyText"/>
      </w:pPr>
      <w:r w:rsidRPr="00382B98">
        <w:rPr>
          <w:rStyle w:val="SubtleEmphasis"/>
        </w:rPr>
        <w:t xml:space="preserve">Table </w:t>
      </w:r>
      <w:r w:rsidR="00963653">
        <w:rPr>
          <w:rStyle w:val="SubtleEmphasis"/>
        </w:rPr>
        <w:t>2</w:t>
      </w:r>
      <w:r w:rsidRPr="00382B98">
        <w:rPr>
          <w:rStyle w:val="SubtleEmphasis"/>
        </w:rPr>
        <w:t>. Indicative Government investment if program funded over 3 years</w:t>
      </w:r>
      <w:r w:rsidR="00D77790">
        <w:rPr>
          <w:rStyle w:val="SubtleEmphasis"/>
        </w:rPr>
        <w:t xml:space="preserve"> </w:t>
      </w:r>
    </w:p>
    <w:tbl>
      <w:tblPr>
        <w:tblW w:w="9923" w:type="dxa"/>
        <w:tblBorders>
          <w:top w:val="single" w:sz="2" w:space="0" w:color="575F61"/>
          <w:bottom w:val="single" w:sz="2" w:space="0" w:color="575F61"/>
          <w:insideH w:val="single" w:sz="2" w:space="0" w:color="575F61"/>
        </w:tblBorders>
        <w:tblLayout w:type="fixed"/>
        <w:tblCellMar>
          <w:left w:w="57" w:type="dxa"/>
          <w:right w:w="0" w:type="dxa"/>
        </w:tblCellMar>
        <w:tblLook w:val="01E0" w:firstRow="1" w:lastRow="1" w:firstColumn="1" w:lastColumn="1" w:noHBand="0" w:noVBand="0"/>
      </w:tblPr>
      <w:tblGrid>
        <w:gridCol w:w="4395"/>
        <w:gridCol w:w="992"/>
        <w:gridCol w:w="992"/>
        <w:gridCol w:w="992"/>
        <w:gridCol w:w="2552"/>
      </w:tblGrid>
      <w:tr w:rsidR="006F68F2" w14:paraId="266F2596" w14:textId="77777777" w:rsidTr="0027069A">
        <w:trPr>
          <w:trHeight w:val="792"/>
        </w:trPr>
        <w:tc>
          <w:tcPr>
            <w:tcW w:w="4395" w:type="dxa"/>
            <w:vAlign w:val="center"/>
          </w:tcPr>
          <w:p w14:paraId="509E618A" w14:textId="77777777" w:rsidR="006F68F2" w:rsidRPr="00DE6569" w:rsidRDefault="006F68F2" w:rsidP="00D50626">
            <w:pPr>
              <w:pStyle w:val="BodyText"/>
              <w:rPr>
                <w:sz w:val="20"/>
                <w:szCs w:val="20"/>
              </w:rPr>
            </w:pPr>
            <w:r w:rsidRPr="00DE6569">
              <w:rPr>
                <w:sz w:val="20"/>
                <w:szCs w:val="20"/>
              </w:rPr>
              <w:t>Investment item</w:t>
            </w:r>
          </w:p>
        </w:tc>
        <w:tc>
          <w:tcPr>
            <w:tcW w:w="992" w:type="dxa"/>
            <w:vAlign w:val="center"/>
          </w:tcPr>
          <w:p w14:paraId="6710DCA6" w14:textId="77777777" w:rsidR="006F68F2" w:rsidRPr="00283590" w:rsidRDefault="006F68F2" w:rsidP="00D50626">
            <w:pPr>
              <w:pStyle w:val="BodyText"/>
              <w:jc w:val="center"/>
              <w:rPr>
                <w:b/>
                <w:sz w:val="20"/>
                <w:szCs w:val="20"/>
              </w:rPr>
            </w:pPr>
            <w:r w:rsidRPr="00283590">
              <w:rPr>
                <w:b/>
                <w:sz w:val="20"/>
                <w:szCs w:val="20"/>
              </w:rPr>
              <w:t>202</w:t>
            </w:r>
            <w:r w:rsidR="00F53E77">
              <w:rPr>
                <w:b/>
                <w:sz w:val="20"/>
                <w:szCs w:val="20"/>
              </w:rPr>
              <w:t>4</w:t>
            </w:r>
            <w:r w:rsidRPr="00283590">
              <w:rPr>
                <w:b/>
                <w:sz w:val="20"/>
                <w:szCs w:val="20"/>
              </w:rPr>
              <w:t>/2</w:t>
            </w:r>
            <w:r w:rsidR="00F53E77">
              <w:rPr>
                <w:b/>
                <w:sz w:val="20"/>
                <w:szCs w:val="20"/>
              </w:rPr>
              <w:t>5</w:t>
            </w:r>
          </w:p>
        </w:tc>
        <w:tc>
          <w:tcPr>
            <w:tcW w:w="992" w:type="dxa"/>
            <w:vAlign w:val="center"/>
          </w:tcPr>
          <w:p w14:paraId="0CEDAD44" w14:textId="77777777" w:rsidR="006F68F2" w:rsidRPr="00DE6569" w:rsidRDefault="006F68F2" w:rsidP="00D50626">
            <w:pPr>
              <w:pStyle w:val="BodyText"/>
              <w:jc w:val="center"/>
              <w:rPr>
                <w:sz w:val="20"/>
                <w:szCs w:val="20"/>
              </w:rPr>
            </w:pPr>
            <w:r w:rsidRPr="00DE6569">
              <w:rPr>
                <w:sz w:val="20"/>
                <w:szCs w:val="20"/>
              </w:rPr>
              <w:t>202</w:t>
            </w:r>
            <w:r w:rsidR="00F53E77">
              <w:rPr>
                <w:sz w:val="20"/>
                <w:szCs w:val="20"/>
              </w:rPr>
              <w:t>5</w:t>
            </w:r>
            <w:r w:rsidRPr="00DE6569">
              <w:rPr>
                <w:sz w:val="20"/>
                <w:szCs w:val="20"/>
              </w:rPr>
              <w:t>/2</w:t>
            </w:r>
            <w:r w:rsidR="00F53E77">
              <w:rPr>
                <w:sz w:val="20"/>
                <w:szCs w:val="20"/>
              </w:rPr>
              <w:t>6</w:t>
            </w:r>
          </w:p>
        </w:tc>
        <w:tc>
          <w:tcPr>
            <w:tcW w:w="992" w:type="dxa"/>
            <w:vAlign w:val="center"/>
          </w:tcPr>
          <w:p w14:paraId="151CBED5" w14:textId="77777777" w:rsidR="006F68F2" w:rsidRPr="00DE6569" w:rsidRDefault="006F68F2" w:rsidP="00D50626">
            <w:pPr>
              <w:pStyle w:val="BodyText"/>
              <w:jc w:val="center"/>
              <w:rPr>
                <w:sz w:val="20"/>
                <w:szCs w:val="20"/>
              </w:rPr>
            </w:pPr>
            <w:r w:rsidRPr="00DE6569">
              <w:rPr>
                <w:sz w:val="20"/>
                <w:szCs w:val="20"/>
              </w:rPr>
              <w:t>202</w:t>
            </w:r>
            <w:r w:rsidR="00F53E77">
              <w:rPr>
                <w:sz w:val="20"/>
                <w:szCs w:val="20"/>
              </w:rPr>
              <w:t>6/</w:t>
            </w:r>
            <w:r w:rsidRPr="00DE6569">
              <w:rPr>
                <w:sz w:val="20"/>
                <w:szCs w:val="20"/>
              </w:rPr>
              <w:t>2</w:t>
            </w:r>
            <w:r w:rsidR="00F53E77">
              <w:rPr>
                <w:sz w:val="20"/>
                <w:szCs w:val="20"/>
              </w:rPr>
              <w:t>7</w:t>
            </w:r>
          </w:p>
        </w:tc>
        <w:tc>
          <w:tcPr>
            <w:tcW w:w="2552" w:type="dxa"/>
            <w:vAlign w:val="center"/>
          </w:tcPr>
          <w:p w14:paraId="0AD19C8B" w14:textId="77777777" w:rsidR="006F68F2" w:rsidRPr="00DE6569" w:rsidRDefault="006F68F2" w:rsidP="00D50626">
            <w:pPr>
              <w:pStyle w:val="BodyText"/>
              <w:jc w:val="center"/>
              <w:rPr>
                <w:sz w:val="20"/>
                <w:szCs w:val="20"/>
              </w:rPr>
            </w:pPr>
            <w:r w:rsidRPr="00DE6569">
              <w:rPr>
                <w:sz w:val="20"/>
                <w:szCs w:val="20"/>
              </w:rPr>
              <w:t xml:space="preserve">Total </w:t>
            </w:r>
            <w:r>
              <w:rPr>
                <w:sz w:val="20"/>
                <w:szCs w:val="20"/>
              </w:rPr>
              <w:t>government expenditure</w:t>
            </w:r>
            <w:r w:rsidRPr="00DE6569">
              <w:rPr>
                <w:sz w:val="20"/>
                <w:szCs w:val="20"/>
              </w:rPr>
              <w:t xml:space="preserve"> </w:t>
            </w:r>
            <w:r>
              <w:rPr>
                <w:sz w:val="20"/>
                <w:szCs w:val="20"/>
              </w:rPr>
              <w:t xml:space="preserve">per item </w:t>
            </w:r>
            <w:r w:rsidRPr="00DE6569">
              <w:rPr>
                <w:sz w:val="20"/>
                <w:szCs w:val="20"/>
              </w:rPr>
              <w:t xml:space="preserve">over </w:t>
            </w:r>
            <w:r>
              <w:rPr>
                <w:sz w:val="20"/>
                <w:szCs w:val="20"/>
              </w:rPr>
              <w:t>3</w:t>
            </w:r>
            <w:r w:rsidRPr="00DE6569">
              <w:rPr>
                <w:sz w:val="20"/>
                <w:szCs w:val="20"/>
              </w:rPr>
              <w:t xml:space="preserve"> years</w:t>
            </w:r>
          </w:p>
        </w:tc>
      </w:tr>
      <w:tr w:rsidR="006F68F2" w14:paraId="63B92DC6" w14:textId="77777777" w:rsidTr="0027069A">
        <w:trPr>
          <w:trHeight w:val="572"/>
        </w:trPr>
        <w:tc>
          <w:tcPr>
            <w:tcW w:w="4395" w:type="dxa"/>
            <w:vAlign w:val="center"/>
          </w:tcPr>
          <w:p w14:paraId="1101C1F6" w14:textId="30E73F4F" w:rsidR="006F68F2" w:rsidRPr="00DE6569" w:rsidRDefault="006F68F2" w:rsidP="0027069A">
            <w:pPr>
              <w:pStyle w:val="BodyText"/>
              <w:rPr>
                <w:sz w:val="20"/>
                <w:szCs w:val="20"/>
              </w:rPr>
            </w:pPr>
            <w:r>
              <w:rPr>
                <w:sz w:val="20"/>
                <w:szCs w:val="20"/>
              </w:rPr>
              <w:t xml:space="preserve">Social </w:t>
            </w:r>
            <w:r w:rsidR="00F22300">
              <w:rPr>
                <w:sz w:val="20"/>
                <w:szCs w:val="20"/>
              </w:rPr>
              <w:t>w</w:t>
            </w:r>
            <w:r>
              <w:rPr>
                <w:sz w:val="20"/>
                <w:szCs w:val="20"/>
              </w:rPr>
              <w:t xml:space="preserve">orker </w:t>
            </w:r>
            <w:r w:rsidR="00F22300">
              <w:rPr>
                <w:sz w:val="20"/>
                <w:szCs w:val="20"/>
              </w:rPr>
              <w:t>s</w:t>
            </w:r>
            <w:r>
              <w:rPr>
                <w:sz w:val="20"/>
                <w:szCs w:val="20"/>
              </w:rPr>
              <w:t>pecialists (2FTE)</w:t>
            </w:r>
            <w:r w:rsidR="00B56012">
              <w:rPr>
                <w:sz w:val="20"/>
                <w:szCs w:val="20"/>
              </w:rPr>
              <w:t xml:space="preserve"> </w:t>
            </w:r>
          </w:p>
        </w:tc>
        <w:tc>
          <w:tcPr>
            <w:tcW w:w="992" w:type="dxa"/>
            <w:vAlign w:val="center"/>
          </w:tcPr>
          <w:p w14:paraId="0B7AC560" w14:textId="77777777" w:rsidR="006F68F2" w:rsidRPr="00283590" w:rsidRDefault="006F68F2" w:rsidP="0027069A">
            <w:pPr>
              <w:pStyle w:val="BodyText"/>
              <w:jc w:val="center"/>
              <w:rPr>
                <w:b/>
                <w:sz w:val="20"/>
                <w:szCs w:val="20"/>
              </w:rPr>
            </w:pPr>
            <w:r w:rsidRPr="00283590">
              <w:rPr>
                <w:b/>
                <w:sz w:val="20"/>
                <w:szCs w:val="20"/>
              </w:rPr>
              <w:t>$</w:t>
            </w:r>
            <w:r w:rsidR="004707CE">
              <w:rPr>
                <w:b/>
                <w:sz w:val="20"/>
                <w:szCs w:val="20"/>
              </w:rPr>
              <w:t>297,900</w:t>
            </w:r>
          </w:p>
        </w:tc>
        <w:tc>
          <w:tcPr>
            <w:tcW w:w="992" w:type="dxa"/>
            <w:vAlign w:val="center"/>
          </w:tcPr>
          <w:p w14:paraId="7FF2A087" w14:textId="54D8309B" w:rsidR="006F68F2" w:rsidRPr="00DE6569" w:rsidRDefault="00F53E77" w:rsidP="0027069A">
            <w:pPr>
              <w:pStyle w:val="BodyText"/>
              <w:jc w:val="center"/>
              <w:rPr>
                <w:sz w:val="20"/>
                <w:szCs w:val="20"/>
              </w:rPr>
            </w:pPr>
            <w:r w:rsidRPr="00F53E77">
              <w:rPr>
                <w:sz w:val="20"/>
                <w:szCs w:val="20"/>
              </w:rPr>
              <w:t>$</w:t>
            </w:r>
            <w:r w:rsidR="00D77790">
              <w:rPr>
                <w:sz w:val="20"/>
                <w:szCs w:val="20"/>
              </w:rPr>
              <w:t>312,800</w:t>
            </w:r>
          </w:p>
        </w:tc>
        <w:tc>
          <w:tcPr>
            <w:tcW w:w="992" w:type="dxa"/>
            <w:vAlign w:val="center"/>
          </w:tcPr>
          <w:p w14:paraId="1A056523" w14:textId="12B9CA9F" w:rsidR="006F68F2" w:rsidRPr="00DE6569" w:rsidRDefault="00F53E77" w:rsidP="0027069A">
            <w:pPr>
              <w:pStyle w:val="BodyText"/>
              <w:jc w:val="center"/>
              <w:rPr>
                <w:sz w:val="20"/>
                <w:szCs w:val="20"/>
              </w:rPr>
            </w:pPr>
            <w:r w:rsidRPr="00F53E77">
              <w:rPr>
                <w:sz w:val="20"/>
                <w:szCs w:val="20"/>
              </w:rPr>
              <w:t>$</w:t>
            </w:r>
            <w:r w:rsidR="00D77790">
              <w:rPr>
                <w:sz w:val="20"/>
                <w:szCs w:val="20"/>
              </w:rPr>
              <w:t>326</w:t>
            </w:r>
            <w:r w:rsidRPr="00F53E77">
              <w:rPr>
                <w:sz w:val="20"/>
                <w:szCs w:val="20"/>
              </w:rPr>
              <w:t>,900</w:t>
            </w:r>
          </w:p>
        </w:tc>
        <w:tc>
          <w:tcPr>
            <w:tcW w:w="2552" w:type="dxa"/>
            <w:shd w:val="clear" w:color="auto" w:fill="E6E3D9"/>
            <w:vAlign w:val="center"/>
          </w:tcPr>
          <w:p w14:paraId="5C05C090" w14:textId="1EDC7ECB" w:rsidR="006F68F2" w:rsidRPr="00DE6569" w:rsidRDefault="006F68F2" w:rsidP="0027069A">
            <w:pPr>
              <w:pStyle w:val="BodyText"/>
              <w:jc w:val="center"/>
              <w:rPr>
                <w:sz w:val="20"/>
                <w:szCs w:val="20"/>
              </w:rPr>
            </w:pPr>
            <w:r w:rsidRPr="00DE6569">
              <w:rPr>
                <w:sz w:val="20"/>
                <w:szCs w:val="20"/>
              </w:rPr>
              <w:t>$</w:t>
            </w:r>
            <w:r w:rsidR="00D77790">
              <w:rPr>
                <w:sz w:val="20"/>
                <w:szCs w:val="20"/>
              </w:rPr>
              <w:t>937</w:t>
            </w:r>
            <w:r>
              <w:rPr>
                <w:sz w:val="20"/>
                <w:szCs w:val="20"/>
              </w:rPr>
              <w:t>,</w:t>
            </w:r>
            <w:r w:rsidR="00D77790">
              <w:rPr>
                <w:sz w:val="20"/>
                <w:szCs w:val="20"/>
              </w:rPr>
              <w:t>6</w:t>
            </w:r>
            <w:r>
              <w:rPr>
                <w:sz w:val="20"/>
                <w:szCs w:val="20"/>
              </w:rPr>
              <w:t>00</w:t>
            </w:r>
          </w:p>
        </w:tc>
      </w:tr>
      <w:tr w:rsidR="006F68F2" w14:paraId="0543795C" w14:textId="77777777" w:rsidTr="0027069A">
        <w:trPr>
          <w:trHeight w:val="352"/>
        </w:trPr>
        <w:tc>
          <w:tcPr>
            <w:tcW w:w="4395" w:type="dxa"/>
            <w:vAlign w:val="center"/>
          </w:tcPr>
          <w:p w14:paraId="521E007C" w14:textId="3274920A" w:rsidR="006F68F2" w:rsidRPr="00DE6569" w:rsidRDefault="006F68F2" w:rsidP="0027069A">
            <w:pPr>
              <w:pStyle w:val="BodyText"/>
              <w:rPr>
                <w:sz w:val="20"/>
                <w:szCs w:val="20"/>
              </w:rPr>
            </w:pPr>
            <w:r>
              <w:rPr>
                <w:sz w:val="20"/>
                <w:szCs w:val="20"/>
              </w:rPr>
              <w:t>I</w:t>
            </w:r>
            <w:r w:rsidRPr="005724D9">
              <w:rPr>
                <w:sz w:val="20"/>
                <w:szCs w:val="20"/>
              </w:rPr>
              <w:t xml:space="preserve">ntensive </w:t>
            </w:r>
            <w:r>
              <w:rPr>
                <w:sz w:val="20"/>
                <w:szCs w:val="20"/>
              </w:rPr>
              <w:t>practical clea</w:t>
            </w:r>
            <w:r w:rsidR="0092529A">
              <w:rPr>
                <w:sz w:val="20"/>
                <w:szCs w:val="20"/>
              </w:rPr>
              <w:t>n</w:t>
            </w:r>
            <w:r w:rsidR="008447C6">
              <w:rPr>
                <w:sz w:val="20"/>
                <w:szCs w:val="20"/>
              </w:rPr>
              <w:t>-</w:t>
            </w:r>
            <w:r>
              <w:rPr>
                <w:sz w:val="20"/>
                <w:szCs w:val="20"/>
              </w:rPr>
              <w:t xml:space="preserve">up </w:t>
            </w:r>
            <w:r w:rsidRPr="005724D9">
              <w:rPr>
                <w:sz w:val="20"/>
                <w:szCs w:val="20"/>
              </w:rPr>
              <w:t xml:space="preserve">services </w:t>
            </w:r>
            <w:r w:rsidR="00F22300">
              <w:rPr>
                <w:sz w:val="20"/>
                <w:szCs w:val="20"/>
              </w:rPr>
              <w:t>–</w:t>
            </w:r>
            <w:r>
              <w:rPr>
                <w:sz w:val="20"/>
                <w:szCs w:val="20"/>
              </w:rPr>
              <w:t xml:space="preserve"> flexible fund*</w:t>
            </w:r>
          </w:p>
        </w:tc>
        <w:tc>
          <w:tcPr>
            <w:tcW w:w="992" w:type="dxa"/>
            <w:vAlign w:val="center"/>
          </w:tcPr>
          <w:p w14:paraId="6405830A" w14:textId="77777777" w:rsidR="006F68F2" w:rsidRPr="00283590" w:rsidRDefault="006F68F2" w:rsidP="0027069A">
            <w:pPr>
              <w:pStyle w:val="BodyText"/>
              <w:jc w:val="center"/>
              <w:rPr>
                <w:b/>
                <w:sz w:val="20"/>
                <w:szCs w:val="20"/>
              </w:rPr>
            </w:pPr>
            <w:r w:rsidRPr="00283590">
              <w:rPr>
                <w:b/>
                <w:sz w:val="20"/>
                <w:szCs w:val="20"/>
              </w:rPr>
              <w:t>$1</w:t>
            </w:r>
            <w:r w:rsidR="004707CE">
              <w:rPr>
                <w:b/>
                <w:sz w:val="20"/>
                <w:szCs w:val="20"/>
              </w:rPr>
              <w:t>75</w:t>
            </w:r>
            <w:r w:rsidRPr="00283590">
              <w:rPr>
                <w:b/>
                <w:sz w:val="20"/>
                <w:szCs w:val="20"/>
              </w:rPr>
              <w:t>,</w:t>
            </w:r>
            <w:r w:rsidR="00F53E77">
              <w:rPr>
                <w:b/>
                <w:sz w:val="20"/>
                <w:szCs w:val="20"/>
              </w:rPr>
              <w:t>6</w:t>
            </w:r>
            <w:r w:rsidRPr="00283590">
              <w:rPr>
                <w:b/>
                <w:sz w:val="20"/>
                <w:szCs w:val="20"/>
              </w:rPr>
              <w:t>00</w:t>
            </w:r>
          </w:p>
        </w:tc>
        <w:tc>
          <w:tcPr>
            <w:tcW w:w="992" w:type="dxa"/>
            <w:vAlign w:val="center"/>
          </w:tcPr>
          <w:p w14:paraId="42810959" w14:textId="77777777" w:rsidR="006F68F2" w:rsidRPr="00DE6569" w:rsidRDefault="006F68F2" w:rsidP="0027069A">
            <w:pPr>
              <w:pStyle w:val="BodyText"/>
              <w:jc w:val="center"/>
              <w:rPr>
                <w:sz w:val="20"/>
                <w:szCs w:val="20"/>
              </w:rPr>
            </w:pPr>
            <w:r w:rsidRPr="00DE6569">
              <w:rPr>
                <w:sz w:val="20"/>
                <w:szCs w:val="20"/>
              </w:rPr>
              <w:t>$1</w:t>
            </w:r>
            <w:r w:rsidR="004707CE">
              <w:rPr>
                <w:sz w:val="20"/>
                <w:szCs w:val="20"/>
              </w:rPr>
              <w:t>75</w:t>
            </w:r>
            <w:r>
              <w:rPr>
                <w:sz w:val="20"/>
                <w:szCs w:val="20"/>
              </w:rPr>
              <w:t>,</w:t>
            </w:r>
            <w:r w:rsidR="00F53E77">
              <w:rPr>
                <w:sz w:val="20"/>
                <w:szCs w:val="20"/>
              </w:rPr>
              <w:t>6</w:t>
            </w:r>
            <w:r>
              <w:rPr>
                <w:sz w:val="20"/>
                <w:szCs w:val="20"/>
              </w:rPr>
              <w:t>00</w:t>
            </w:r>
          </w:p>
        </w:tc>
        <w:tc>
          <w:tcPr>
            <w:tcW w:w="992" w:type="dxa"/>
            <w:vAlign w:val="center"/>
          </w:tcPr>
          <w:p w14:paraId="6B5078B1" w14:textId="77777777" w:rsidR="006F68F2" w:rsidRPr="00DE6569" w:rsidRDefault="00F53E77" w:rsidP="0027069A">
            <w:pPr>
              <w:pStyle w:val="BodyText"/>
              <w:jc w:val="center"/>
              <w:rPr>
                <w:sz w:val="20"/>
                <w:szCs w:val="20"/>
              </w:rPr>
            </w:pPr>
            <w:r w:rsidRPr="00DE6569">
              <w:rPr>
                <w:sz w:val="20"/>
                <w:szCs w:val="20"/>
              </w:rPr>
              <w:t>$1</w:t>
            </w:r>
            <w:r>
              <w:rPr>
                <w:sz w:val="20"/>
                <w:szCs w:val="20"/>
              </w:rPr>
              <w:t>75,600</w:t>
            </w:r>
          </w:p>
        </w:tc>
        <w:tc>
          <w:tcPr>
            <w:tcW w:w="2552" w:type="dxa"/>
            <w:shd w:val="clear" w:color="auto" w:fill="E6E3D9"/>
            <w:vAlign w:val="center"/>
          </w:tcPr>
          <w:p w14:paraId="09330495" w14:textId="77777777" w:rsidR="006F68F2" w:rsidRPr="00DE6569" w:rsidRDefault="006F68F2" w:rsidP="0027069A">
            <w:pPr>
              <w:pStyle w:val="BodyText"/>
              <w:jc w:val="center"/>
              <w:rPr>
                <w:sz w:val="20"/>
                <w:szCs w:val="20"/>
              </w:rPr>
            </w:pPr>
            <w:r>
              <w:rPr>
                <w:sz w:val="20"/>
                <w:szCs w:val="20"/>
              </w:rPr>
              <w:t>$</w:t>
            </w:r>
            <w:r w:rsidR="00F53E77">
              <w:rPr>
                <w:sz w:val="20"/>
                <w:szCs w:val="20"/>
              </w:rPr>
              <w:t>526</w:t>
            </w:r>
            <w:r>
              <w:rPr>
                <w:sz w:val="20"/>
                <w:szCs w:val="20"/>
              </w:rPr>
              <w:t>,</w:t>
            </w:r>
            <w:r w:rsidR="00F53E77">
              <w:rPr>
                <w:sz w:val="20"/>
                <w:szCs w:val="20"/>
              </w:rPr>
              <w:t>8</w:t>
            </w:r>
            <w:r>
              <w:rPr>
                <w:sz w:val="20"/>
                <w:szCs w:val="20"/>
              </w:rPr>
              <w:t>00</w:t>
            </w:r>
          </w:p>
        </w:tc>
      </w:tr>
      <w:tr w:rsidR="006F68F2" w14:paraId="52F3659E" w14:textId="77777777" w:rsidTr="0027069A">
        <w:trPr>
          <w:trHeight w:val="352"/>
        </w:trPr>
        <w:tc>
          <w:tcPr>
            <w:tcW w:w="4395" w:type="dxa"/>
            <w:vAlign w:val="center"/>
          </w:tcPr>
          <w:p w14:paraId="08937EDD" w14:textId="77777777" w:rsidR="006F68F2" w:rsidRPr="00DE6569" w:rsidRDefault="006F68F2" w:rsidP="0027069A">
            <w:pPr>
              <w:pStyle w:val="BodyText"/>
              <w:rPr>
                <w:sz w:val="20"/>
                <w:szCs w:val="20"/>
              </w:rPr>
            </w:pPr>
            <w:r>
              <w:rPr>
                <w:sz w:val="20"/>
                <w:szCs w:val="20"/>
              </w:rPr>
              <w:t>C</w:t>
            </w:r>
            <w:r w:rsidRPr="005724D9">
              <w:rPr>
                <w:sz w:val="20"/>
                <w:szCs w:val="20"/>
              </w:rPr>
              <w:t>ognitive behaviour therapy (CBT)</w:t>
            </w:r>
            <w:r>
              <w:rPr>
                <w:sz w:val="20"/>
                <w:szCs w:val="20"/>
              </w:rPr>
              <w:t xml:space="preserve"> – flexible fund*</w:t>
            </w:r>
          </w:p>
        </w:tc>
        <w:tc>
          <w:tcPr>
            <w:tcW w:w="992" w:type="dxa"/>
            <w:vAlign w:val="center"/>
          </w:tcPr>
          <w:p w14:paraId="1D769FDB" w14:textId="77777777" w:rsidR="006F68F2" w:rsidRPr="00283590" w:rsidRDefault="006F68F2" w:rsidP="0027069A">
            <w:pPr>
              <w:pStyle w:val="BodyText"/>
              <w:jc w:val="center"/>
              <w:rPr>
                <w:b/>
                <w:sz w:val="20"/>
                <w:szCs w:val="20"/>
              </w:rPr>
            </w:pPr>
            <w:r w:rsidRPr="00283590">
              <w:rPr>
                <w:b/>
                <w:sz w:val="20"/>
                <w:szCs w:val="20"/>
              </w:rPr>
              <w:t>$</w:t>
            </w:r>
            <w:r w:rsidR="004707CE">
              <w:rPr>
                <w:b/>
                <w:sz w:val="20"/>
                <w:szCs w:val="20"/>
              </w:rPr>
              <w:t>40,</w:t>
            </w:r>
            <w:r w:rsidR="00F53E77">
              <w:rPr>
                <w:b/>
                <w:sz w:val="20"/>
                <w:szCs w:val="20"/>
              </w:rPr>
              <w:t>2</w:t>
            </w:r>
            <w:r w:rsidRPr="00283590">
              <w:rPr>
                <w:b/>
                <w:sz w:val="20"/>
                <w:szCs w:val="20"/>
              </w:rPr>
              <w:t>00</w:t>
            </w:r>
          </w:p>
        </w:tc>
        <w:tc>
          <w:tcPr>
            <w:tcW w:w="992" w:type="dxa"/>
            <w:vAlign w:val="center"/>
          </w:tcPr>
          <w:p w14:paraId="6ADF578B" w14:textId="77777777" w:rsidR="006F68F2" w:rsidRPr="00DE6569" w:rsidRDefault="006F68F2" w:rsidP="0027069A">
            <w:pPr>
              <w:pStyle w:val="BodyText"/>
              <w:jc w:val="center"/>
              <w:rPr>
                <w:sz w:val="20"/>
                <w:szCs w:val="20"/>
              </w:rPr>
            </w:pPr>
            <w:r w:rsidRPr="00DE6569">
              <w:rPr>
                <w:sz w:val="20"/>
                <w:szCs w:val="20"/>
              </w:rPr>
              <w:t>$</w:t>
            </w:r>
            <w:r w:rsidR="004707CE">
              <w:rPr>
                <w:sz w:val="20"/>
                <w:szCs w:val="20"/>
              </w:rPr>
              <w:t>40</w:t>
            </w:r>
            <w:r w:rsidRPr="00DE6569">
              <w:rPr>
                <w:sz w:val="20"/>
                <w:szCs w:val="20"/>
              </w:rPr>
              <w:t>,</w:t>
            </w:r>
            <w:r w:rsidR="00F53E77">
              <w:rPr>
                <w:sz w:val="20"/>
                <w:szCs w:val="20"/>
              </w:rPr>
              <w:t>2</w:t>
            </w:r>
            <w:r w:rsidRPr="00DE6569">
              <w:rPr>
                <w:sz w:val="20"/>
                <w:szCs w:val="20"/>
              </w:rPr>
              <w:t>00</w:t>
            </w:r>
          </w:p>
        </w:tc>
        <w:tc>
          <w:tcPr>
            <w:tcW w:w="992" w:type="dxa"/>
            <w:vAlign w:val="center"/>
          </w:tcPr>
          <w:p w14:paraId="152E582D" w14:textId="77777777" w:rsidR="006F68F2" w:rsidRPr="00DE6569" w:rsidRDefault="00F53E77" w:rsidP="0027069A">
            <w:pPr>
              <w:pStyle w:val="BodyText"/>
              <w:jc w:val="center"/>
              <w:rPr>
                <w:sz w:val="20"/>
                <w:szCs w:val="20"/>
              </w:rPr>
            </w:pPr>
            <w:r w:rsidRPr="00DE6569">
              <w:rPr>
                <w:sz w:val="20"/>
                <w:szCs w:val="20"/>
              </w:rPr>
              <w:t>$</w:t>
            </w:r>
            <w:r>
              <w:rPr>
                <w:sz w:val="20"/>
                <w:szCs w:val="20"/>
              </w:rPr>
              <w:t>40</w:t>
            </w:r>
            <w:r w:rsidRPr="00DE6569">
              <w:rPr>
                <w:sz w:val="20"/>
                <w:szCs w:val="20"/>
              </w:rPr>
              <w:t>,</w:t>
            </w:r>
            <w:r>
              <w:rPr>
                <w:sz w:val="20"/>
                <w:szCs w:val="20"/>
              </w:rPr>
              <w:t>2</w:t>
            </w:r>
            <w:r w:rsidRPr="00DE6569">
              <w:rPr>
                <w:sz w:val="20"/>
                <w:szCs w:val="20"/>
              </w:rPr>
              <w:t>00</w:t>
            </w:r>
          </w:p>
        </w:tc>
        <w:tc>
          <w:tcPr>
            <w:tcW w:w="2552" w:type="dxa"/>
            <w:shd w:val="clear" w:color="auto" w:fill="E6E3D9"/>
            <w:vAlign w:val="center"/>
          </w:tcPr>
          <w:p w14:paraId="2DF96062" w14:textId="77777777" w:rsidR="006F68F2" w:rsidRPr="00DE6569" w:rsidRDefault="006F68F2" w:rsidP="0027069A">
            <w:pPr>
              <w:pStyle w:val="BodyText"/>
              <w:jc w:val="center"/>
              <w:rPr>
                <w:sz w:val="20"/>
                <w:szCs w:val="20"/>
              </w:rPr>
            </w:pPr>
            <w:r w:rsidRPr="00DE6569">
              <w:rPr>
                <w:sz w:val="20"/>
                <w:szCs w:val="20"/>
              </w:rPr>
              <w:t>$</w:t>
            </w:r>
            <w:r>
              <w:rPr>
                <w:sz w:val="20"/>
                <w:szCs w:val="20"/>
              </w:rPr>
              <w:t>1</w:t>
            </w:r>
            <w:r w:rsidR="00F53E77">
              <w:rPr>
                <w:sz w:val="20"/>
                <w:szCs w:val="20"/>
              </w:rPr>
              <w:t>20</w:t>
            </w:r>
            <w:r>
              <w:rPr>
                <w:sz w:val="20"/>
                <w:szCs w:val="20"/>
              </w:rPr>
              <w:t>,</w:t>
            </w:r>
            <w:r w:rsidR="00F53E77">
              <w:rPr>
                <w:sz w:val="20"/>
                <w:szCs w:val="20"/>
              </w:rPr>
              <w:t>6</w:t>
            </w:r>
            <w:r>
              <w:rPr>
                <w:sz w:val="20"/>
                <w:szCs w:val="20"/>
              </w:rPr>
              <w:t>00</w:t>
            </w:r>
          </w:p>
        </w:tc>
      </w:tr>
      <w:tr w:rsidR="006F68F2" w14:paraId="59D6DC7A" w14:textId="77777777" w:rsidTr="0027069A">
        <w:trPr>
          <w:trHeight w:val="572"/>
        </w:trPr>
        <w:tc>
          <w:tcPr>
            <w:tcW w:w="4395" w:type="dxa"/>
            <w:shd w:val="clear" w:color="auto" w:fill="E6E3D9"/>
            <w:vAlign w:val="center"/>
          </w:tcPr>
          <w:p w14:paraId="5E8E4C51" w14:textId="77777777" w:rsidR="006F68F2" w:rsidRPr="00DE6569" w:rsidRDefault="006F68F2" w:rsidP="0027069A">
            <w:pPr>
              <w:pStyle w:val="BodyText"/>
              <w:rPr>
                <w:sz w:val="20"/>
                <w:szCs w:val="20"/>
              </w:rPr>
            </w:pPr>
            <w:r>
              <w:rPr>
                <w:sz w:val="20"/>
                <w:szCs w:val="20"/>
              </w:rPr>
              <w:t>Tasmanian Government expenditure per FY</w:t>
            </w:r>
          </w:p>
        </w:tc>
        <w:tc>
          <w:tcPr>
            <w:tcW w:w="992" w:type="dxa"/>
            <w:shd w:val="clear" w:color="auto" w:fill="E6E3D9"/>
            <w:vAlign w:val="center"/>
          </w:tcPr>
          <w:p w14:paraId="1412AB2D" w14:textId="77777777" w:rsidR="006F68F2" w:rsidRPr="00283590" w:rsidRDefault="006F68F2" w:rsidP="0027069A">
            <w:pPr>
              <w:pStyle w:val="BodyText"/>
              <w:jc w:val="center"/>
              <w:rPr>
                <w:b/>
                <w:sz w:val="20"/>
                <w:szCs w:val="20"/>
              </w:rPr>
            </w:pPr>
            <w:r w:rsidRPr="00283590">
              <w:rPr>
                <w:b/>
                <w:sz w:val="20"/>
                <w:szCs w:val="20"/>
              </w:rPr>
              <w:t>$</w:t>
            </w:r>
            <w:r w:rsidR="00F53E77">
              <w:rPr>
                <w:b/>
                <w:sz w:val="20"/>
                <w:szCs w:val="20"/>
              </w:rPr>
              <w:t>513,700</w:t>
            </w:r>
          </w:p>
        </w:tc>
        <w:tc>
          <w:tcPr>
            <w:tcW w:w="992" w:type="dxa"/>
            <w:shd w:val="clear" w:color="auto" w:fill="E6E3D9"/>
            <w:vAlign w:val="center"/>
          </w:tcPr>
          <w:p w14:paraId="2B3D9878" w14:textId="07806FA4" w:rsidR="006F68F2" w:rsidRPr="00DE6569" w:rsidRDefault="006F68F2" w:rsidP="0027069A">
            <w:pPr>
              <w:pStyle w:val="BodyText"/>
              <w:jc w:val="center"/>
              <w:rPr>
                <w:sz w:val="20"/>
                <w:szCs w:val="20"/>
              </w:rPr>
            </w:pPr>
            <w:r w:rsidRPr="00DE6569">
              <w:rPr>
                <w:sz w:val="20"/>
                <w:szCs w:val="20"/>
              </w:rPr>
              <w:t>$</w:t>
            </w:r>
            <w:r w:rsidR="00D77790">
              <w:rPr>
                <w:sz w:val="20"/>
                <w:szCs w:val="20"/>
              </w:rPr>
              <w:t>528,6</w:t>
            </w:r>
            <w:r>
              <w:rPr>
                <w:sz w:val="20"/>
                <w:szCs w:val="20"/>
              </w:rPr>
              <w:t>00</w:t>
            </w:r>
          </w:p>
        </w:tc>
        <w:tc>
          <w:tcPr>
            <w:tcW w:w="992" w:type="dxa"/>
            <w:shd w:val="clear" w:color="auto" w:fill="E6E3D9"/>
            <w:vAlign w:val="center"/>
          </w:tcPr>
          <w:p w14:paraId="750EF321" w14:textId="1D9F0477" w:rsidR="006F68F2" w:rsidRPr="00DE6569" w:rsidRDefault="006F68F2" w:rsidP="0027069A">
            <w:pPr>
              <w:pStyle w:val="BodyText"/>
              <w:jc w:val="center"/>
              <w:rPr>
                <w:sz w:val="20"/>
                <w:szCs w:val="20"/>
              </w:rPr>
            </w:pPr>
            <w:r w:rsidRPr="00DE6569">
              <w:rPr>
                <w:sz w:val="20"/>
                <w:szCs w:val="20"/>
              </w:rPr>
              <w:t>$</w:t>
            </w:r>
            <w:r w:rsidR="00D77790">
              <w:rPr>
                <w:sz w:val="20"/>
                <w:szCs w:val="20"/>
              </w:rPr>
              <w:t>542,7</w:t>
            </w:r>
            <w:r>
              <w:rPr>
                <w:sz w:val="20"/>
                <w:szCs w:val="20"/>
              </w:rPr>
              <w:t>00</w:t>
            </w:r>
          </w:p>
        </w:tc>
        <w:tc>
          <w:tcPr>
            <w:tcW w:w="2552" w:type="dxa"/>
            <w:shd w:val="clear" w:color="auto" w:fill="E6E3D9"/>
            <w:vAlign w:val="center"/>
          </w:tcPr>
          <w:p w14:paraId="59923A63" w14:textId="11839FAD" w:rsidR="006F68F2" w:rsidRPr="00F676ED" w:rsidRDefault="006F68F2" w:rsidP="0027069A">
            <w:pPr>
              <w:pStyle w:val="BodyText"/>
              <w:jc w:val="center"/>
              <w:rPr>
                <w:rFonts w:ascii="Avenir Next Demi Bold" w:hAnsi="Avenir Next Demi Bold"/>
                <w:b/>
                <w:bCs/>
                <w:sz w:val="20"/>
                <w:szCs w:val="20"/>
              </w:rPr>
            </w:pPr>
            <w:r>
              <w:rPr>
                <w:rFonts w:ascii="Avenir Next Demi Bold" w:hAnsi="Avenir Next Demi Bold"/>
                <w:b/>
                <w:bCs/>
                <w:sz w:val="20"/>
                <w:szCs w:val="20"/>
              </w:rPr>
              <w:t>$1,</w:t>
            </w:r>
            <w:r w:rsidR="00F53E77">
              <w:rPr>
                <w:rFonts w:ascii="Avenir Next Demi Bold" w:hAnsi="Avenir Next Demi Bold"/>
                <w:b/>
                <w:bCs/>
                <w:sz w:val="20"/>
                <w:szCs w:val="20"/>
              </w:rPr>
              <w:t>5</w:t>
            </w:r>
            <w:r w:rsidR="00D77790">
              <w:rPr>
                <w:rFonts w:ascii="Avenir Next Demi Bold" w:hAnsi="Avenir Next Demi Bold"/>
                <w:b/>
                <w:bCs/>
                <w:sz w:val="20"/>
                <w:szCs w:val="20"/>
              </w:rPr>
              <w:t>85</w:t>
            </w:r>
            <w:r w:rsidR="00F53E77">
              <w:rPr>
                <w:rFonts w:ascii="Avenir Next Demi Bold" w:hAnsi="Avenir Next Demi Bold"/>
                <w:b/>
                <w:bCs/>
                <w:sz w:val="20"/>
                <w:szCs w:val="20"/>
              </w:rPr>
              <w:t>,</w:t>
            </w:r>
            <w:r w:rsidR="00D77790">
              <w:rPr>
                <w:rFonts w:ascii="Avenir Next Demi Bold" w:hAnsi="Avenir Next Demi Bold"/>
                <w:b/>
                <w:bCs/>
                <w:sz w:val="20"/>
                <w:szCs w:val="20"/>
              </w:rPr>
              <w:t>0</w:t>
            </w:r>
            <w:r w:rsidR="00F53E77">
              <w:rPr>
                <w:rFonts w:ascii="Avenir Next Demi Bold" w:hAnsi="Avenir Next Demi Bold"/>
                <w:b/>
                <w:bCs/>
                <w:sz w:val="20"/>
                <w:szCs w:val="20"/>
              </w:rPr>
              <w:t>00</w:t>
            </w:r>
          </w:p>
        </w:tc>
      </w:tr>
    </w:tbl>
    <w:p w14:paraId="22D51F78" w14:textId="07B7A0F0" w:rsidR="006F68F2" w:rsidRDefault="006F68F2" w:rsidP="00973CA9">
      <w:pPr>
        <w:pStyle w:val="BodyText"/>
        <w:rPr>
          <w:rFonts w:ascii="Calibri" w:eastAsiaTheme="minorHAnsi" w:hAnsi="Calibri" w:cs="Calibri"/>
          <w:b/>
          <w:color w:val="auto"/>
          <w:sz w:val="22"/>
        </w:rPr>
      </w:pPr>
      <w:r>
        <w:t>*</w:t>
      </w:r>
      <w:r w:rsidRPr="005724D9">
        <w:rPr>
          <w:sz w:val="20"/>
        </w:rPr>
        <w:t>indicative estimate based on provision of services to up to 30 clients</w:t>
      </w:r>
      <w:r>
        <w:rPr>
          <w:sz w:val="20"/>
        </w:rPr>
        <w:t xml:space="preserve"> per year</w:t>
      </w:r>
      <w:bookmarkEnd w:id="19"/>
    </w:p>
    <w:sectPr w:rsidR="006F68F2">
      <w:pgSz w:w="11910" w:h="16840"/>
      <w:pgMar w:top="154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9B8ED" w14:textId="77777777" w:rsidR="00C33BC8" w:rsidRDefault="00C33BC8" w:rsidP="00EB29D4">
      <w:pPr>
        <w:spacing w:before="0" w:after="0"/>
      </w:pPr>
      <w:r>
        <w:separator/>
      </w:r>
    </w:p>
  </w:endnote>
  <w:endnote w:type="continuationSeparator" w:id="0">
    <w:p w14:paraId="3170D12A" w14:textId="77777777" w:rsidR="00C33BC8" w:rsidRDefault="00C33BC8" w:rsidP="00EB29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Demi Bold">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0060690"/>
      <w:docPartObj>
        <w:docPartGallery w:val="Page Numbers (Bottom of Page)"/>
        <w:docPartUnique/>
      </w:docPartObj>
    </w:sdtPr>
    <w:sdtEndPr>
      <w:rPr>
        <w:rStyle w:val="PageNumber"/>
      </w:rPr>
    </w:sdtEndPr>
    <w:sdtContent>
      <w:p w14:paraId="06587A5E" w14:textId="77777777" w:rsidR="0027069A" w:rsidRDefault="0027069A" w:rsidP="002706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B5B0BF8" w14:textId="77777777" w:rsidR="0027069A" w:rsidRDefault="0027069A" w:rsidP="00EB2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5EA5A" w14:textId="77777777" w:rsidR="0027069A" w:rsidRPr="00C61F11" w:rsidRDefault="0027069A" w:rsidP="00C61F11">
    <w:pPr>
      <w:pStyle w:val="Footer"/>
      <w:jc w:val="right"/>
      <w:rPr>
        <w:sz w:val="18"/>
        <w:szCs w:val="18"/>
      </w:rPr>
    </w:pPr>
    <w:r>
      <w:rPr>
        <w:sz w:val="18"/>
        <w:szCs w:val="18"/>
      </w:rPr>
      <w:t xml:space="preserve">Anglicare Tasmania – State budget submission 2024-25 </w:t>
    </w:r>
    <w:r w:rsidRPr="00C61F11">
      <w:rPr>
        <w:sz w:val="18"/>
        <w:szCs w:val="18"/>
      </w:rPr>
      <w:t xml:space="preserve">| </w:t>
    </w:r>
    <w:r w:rsidRPr="00C61F11">
      <w:rPr>
        <w:rFonts w:cs="Times New Roman"/>
        <w:sz w:val="18"/>
        <w:szCs w:val="18"/>
      </w:rPr>
      <w:fldChar w:fldCharType="begin"/>
    </w:r>
    <w:r w:rsidRPr="00C61F11">
      <w:rPr>
        <w:rFonts w:cs="Times New Roman"/>
        <w:sz w:val="18"/>
        <w:szCs w:val="18"/>
      </w:rPr>
      <w:instrText xml:space="preserve"> PAGE </w:instrText>
    </w:r>
    <w:r w:rsidRPr="00C61F11">
      <w:rPr>
        <w:rFonts w:cs="Times New Roman"/>
        <w:sz w:val="18"/>
        <w:szCs w:val="18"/>
      </w:rPr>
      <w:fldChar w:fldCharType="separate"/>
    </w:r>
    <w:r w:rsidRPr="00C61F11">
      <w:rPr>
        <w:rFonts w:cs="Times New Roman"/>
        <w:noProof/>
        <w:sz w:val="18"/>
        <w:szCs w:val="18"/>
      </w:rPr>
      <w:t>2</w:t>
    </w:r>
    <w:r w:rsidRPr="00C61F11">
      <w:rPr>
        <w:rFonts w:cs="Times New Roman"/>
        <w:sz w:val="18"/>
        <w:szCs w:val="18"/>
      </w:rPr>
      <w:fldChar w:fldCharType="end"/>
    </w:r>
    <w:r w:rsidRPr="00C61F11">
      <w:rPr>
        <w:rFonts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D5562" w14:textId="77777777" w:rsidR="00C33BC8" w:rsidRDefault="00C33BC8" w:rsidP="00EB29D4">
      <w:pPr>
        <w:spacing w:before="0" w:after="0"/>
      </w:pPr>
      <w:r>
        <w:separator/>
      </w:r>
    </w:p>
  </w:footnote>
  <w:footnote w:type="continuationSeparator" w:id="0">
    <w:p w14:paraId="282F1508" w14:textId="77777777" w:rsidR="00C33BC8" w:rsidRDefault="00C33BC8" w:rsidP="00EB29D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BC7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413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40D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EC7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D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EC2D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2E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A5F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C9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1A9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AB54A2"/>
    <w:multiLevelType w:val="hybridMultilevel"/>
    <w:tmpl w:val="31C0FF12"/>
    <w:lvl w:ilvl="0" w:tplc="8BCC79B2">
      <w:numFmt w:val="bullet"/>
      <w:lvlText w:val="•"/>
      <w:lvlJc w:val="left"/>
      <w:pPr>
        <w:ind w:left="1080" w:hanging="720"/>
      </w:pPr>
      <w:rPr>
        <w:rFonts w:ascii="Avenir Next Demi Bold" w:eastAsia="AvenirNext LT Pro Bold" w:hAnsi="Avenir Next Demi Bold" w:cs="AvenirNext LT Pro 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A00406"/>
    <w:multiLevelType w:val="hybridMultilevel"/>
    <w:tmpl w:val="36A0ED96"/>
    <w:lvl w:ilvl="0" w:tplc="4A9A576E">
      <w:start w:val="1"/>
      <w:numFmt w:val="decimal"/>
      <w:lvlText w:val="%1."/>
      <w:lvlJc w:val="left"/>
      <w:pPr>
        <w:ind w:left="360" w:hanging="360"/>
      </w:pPr>
      <w:rPr>
        <w:color w:val="4F81BD"/>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3AB127B"/>
    <w:multiLevelType w:val="hybridMultilevel"/>
    <w:tmpl w:val="F09C102A"/>
    <w:lvl w:ilvl="0" w:tplc="D506CD2C">
      <w:start w:val="1"/>
      <w:numFmt w:val="decimal"/>
      <w:lvlText w:val="%1."/>
      <w:lvlJc w:val="left"/>
      <w:pPr>
        <w:ind w:left="720" w:hanging="360"/>
      </w:pPr>
      <w:rPr>
        <w:rFonts w:ascii="Avenir Next" w:eastAsia="AvenirNext LT Pro Bold" w:hAnsi="Avenir Next" w:cs="AvenirNext LT Pro Bold" w:hint="default"/>
        <w:b w:val="0"/>
        <w:color w:val="575F61"/>
        <w:sz w:val="24"/>
      </w:rPr>
    </w:lvl>
    <w:lvl w:ilvl="1" w:tplc="6DCEF898">
      <w:start w:val="1"/>
      <w:numFmt w:val="lowerLetter"/>
      <w:lvlText w:val="%2."/>
      <w:lvlJc w:val="left"/>
      <w:pPr>
        <w:ind w:left="1440" w:hanging="360"/>
      </w:pPr>
      <w:rPr>
        <w:b w:val="0"/>
        <w:color w:val="auto"/>
        <w:sz w:val="26"/>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EE768B"/>
    <w:multiLevelType w:val="hybridMultilevel"/>
    <w:tmpl w:val="15E0A2AA"/>
    <w:lvl w:ilvl="0" w:tplc="252EC5BC">
      <w:start w:val="1"/>
      <w:numFmt w:val="bullet"/>
      <w:pStyle w:val="ListParagraph"/>
      <w:lvlText w:val=""/>
      <w:lvlJc w:val="left"/>
      <w:pPr>
        <w:ind w:left="830" w:hanging="360"/>
      </w:pPr>
      <w:rPr>
        <w:rFonts w:ascii="Symbol" w:hAnsi="Symbol" w:hint="default"/>
        <w:color w:val="auto"/>
        <w:sz w:val="20"/>
      </w:rPr>
    </w:lvl>
    <w:lvl w:ilvl="1" w:tplc="0C090003">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4" w15:restartNumberingAfterBreak="0">
    <w:nsid w:val="416E4ADA"/>
    <w:multiLevelType w:val="hybridMultilevel"/>
    <w:tmpl w:val="A5DA2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EB0626"/>
    <w:multiLevelType w:val="hybridMultilevel"/>
    <w:tmpl w:val="1BD62028"/>
    <w:lvl w:ilvl="0" w:tplc="252EC5BC">
      <w:start w:val="1"/>
      <w:numFmt w:val="bullet"/>
      <w:lvlText w:val=""/>
      <w:lvlJc w:val="left"/>
      <w:pPr>
        <w:ind w:left="830" w:hanging="360"/>
      </w:pPr>
      <w:rPr>
        <w:rFonts w:ascii="Symbol" w:hAnsi="Symbol" w:hint="default"/>
        <w:color w:val="auto"/>
        <w:sz w:val="20"/>
      </w:rPr>
    </w:lvl>
    <w:lvl w:ilvl="1" w:tplc="A3E048BA">
      <w:start w:val="1"/>
      <w:numFmt w:val="bullet"/>
      <w:lvlText w:val="o"/>
      <w:lvlJc w:val="left"/>
      <w:pPr>
        <w:ind w:left="1550" w:hanging="360"/>
      </w:pPr>
      <w:rPr>
        <w:rFonts w:ascii="Courier New" w:hAnsi="Courier New" w:hint="default"/>
        <w:color w:val="auto"/>
        <w:sz w:val="20"/>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6" w15:restartNumberingAfterBreak="0">
    <w:nsid w:val="4E3E63B3"/>
    <w:multiLevelType w:val="hybridMultilevel"/>
    <w:tmpl w:val="0BAE6BFA"/>
    <w:lvl w:ilvl="0" w:tplc="252EC5BC">
      <w:start w:val="1"/>
      <w:numFmt w:val="bullet"/>
      <w:lvlText w:val=""/>
      <w:lvlJc w:val="left"/>
      <w:pPr>
        <w:ind w:left="830" w:hanging="360"/>
      </w:pPr>
      <w:rPr>
        <w:rFonts w:ascii="Symbol" w:hAnsi="Symbol" w:hint="default"/>
        <w:color w:val="auto"/>
        <w:sz w:val="20"/>
      </w:rPr>
    </w:lvl>
    <w:lvl w:ilvl="1" w:tplc="A3E048BA">
      <w:start w:val="1"/>
      <w:numFmt w:val="bullet"/>
      <w:lvlText w:val="o"/>
      <w:lvlJc w:val="left"/>
      <w:pPr>
        <w:ind w:left="1550" w:hanging="360"/>
      </w:pPr>
      <w:rPr>
        <w:rFonts w:ascii="Courier New" w:hAnsi="Courier New" w:hint="default"/>
        <w:color w:val="auto"/>
        <w:sz w:val="20"/>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7" w15:restartNumberingAfterBreak="0">
    <w:nsid w:val="513F303D"/>
    <w:multiLevelType w:val="hybridMultilevel"/>
    <w:tmpl w:val="01AC6946"/>
    <w:lvl w:ilvl="0" w:tplc="B40EEED2">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8" w15:restartNumberingAfterBreak="0">
    <w:nsid w:val="5BF057B7"/>
    <w:multiLevelType w:val="hybridMultilevel"/>
    <w:tmpl w:val="1E421484"/>
    <w:lvl w:ilvl="0" w:tplc="4C5CD910">
      <w:start w:val="1"/>
      <w:numFmt w:val="decimal"/>
      <w:pStyle w:val="Heading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12438A2"/>
    <w:multiLevelType w:val="hybridMultilevel"/>
    <w:tmpl w:val="5F48C760"/>
    <w:lvl w:ilvl="0" w:tplc="37A66038">
      <w:start w:val="1"/>
      <w:numFmt w:val="bullet"/>
      <w:lvlText w:val="-"/>
      <w:lvlJc w:val="left"/>
      <w:pPr>
        <w:ind w:left="893" w:hanging="360"/>
      </w:pPr>
      <w:rPr>
        <w:rFonts w:ascii="AvenirNext LT Pro Regular" w:hAnsi="AvenirNext LT Pro Regular" w:hint="default"/>
        <w:b w:val="0"/>
        <w:i w:val="0"/>
        <w:color w:val="575F61"/>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A62BFF"/>
    <w:multiLevelType w:val="hybridMultilevel"/>
    <w:tmpl w:val="160C123E"/>
    <w:lvl w:ilvl="0" w:tplc="1248D326">
      <w:start w:val="1"/>
      <w:numFmt w:val="decimal"/>
      <w:pStyle w:val="Heading3"/>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6393F3D"/>
    <w:multiLevelType w:val="hybridMultilevel"/>
    <w:tmpl w:val="7CFC3BE8"/>
    <w:lvl w:ilvl="0" w:tplc="8050DE16">
      <w:start w:val="1"/>
      <w:numFmt w:val="bullet"/>
      <w:pStyle w:val="Bullets"/>
      <w:lvlText w:val=""/>
      <w:lvlJc w:val="left"/>
      <w:pPr>
        <w:ind w:left="284" w:hanging="284"/>
      </w:pPr>
      <w:rPr>
        <w:rFonts w:ascii="Symbol" w:hAnsi="Symbol" w:hint="default"/>
        <w:color w:val="E7B52A"/>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75D3E"/>
    <w:multiLevelType w:val="hybridMultilevel"/>
    <w:tmpl w:val="D10A0380"/>
    <w:lvl w:ilvl="0" w:tplc="A39C0064">
      <w:numFmt w:val="bullet"/>
      <w:lvlText w:val="•"/>
      <w:lvlJc w:val="left"/>
      <w:pPr>
        <w:ind w:left="457" w:hanging="284"/>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77A21B7A">
      <w:numFmt w:val="bullet"/>
      <w:lvlText w:val="-"/>
      <w:lvlJc w:val="left"/>
      <w:pPr>
        <w:ind w:left="740" w:hanging="284"/>
      </w:pPr>
      <w:rPr>
        <w:rFonts w:ascii="AvenirNext LT Pro Bold" w:eastAsia="AvenirNext LT Pro Bold" w:hAnsi="AvenirNext LT Pro Bold" w:cs="AvenirNext LT Pro Bold" w:hint="default"/>
        <w:b w:val="0"/>
        <w:bCs w:val="0"/>
        <w:i w:val="0"/>
        <w:iCs w:val="0"/>
        <w:color w:val="6D656B"/>
        <w:w w:val="100"/>
        <w:sz w:val="24"/>
        <w:szCs w:val="24"/>
        <w:lang w:val="en-US" w:eastAsia="en-US" w:bidi="ar-SA"/>
      </w:rPr>
    </w:lvl>
    <w:lvl w:ilvl="2" w:tplc="5796840E">
      <w:numFmt w:val="bullet"/>
      <w:lvlText w:val="•"/>
      <w:lvlJc w:val="left"/>
      <w:pPr>
        <w:ind w:left="1762" w:hanging="284"/>
      </w:pPr>
      <w:rPr>
        <w:rFonts w:hint="default"/>
        <w:lang w:val="en-US" w:eastAsia="en-US" w:bidi="ar-SA"/>
      </w:rPr>
    </w:lvl>
    <w:lvl w:ilvl="3" w:tplc="9F120DAA">
      <w:numFmt w:val="bullet"/>
      <w:lvlText w:val="•"/>
      <w:lvlJc w:val="left"/>
      <w:pPr>
        <w:ind w:left="2785" w:hanging="284"/>
      </w:pPr>
      <w:rPr>
        <w:rFonts w:hint="default"/>
        <w:lang w:val="en-US" w:eastAsia="en-US" w:bidi="ar-SA"/>
      </w:rPr>
    </w:lvl>
    <w:lvl w:ilvl="4" w:tplc="70ACDC70">
      <w:numFmt w:val="bullet"/>
      <w:lvlText w:val="•"/>
      <w:lvlJc w:val="left"/>
      <w:pPr>
        <w:ind w:left="3808" w:hanging="284"/>
      </w:pPr>
      <w:rPr>
        <w:rFonts w:hint="default"/>
        <w:lang w:val="en-US" w:eastAsia="en-US" w:bidi="ar-SA"/>
      </w:rPr>
    </w:lvl>
    <w:lvl w:ilvl="5" w:tplc="576C22B0">
      <w:numFmt w:val="bullet"/>
      <w:lvlText w:val="•"/>
      <w:lvlJc w:val="left"/>
      <w:pPr>
        <w:ind w:left="4831" w:hanging="284"/>
      </w:pPr>
      <w:rPr>
        <w:rFonts w:hint="default"/>
        <w:lang w:val="en-US" w:eastAsia="en-US" w:bidi="ar-SA"/>
      </w:rPr>
    </w:lvl>
    <w:lvl w:ilvl="6" w:tplc="1674E694">
      <w:numFmt w:val="bullet"/>
      <w:lvlText w:val="•"/>
      <w:lvlJc w:val="left"/>
      <w:pPr>
        <w:ind w:left="5854" w:hanging="284"/>
      </w:pPr>
      <w:rPr>
        <w:rFonts w:hint="default"/>
        <w:lang w:val="en-US" w:eastAsia="en-US" w:bidi="ar-SA"/>
      </w:rPr>
    </w:lvl>
    <w:lvl w:ilvl="7" w:tplc="4ED22028">
      <w:numFmt w:val="bullet"/>
      <w:lvlText w:val="•"/>
      <w:lvlJc w:val="left"/>
      <w:pPr>
        <w:ind w:left="6877" w:hanging="284"/>
      </w:pPr>
      <w:rPr>
        <w:rFonts w:hint="default"/>
        <w:lang w:val="en-US" w:eastAsia="en-US" w:bidi="ar-SA"/>
      </w:rPr>
    </w:lvl>
    <w:lvl w:ilvl="8" w:tplc="1F1E3188">
      <w:numFmt w:val="bullet"/>
      <w:lvlText w:val="•"/>
      <w:lvlJc w:val="left"/>
      <w:pPr>
        <w:ind w:left="7899" w:hanging="284"/>
      </w:pPr>
      <w:rPr>
        <w:rFonts w:hint="default"/>
        <w:lang w:val="en-US" w:eastAsia="en-US" w:bidi="ar-SA"/>
      </w:rPr>
    </w:lvl>
  </w:abstractNum>
  <w:num w:numId="1">
    <w:abstractNumId w:val="22"/>
  </w:num>
  <w:num w:numId="2">
    <w:abstractNumId w:val="21"/>
  </w:num>
  <w:num w:numId="3">
    <w:abstractNumId w:val="19"/>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1"/>
  </w:num>
  <w:num w:numId="15">
    <w:abstractNumId w:val="20"/>
  </w:num>
  <w:num w:numId="16">
    <w:abstractNumId w:val="20"/>
  </w:num>
  <w:num w:numId="17">
    <w:abstractNumId w:val="20"/>
  </w:num>
  <w:num w:numId="18">
    <w:abstractNumId w:val="10"/>
  </w:num>
  <w:num w:numId="19">
    <w:abstractNumId w:val="18"/>
  </w:num>
  <w:num w:numId="20">
    <w:abstractNumId w:val="12"/>
  </w:num>
  <w:num w:numId="21">
    <w:abstractNumId w:val="12"/>
    <w:lvlOverride w:ilvl="0">
      <w:startOverride w:val="1"/>
    </w:lvlOverride>
  </w:num>
  <w:num w:numId="22">
    <w:abstractNumId w:val="14"/>
  </w:num>
  <w:num w:numId="23">
    <w:abstractNumId w:val="17"/>
  </w:num>
  <w:num w:numId="24">
    <w:abstractNumId w:val="13"/>
  </w:num>
  <w:num w:numId="25">
    <w:abstractNumId w:val="15"/>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F8"/>
    <w:rsid w:val="00002219"/>
    <w:rsid w:val="0000283C"/>
    <w:rsid w:val="00022CF8"/>
    <w:rsid w:val="00026B5D"/>
    <w:rsid w:val="00050F70"/>
    <w:rsid w:val="00061F3B"/>
    <w:rsid w:val="00091914"/>
    <w:rsid w:val="000B6A0E"/>
    <w:rsid w:val="000C1393"/>
    <w:rsid w:val="000D4185"/>
    <w:rsid w:val="000E7322"/>
    <w:rsid w:val="00162A71"/>
    <w:rsid w:val="001704EA"/>
    <w:rsid w:val="00174A66"/>
    <w:rsid w:val="0019198D"/>
    <w:rsid w:val="001A1C3E"/>
    <w:rsid w:val="001A718F"/>
    <w:rsid w:val="001B6965"/>
    <w:rsid w:val="001C190C"/>
    <w:rsid w:val="001D0E94"/>
    <w:rsid w:val="001D25B7"/>
    <w:rsid w:val="001E4124"/>
    <w:rsid w:val="00210A28"/>
    <w:rsid w:val="00211B61"/>
    <w:rsid w:val="00222F18"/>
    <w:rsid w:val="00231175"/>
    <w:rsid w:val="0023762F"/>
    <w:rsid w:val="002570F7"/>
    <w:rsid w:val="00260F9C"/>
    <w:rsid w:val="002634DC"/>
    <w:rsid w:val="00264475"/>
    <w:rsid w:val="0026519D"/>
    <w:rsid w:val="0027069A"/>
    <w:rsid w:val="002A0220"/>
    <w:rsid w:val="00304B8A"/>
    <w:rsid w:val="003378EE"/>
    <w:rsid w:val="0035220A"/>
    <w:rsid w:val="003939BF"/>
    <w:rsid w:val="00396F77"/>
    <w:rsid w:val="003A3C21"/>
    <w:rsid w:val="003A4B9B"/>
    <w:rsid w:val="003B6F1B"/>
    <w:rsid w:val="003C3368"/>
    <w:rsid w:val="003C5FA6"/>
    <w:rsid w:val="003C6CBD"/>
    <w:rsid w:val="003D35FA"/>
    <w:rsid w:val="003D74A1"/>
    <w:rsid w:val="003E34EC"/>
    <w:rsid w:val="003F50DF"/>
    <w:rsid w:val="003F641B"/>
    <w:rsid w:val="004106DA"/>
    <w:rsid w:val="00417F54"/>
    <w:rsid w:val="004344B0"/>
    <w:rsid w:val="004707CE"/>
    <w:rsid w:val="0047689E"/>
    <w:rsid w:val="0049565B"/>
    <w:rsid w:val="004967FB"/>
    <w:rsid w:val="004D3267"/>
    <w:rsid w:val="004F5424"/>
    <w:rsid w:val="005118BD"/>
    <w:rsid w:val="0053441D"/>
    <w:rsid w:val="005422E5"/>
    <w:rsid w:val="00561AE7"/>
    <w:rsid w:val="005715F5"/>
    <w:rsid w:val="00577768"/>
    <w:rsid w:val="00585B06"/>
    <w:rsid w:val="005C0BE6"/>
    <w:rsid w:val="005D3BB4"/>
    <w:rsid w:val="0060563D"/>
    <w:rsid w:val="00617C4D"/>
    <w:rsid w:val="00682150"/>
    <w:rsid w:val="00697C58"/>
    <w:rsid w:val="006D7B7C"/>
    <w:rsid w:val="006E679C"/>
    <w:rsid w:val="006F68F2"/>
    <w:rsid w:val="006F73D8"/>
    <w:rsid w:val="007044B6"/>
    <w:rsid w:val="00736209"/>
    <w:rsid w:val="00737F3B"/>
    <w:rsid w:val="00742C66"/>
    <w:rsid w:val="00751E3A"/>
    <w:rsid w:val="007763C1"/>
    <w:rsid w:val="007A314C"/>
    <w:rsid w:val="007C05FF"/>
    <w:rsid w:val="007C7197"/>
    <w:rsid w:val="007D1B09"/>
    <w:rsid w:val="007E37B5"/>
    <w:rsid w:val="007E386A"/>
    <w:rsid w:val="007F627E"/>
    <w:rsid w:val="008334E7"/>
    <w:rsid w:val="00835554"/>
    <w:rsid w:val="008447C6"/>
    <w:rsid w:val="00846E97"/>
    <w:rsid w:val="00866719"/>
    <w:rsid w:val="0088735F"/>
    <w:rsid w:val="008916E0"/>
    <w:rsid w:val="00894794"/>
    <w:rsid w:val="008D006B"/>
    <w:rsid w:val="008D4928"/>
    <w:rsid w:val="00903479"/>
    <w:rsid w:val="00905E58"/>
    <w:rsid w:val="00913EE5"/>
    <w:rsid w:val="00916DC4"/>
    <w:rsid w:val="0092529A"/>
    <w:rsid w:val="009572A4"/>
    <w:rsid w:val="00962C06"/>
    <w:rsid w:val="00963653"/>
    <w:rsid w:val="00964008"/>
    <w:rsid w:val="0097301E"/>
    <w:rsid w:val="00973CA9"/>
    <w:rsid w:val="009931B3"/>
    <w:rsid w:val="0099484D"/>
    <w:rsid w:val="009A10EE"/>
    <w:rsid w:val="009C33BA"/>
    <w:rsid w:val="009C3F0F"/>
    <w:rsid w:val="009D6CAB"/>
    <w:rsid w:val="00A06688"/>
    <w:rsid w:val="00A14D5B"/>
    <w:rsid w:val="00A1784D"/>
    <w:rsid w:val="00A27FB6"/>
    <w:rsid w:val="00A36588"/>
    <w:rsid w:val="00A37B64"/>
    <w:rsid w:val="00A677B4"/>
    <w:rsid w:val="00A70294"/>
    <w:rsid w:val="00A7164F"/>
    <w:rsid w:val="00A76B7D"/>
    <w:rsid w:val="00AC7B8D"/>
    <w:rsid w:val="00B2628A"/>
    <w:rsid w:val="00B26855"/>
    <w:rsid w:val="00B31F64"/>
    <w:rsid w:val="00B451EA"/>
    <w:rsid w:val="00B56012"/>
    <w:rsid w:val="00B86A4B"/>
    <w:rsid w:val="00BA1C3E"/>
    <w:rsid w:val="00BE0451"/>
    <w:rsid w:val="00BE4BB8"/>
    <w:rsid w:val="00BF69AF"/>
    <w:rsid w:val="00BF7E7E"/>
    <w:rsid w:val="00C15C2E"/>
    <w:rsid w:val="00C1639B"/>
    <w:rsid w:val="00C21193"/>
    <w:rsid w:val="00C21E72"/>
    <w:rsid w:val="00C263FE"/>
    <w:rsid w:val="00C30360"/>
    <w:rsid w:val="00C33BC8"/>
    <w:rsid w:val="00C3735C"/>
    <w:rsid w:val="00C61F11"/>
    <w:rsid w:val="00C71578"/>
    <w:rsid w:val="00C80D5E"/>
    <w:rsid w:val="00CB0836"/>
    <w:rsid w:val="00CB543E"/>
    <w:rsid w:val="00CB56A3"/>
    <w:rsid w:val="00CC4E5F"/>
    <w:rsid w:val="00CD5342"/>
    <w:rsid w:val="00CE4F7C"/>
    <w:rsid w:val="00CE65E9"/>
    <w:rsid w:val="00D252FC"/>
    <w:rsid w:val="00D371FA"/>
    <w:rsid w:val="00D50626"/>
    <w:rsid w:val="00D61500"/>
    <w:rsid w:val="00D64DD0"/>
    <w:rsid w:val="00D77790"/>
    <w:rsid w:val="00D87D68"/>
    <w:rsid w:val="00DA4D1C"/>
    <w:rsid w:val="00DA7588"/>
    <w:rsid w:val="00DB0A99"/>
    <w:rsid w:val="00DC39B0"/>
    <w:rsid w:val="00DD6234"/>
    <w:rsid w:val="00DD66D4"/>
    <w:rsid w:val="00DD7B48"/>
    <w:rsid w:val="00DE6569"/>
    <w:rsid w:val="00DE6C31"/>
    <w:rsid w:val="00DF4592"/>
    <w:rsid w:val="00E11281"/>
    <w:rsid w:val="00E146DC"/>
    <w:rsid w:val="00E83E56"/>
    <w:rsid w:val="00E97319"/>
    <w:rsid w:val="00EB29D4"/>
    <w:rsid w:val="00EC404B"/>
    <w:rsid w:val="00EE7499"/>
    <w:rsid w:val="00EF5BD5"/>
    <w:rsid w:val="00F05081"/>
    <w:rsid w:val="00F22300"/>
    <w:rsid w:val="00F33314"/>
    <w:rsid w:val="00F5180A"/>
    <w:rsid w:val="00F53E77"/>
    <w:rsid w:val="00F676ED"/>
    <w:rsid w:val="00F739D7"/>
    <w:rsid w:val="00F74E8E"/>
    <w:rsid w:val="00FA4AFF"/>
    <w:rsid w:val="00FB6D65"/>
    <w:rsid w:val="00FF09BA"/>
    <w:rsid w:val="00FF6119"/>
    <w:rsid w:val="00FF68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55C22"/>
  <w15:docId w15:val="{4FA1B19E-2AE2-427E-BABA-4531D3A4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688"/>
    <w:pPr>
      <w:spacing w:before="120" w:after="120"/>
    </w:pPr>
    <w:rPr>
      <w:rFonts w:ascii="Avenir Next" w:eastAsia="AvenirNext LT Pro Bold" w:hAnsi="Avenir Next" w:cs="AvenirNext LT Pro Bold"/>
      <w:color w:val="575F61"/>
      <w:sz w:val="24"/>
      <w:lang w:val="en-GB"/>
    </w:rPr>
  </w:style>
  <w:style w:type="paragraph" w:styleId="Heading1">
    <w:name w:val="heading 1"/>
    <w:next w:val="BodyText"/>
    <w:link w:val="Heading1Char"/>
    <w:autoRedefine/>
    <w:uiPriority w:val="9"/>
    <w:qFormat/>
    <w:rsid w:val="00BF69AF"/>
    <w:pPr>
      <w:spacing w:before="240" w:after="120" w:line="520" w:lineRule="exact"/>
      <w:outlineLvl w:val="0"/>
    </w:pPr>
    <w:rPr>
      <w:rFonts w:ascii="Avenir Next Demi Bold" w:eastAsia="AvenirNextLTPro-Demi" w:hAnsi="Avenir Next Demi Bold" w:cs="AvenirNextLTPro-Demi"/>
      <w:b/>
      <w:bCs/>
      <w:color w:val="1598CB"/>
      <w:sz w:val="48"/>
      <w:szCs w:val="48"/>
    </w:rPr>
  </w:style>
  <w:style w:type="paragraph" w:styleId="Heading2">
    <w:name w:val="heading 2"/>
    <w:basedOn w:val="Heading1"/>
    <w:next w:val="BodyText"/>
    <w:link w:val="Heading2Char"/>
    <w:autoRedefine/>
    <w:uiPriority w:val="9"/>
    <w:unhideWhenUsed/>
    <w:qFormat/>
    <w:rsid w:val="000B6A0E"/>
    <w:pPr>
      <w:numPr>
        <w:numId w:val="19"/>
      </w:numPr>
      <w:spacing w:before="360"/>
      <w:outlineLvl w:val="1"/>
    </w:pPr>
    <w:rPr>
      <w:bCs w:val="0"/>
      <w:iCs/>
      <w:color w:val="248EB9"/>
      <w:spacing w:val="-6"/>
      <w:sz w:val="36"/>
      <w:szCs w:val="36"/>
    </w:rPr>
  </w:style>
  <w:style w:type="paragraph" w:styleId="Heading3">
    <w:name w:val="heading 3"/>
    <w:basedOn w:val="Normal"/>
    <w:next w:val="Normal"/>
    <w:autoRedefine/>
    <w:uiPriority w:val="9"/>
    <w:unhideWhenUsed/>
    <w:qFormat/>
    <w:rsid w:val="00E83E56"/>
    <w:pPr>
      <w:numPr>
        <w:numId w:val="15"/>
      </w:numPr>
      <w:spacing w:after="0"/>
      <w:outlineLvl w:val="2"/>
    </w:pPr>
    <w:rPr>
      <w:rFonts w:ascii="Avenir Next Demi Bold" w:hAnsi="Avenir Next Demi Bol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C30360"/>
    <w:rPr>
      <w:szCs w:val="24"/>
    </w:rPr>
  </w:style>
  <w:style w:type="paragraph" w:styleId="Title">
    <w:name w:val="Title"/>
    <w:basedOn w:val="Normal"/>
    <w:uiPriority w:val="10"/>
    <w:qFormat/>
    <w:pPr>
      <w:spacing w:before="75"/>
      <w:ind w:left="1127" w:right="1085"/>
      <w:jc w:val="center"/>
    </w:pPr>
    <w:rPr>
      <w:rFonts w:ascii="AvenirNextLTPro-Demi" w:eastAsia="AvenirNextLTPro-Demi" w:hAnsi="AvenirNextLTPro-Demi" w:cs="AvenirNextLTPro-Demi"/>
      <w:b/>
      <w:bCs/>
      <w:sz w:val="56"/>
      <w:szCs w:val="56"/>
    </w:rPr>
  </w:style>
  <w:style w:type="paragraph" w:styleId="ListParagraph">
    <w:name w:val="List Paragraph"/>
    <w:aliases w:val="Bullets 2"/>
    <w:basedOn w:val="Normal"/>
    <w:next w:val="Normal"/>
    <w:autoRedefine/>
    <w:uiPriority w:val="1"/>
    <w:qFormat/>
    <w:rsid w:val="0035220A"/>
    <w:pPr>
      <w:numPr>
        <w:numId w:val="24"/>
      </w:numPr>
      <w:spacing w:before="0" w:after="0"/>
    </w:pPr>
  </w:style>
  <w:style w:type="paragraph" w:customStyle="1" w:styleId="TableParagraph">
    <w:name w:val="Table Paragraph"/>
    <w:basedOn w:val="Normal"/>
    <w:uiPriority w:val="1"/>
    <w:qFormat/>
    <w:rsid w:val="00DE6569"/>
    <w:rPr>
      <w:rFonts w:eastAsia="AvenirNextLTPro-Demi" w:cs="AvenirNextLTPro-Demi"/>
      <w:sz w:val="20"/>
    </w:rPr>
  </w:style>
  <w:style w:type="paragraph" w:customStyle="1" w:styleId="Bullets">
    <w:name w:val="Bullets"/>
    <w:basedOn w:val="BodyText"/>
    <w:next w:val="BodyText"/>
    <w:autoRedefine/>
    <w:qFormat/>
    <w:rsid w:val="005422E5"/>
    <w:pPr>
      <w:numPr>
        <w:numId w:val="2"/>
      </w:numPr>
      <w:spacing w:before="0"/>
    </w:pPr>
  </w:style>
  <w:style w:type="paragraph" w:customStyle="1" w:styleId="Breakout">
    <w:name w:val="Breakout"/>
    <w:basedOn w:val="BodyText"/>
    <w:next w:val="BodyText"/>
    <w:autoRedefine/>
    <w:qFormat/>
    <w:rsid w:val="006F73D8"/>
    <w:pPr>
      <w:spacing w:after="240" w:line="440" w:lineRule="exact"/>
    </w:pPr>
    <w:rPr>
      <w:spacing w:val="-2"/>
      <w:sz w:val="36"/>
      <w:szCs w:val="36"/>
    </w:rPr>
  </w:style>
  <w:style w:type="paragraph" w:styleId="TOCHeading">
    <w:name w:val="TOC Heading"/>
    <w:basedOn w:val="Heading1"/>
    <w:next w:val="Normal"/>
    <w:uiPriority w:val="39"/>
    <w:unhideWhenUsed/>
    <w:qFormat/>
    <w:rsid w:val="00BF69AF"/>
    <w:pPr>
      <w:keepNext/>
      <w:keepLines/>
      <w:widowControl/>
      <w:autoSpaceDE/>
      <w:autoSpaceDN/>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BF69AF"/>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BF69AF"/>
    <w:rPr>
      <w:rFonts w:ascii="AvenirNext LT Pro Regular" w:hAnsi="AvenirNext LT Pro Regular"/>
      <w:color w:val="0000FF" w:themeColor="hyperlink"/>
      <w:u w:val="single"/>
    </w:rPr>
  </w:style>
  <w:style w:type="paragraph" w:styleId="TOC3">
    <w:name w:val="toc 3"/>
    <w:basedOn w:val="Normal"/>
    <w:next w:val="Normal"/>
    <w:autoRedefine/>
    <w:uiPriority w:val="39"/>
    <w:unhideWhenUsed/>
    <w:rsid w:val="00BF69AF"/>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BF69AF"/>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BF69AF"/>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F69AF"/>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F69AF"/>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F69AF"/>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F69AF"/>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EB29D4"/>
    <w:pPr>
      <w:tabs>
        <w:tab w:val="center" w:pos="4513"/>
        <w:tab w:val="right" w:pos="9026"/>
      </w:tabs>
      <w:spacing w:before="0" w:after="0"/>
    </w:pPr>
  </w:style>
  <w:style w:type="character" w:customStyle="1" w:styleId="FooterChar">
    <w:name w:val="Footer Char"/>
    <w:basedOn w:val="DefaultParagraphFont"/>
    <w:link w:val="Footer"/>
    <w:uiPriority w:val="99"/>
    <w:rsid w:val="00EB29D4"/>
    <w:rPr>
      <w:rFonts w:ascii="Avenir Next" w:eastAsia="AvenirNext LT Pro Bold" w:hAnsi="Avenir Next" w:cs="AvenirNext LT Pro Bold"/>
      <w:color w:val="575F61"/>
      <w:sz w:val="24"/>
    </w:rPr>
  </w:style>
  <w:style w:type="character" w:styleId="PageNumber">
    <w:name w:val="page number"/>
    <w:basedOn w:val="DefaultParagraphFont"/>
    <w:uiPriority w:val="99"/>
    <w:semiHidden/>
    <w:unhideWhenUsed/>
    <w:rsid w:val="00EB29D4"/>
    <w:rPr>
      <w:rFonts w:ascii="AvenirNext LT Pro Regular" w:hAnsi="AvenirNext LT Pro Regular"/>
    </w:rPr>
  </w:style>
  <w:style w:type="paragraph" w:styleId="Header">
    <w:name w:val="header"/>
    <w:basedOn w:val="Normal"/>
    <w:link w:val="HeaderChar"/>
    <w:uiPriority w:val="99"/>
    <w:unhideWhenUsed/>
    <w:rsid w:val="00C61F11"/>
    <w:pPr>
      <w:tabs>
        <w:tab w:val="center" w:pos="4513"/>
        <w:tab w:val="right" w:pos="9026"/>
      </w:tabs>
      <w:spacing w:before="0" w:after="0"/>
    </w:pPr>
  </w:style>
  <w:style w:type="character" w:customStyle="1" w:styleId="HeaderChar">
    <w:name w:val="Header Char"/>
    <w:basedOn w:val="DefaultParagraphFont"/>
    <w:link w:val="Header"/>
    <w:uiPriority w:val="99"/>
    <w:rsid w:val="00C61F11"/>
    <w:rPr>
      <w:rFonts w:ascii="Avenir Next" w:eastAsia="AvenirNext LT Pro Bold" w:hAnsi="Avenir Next" w:cs="AvenirNext LT Pro Bold"/>
      <w:color w:val="575F61"/>
      <w:sz w:val="24"/>
    </w:rPr>
  </w:style>
  <w:style w:type="table" w:customStyle="1" w:styleId="Table">
    <w:name w:val="Table"/>
    <w:basedOn w:val="TableNormal"/>
    <w:uiPriority w:val="99"/>
    <w:rsid w:val="00DE6569"/>
    <w:pPr>
      <w:widowControl/>
      <w:autoSpaceDE/>
      <w:autoSpaceDN/>
    </w:pPr>
    <w:rPr>
      <w:rFonts w:ascii="Avenir Next" w:hAnsi="Avenir Next"/>
      <w:color w:val="575F61"/>
      <w:sz w:val="20"/>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F67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E11281"/>
    <w:pPr>
      <w:spacing w:after="0"/>
    </w:pPr>
    <w:rPr>
      <w:rFonts w:ascii="Avenir Next Demi Bold" w:hAnsi="Avenir Next Demi Bold"/>
      <w:b/>
      <w:bCs/>
    </w:rPr>
  </w:style>
  <w:style w:type="character" w:customStyle="1" w:styleId="BodyTextChar">
    <w:name w:val="Body Text Char"/>
    <w:basedOn w:val="DefaultParagraphFont"/>
    <w:link w:val="BodyText"/>
    <w:uiPriority w:val="1"/>
    <w:rsid w:val="00E11281"/>
    <w:rPr>
      <w:rFonts w:ascii="Avenir Next" w:eastAsia="AvenirNext LT Pro Bold" w:hAnsi="Avenir Next" w:cs="AvenirNext LT Pro Bold"/>
      <w:color w:val="575F61"/>
      <w:sz w:val="24"/>
      <w:szCs w:val="24"/>
    </w:rPr>
  </w:style>
  <w:style w:type="character" w:customStyle="1" w:styleId="Heading1Char">
    <w:name w:val="Heading 1 Char"/>
    <w:basedOn w:val="DefaultParagraphFont"/>
    <w:link w:val="Heading1"/>
    <w:uiPriority w:val="9"/>
    <w:rsid w:val="009931B3"/>
    <w:rPr>
      <w:rFonts w:ascii="Avenir Next Demi Bold" w:eastAsia="AvenirNextLTPro-Demi" w:hAnsi="Avenir Next Demi Bold" w:cs="AvenirNextLTPro-Demi"/>
      <w:b/>
      <w:bCs/>
      <w:color w:val="1598CB"/>
      <w:sz w:val="48"/>
      <w:szCs w:val="48"/>
    </w:rPr>
  </w:style>
  <w:style w:type="character" w:styleId="UnresolvedMention">
    <w:name w:val="Unresolved Mention"/>
    <w:basedOn w:val="DefaultParagraphFont"/>
    <w:uiPriority w:val="99"/>
    <w:semiHidden/>
    <w:unhideWhenUsed/>
    <w:rsid w:val="009931B3"/>
    <w:rPr>
      <w:color w:val="605E5C"/>
      <w:shd w:val="clear" w:color="auto" w:fill="E1DFDD"/>
    </w:rPr>
  </w:style>
  <w:style w:type="paragraph" w:styleId="NormalWeb">
    <w:name w:val="Normal (Web)"/>
    <w:basedOn w:val="Normal"/>
    <w:uiPriority w:val="99"/>
    <w:semiHidden/>
    <w:unhideWhenUsed/>
    <w:rsid w:val="006F68F2"/>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IntenseEmphasis">
    <w:name w:val="Intense Emphasis"/>
    <w:basedOn w:val="DefaultParagraphFont"/>
    <w:uiPriority w:val="21"/>
    <w:qFormat/>
    <w:rsid w:val="006F68F2"/>
    <w:rPr>
      <w:i/>
      <w:iCs/>
      <w:color w:val="4F81BD" w:themeColor="accent1"/>
    </w:rPr>
  </w:style>
  <w:style w:type="character" w:styleId="SubtleEmphasis">
    <w:name w:val="Subtle Emphasis"/>
    <w:basedOn w:val="DefaultParagraphFont"/>
    <w:uiPriority w:val="19"/>
    <w:qFormat/>
    <w:rsid w:val="006F68F2"/>
    <w:rPr>
      <w:i/>
      <w:iCs/>
      <w:color w:val="404040" w:themeColor="text1" w:themeTint="BF"/>
    </w:rPr>
  </w:style>
  <w:style w:type="paragraph" w:styleId="PlainText">
    <w:name w:val="Plain Text"/>
    <w:basedOn w:val="Normal"/>
    <w:link w:val="PlainTextChar"/>
    <w:uiPriority w:val="99"/>
    <w:semiHidden/>
    <w:unhideWhenUsed/>
    <w:rsid w:val="001D25B7"/>
    <w:pPr>
      <w:widowControl/>
      <w:autoSpaceDE/>
      <w:autoSpaceDN/>
      <w:spacing w:before="0" w:after="0"/>
    </w:pPr>
    <w:rPr>
      <w:rFonts w:ascii="Calibri" w:eastAsiaTheme="minorHAnsi" w:hAnsi="Calibri" w:cstheme="minorBidi"/>
      <w:color w:val="auto"/>
      <w:sz w:val="22"/>
      <w:szCs w:val="21"/>
      <w:lang w:val="en-AU"/>
    </w:rPr>
  </w:style>
  <w:style w:type="character" w:customStyle="1" w:styleId="PlainTextChar">
    <w:name w:val="Plain Text Char"/>
    <w:basedOn w:val="DefaultParagraphFont"/>
    <w:link w:val="PlainText"/>
    <w:uiPriority w:val="99"/>
    <w:semiHidden/>
    <w:rsid w:val="001D25B7"/>
    <w:rPr>
      <w:rFonts w:ascii="Calibri" w:hAnsi="Calibri"/>
      <w:szCs w:val="21"/>
      <w:lang w:val="en-AU"/>
    </w:rPr>
  </w:style>
  <w:style w:type="paragraph" w:styleId="Quote">
    <w:name w:val="Quote"/>
    <w:basedOn w:val="Normal"/>
    <w:next w:val="Normal"/>
    <w:link w:val="QuoteChar"/>
    <w:uiPriority w:val="29"/>
    <w:qFormat/>
    <w:rsid w:val="001D25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25B7"/>
    <w:rPr>
      <w:rFonts w:ascii="Avenir Next" w:eastAsia="AvenirNext LT Pro Bold" w:hAnsi="Avenir Next" w:cs="AvenirNext LT Pro Bold"/>
      <w:i/>
      <w:iCs/>
      <w:color w:val="404040" w:themeColor="text1" w:themeTint="BF"/>
      <w:sz w:val="24"/>
      <w:lang w:val="en-GB"/>
    </w:rPr>
  </w:style>
  <w:style w:type="paragraph" w:styleId="IntenseQuote">
    <w:name w:val="Intense Quote"/>
    <w:basedOn w:val="Normal"/>
    <w:next w:val="Normal"/>
    <w:link w:val="IntenseQuoteChar"/>
    <w:uiPriority w:val="30"/>
    <w:qFormat/>
    <w:rsid w:val="001D25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25B7"/>
    <w:rPr>
      <w:rFonts w:ascii="Avenir Next" w:eastAsia="AvenirNext LT Pro Bold" w:hAnsi="Avenir Next" w:cs="AvenirNext LT Pro Bold"/>
      <w:i/>
      <w:iCs/>
      <w:color w:val="4F81BD" w:themeColor="accent1"/>
      <w:sz w:val="24"/>
      <w:lang w:val="en-GB"/>
    </w:rPr>
  </w:style>
  <w:style w:type="character" w:styleId="Strong">
    <w:name w:val="Strong"/>
    <w:basedOn w:val="DefaultParagraphFont"/>
    <w:uiPriority w:val="22"/>
    <w:qFormat/>
    <w:rsid w:val="00C71578"/>
    <w:rPr>
      <w:b/>
      <w:bCs/>
    </w:rPr>
  </w:style>
  <w:style w:type="character" w:styleId="CommentReference">
    <w:name w:val="annotation reference"/>
    <w:basedOn w:val="DefaultParagraphFont"/>
    <w:uiPriority w:val="99"/>
    <w:semiHidden/>
    <w:unhideWhenUsed/>
    <w:rsid w:val="00A70294"/>
    <w:rPr>
      <w:sz w:val="16"/>
      <w:szCs w:val="16"/>
    </w:rPr>
  </w:style>
  <w:style w:type="paragraph" w:styleId="CommentText">
    <w:name w:val="annotation text"/>
    <w:basedOn w:val="Normal"/>
    <w:link w:val="CommentTextChar"/>
    <w:uiPriority w:val="99"/>
    <w:semiHidden/>
    <w:unhideWhenUsed/>
    <w:rsid w:val="00A70294"/>
    <w:rPr>
      <w:sz w:val="20"/>
      <w:szCs w:val="20"/>
    </w:rPr>
  </w:style>
  <w:style w:type="character" w:customStyle="1" w:styleId="CommentTextChar">
    <w:name w:val="Comment Text Char"/>
    <w:basedOn w:val="DefaultParagraphFont"/>
    <w:link w:val="CommentText"/>
    <w:uiPriority w:val="99"/>
    <w:semiHidden/>
    <w:rsid w:val="00A70294"/>
    <w:rPr>
      <w:rFonts w:ascii="Avenir Next" w:eastAsia="AvenirNext LT Pro Bold" w:hAnsi="Avenir Next" w:cs="AvenirNext LT Pro Bold"/>
      <w:color w:val="575F61"/>
      <w:sz w:val="20"/>
      <w:szCs w:val="20"/>
      <w:lang w:val="en-GB"/>
    </w:rPr>
  </w:style>
  <w:style w:type="paragraph" w:styleId="CommentSubject">
    <w:name w:val="annotation subject"/>
    <w:basedOn w:val="CommentText"/>
    <w:next w:val="CommentText"/>
    <w:link w:val="CommentSubjectChar"/>
    <w:uiPriority w:val="99"/>
    <w:semiHidden/>
    <w:unhideWhenUsed/>
    <w:rsid w:val="00A70294"/>
    <w:rPr>
      <w:b/>
      <w:bCs/>
    </w:rPr>
  </w:style>
  <w:style w:type="character" w:customStyle="1" w:styleId="CommentSubjectChar">
    <w:name w:val="Comment Subject Char"/>
    <w:basedOn w:val="CommentTextChar"/>
    <w:link w:val="CommentSubject"/>
    <w:uiPriority w:val="99"/>
    <w:semiHidden/>
    <w:rsid w:val="00A70294"/>
    <w:rPr>
      <w:rFonts w:ascii="Avenir Next" w:eastAsia="AvenirNext LT Pro Bold" w:hAnsi="Avenir Next" w:cs="AvenirNext LT Pro Bold"/>
      <w:b/>
      <w:bCs/>
      <w:color w:val="575F61"/>
      <w:sz w:val="20"/>
      <w:szCs w:val="20"/>
      <w:lang w:val="en-GB"/>
    </w:rPr>
  </w:style>
  <w:style w:type="paragraph" w:styleId="BalloonText">
    <w:name w:val="Balloon Text"/>
    <w:basedOn w:val="Normal"/>
    <w:link w:val="BalloonTextChar"/>
    <w:uiPriority w:val="99"/>
    <w:semiHidden/>
    <w:unhideWhenUsed/>
    <w:rsid w:val="00A7029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294"/>
    <w:rPr>
      <w:rFonts w:ascii="Segoe UI" w:eastAsia="AvenirNext LT Pro Bold" w:hAnsi="Segoe UI" w:cs="Segoe UI"/>
      <w:color w:val="575F61"/>
      <w:sz w:val="18"/>
      <w:szCs w:val="18"/>
      <w:lang w:val="en-GB"/>
    </w:rPr>
  </w:style>
  <w:style w:type="character" w:customStyle="1" w:styleId="Heading2Char">
    <w:name w:val="Heading 2 Char"/>
    <w:basedOn w:val="DefaultParagraphFont"/>
    <w:link w:val="Heading2"/>
    <w:uiPriority w:val="9"/>
    <w:rsid w:val="000B6A0E"/>
    <w:rPr>
      <w:rFonts w:ascii="Avenir Next Demi Bold" w:eastAsia="AvenirNextLTPro-Demi" w:hAnsi="Avenir Next Demi Bold" w:cs="AvenirNextLTPro-Demi"/>
      <w:b/>
      <w:iCs/>
      <w:color w:val="248EB9"/>
      <w:spacing w:val="-6"/>
      <w:sz w:val="36"/>
      <w:szCs w:val="36"/>
    </w:rPr>
  </w:style>
  <w:style w:type="character" w:styleId="Emphasis">
    <w:name w:val="Emphasis"/>
    <w:basedOn w:val="DefaultParagraphFont"/>
    <w:uiPriority w:val="20"/>
    <w:qFormat/>
    <w:rsid w:val="00304B8A"/>
    <w:rPr>
      <w:i/>
      <w:iCs/>
    </w:rPr>
  </w:style>
  <w:style w:type="character" w:styleId="FollowedHyperlink">
    <w:name w:val="FollowedHyperlink"/>
    <w:basedOn w:val="DefaultParagraphFont"/>
    <w:uiPriority w:val="99"/>
    <w:semiHidden/>
    <w:unhideWhenUsed/>
    <w:rsid w:val="000C13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4828">
      <w:bodyDiv w:val="1"/>
      <w:marLeft w:val="0"/>
      <w:marRight w:val="0"/>
      <w:marTop w:val="0"/>
      <w:marBottom w:val="0"/>
      <w:divBdr>
        <w:top w:val="none" w:sz="0" w:space="0" w:color="auto"/>
        <w:left w:val="none" w:sz="0" w:space="0" w:color="auto"/>
        <w:bottom w:val="none" w:sz="0" w:space="0" w:color="auto"/>
        <w:right w:val="none" w:sz="0" w:space="0" w:color="auto"/>
      </w:divBdr>
    </w:div>
    <w:div w:id="1316688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jones@anglicare-tas.org.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glicare-tas.org.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glicare-tas.org.au/research/treasured-lives-phase-two-research-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ones@anglicare-tas.org.au" TargetMode="External"/><Relationship Id="rId5" Type="http://schemas.openxmlformats.org/officeDocument/2006/relationships/webSettings" Target="webSettings.xml"/><Relationship Id="rId15" Type="http://schemas.openxmlformats.org/officeDocument/2006/relationships/hyperlink" Target="https://www.anglicare-tas.org.au/young-in-love-and-in-danger/"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nglicare-ta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0FC8-9296-408E-A5AF-534ED3EC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Bennett</dc:creator>
  <cp:lastModifiedBy>Selina Claxton</cp:lastModifiedBy>
  <cp:revision>2</cp:revision>
  <dcterms:created xsi:type="dcterms:W3CDTF">2024-01-15T02:40:00Z</dcterms:created>
  <dcterms:modified xsi:type="dcterms:W3CDTF">2024-01-15T02:40:00Z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Adobe InDesign 17.4 (Macintosh)</vt:lpwstr>
  </property>
  <property fmtid="{D5CDD505-2E9C-101B-9397-08002B2CF9AE}" pid="4" name="LastSaved">
    <vt:filetime>2022-10-05T00:00:00Z</vt:filetime>
  </property>
  <property fmtid="{D5CDD505-2E9C-101B-9397-08002B2CF9AE}" pid="5" name="Producer">
    <vt:lpwstr>Adobe PDF Library 16.0.7</vt:lpwstr>
  </property>
</Properties>
</file>