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9D2" w:rsidRPr="00E836FB" w:rsidRDefault="00A079D2" w:rsidP="00456860">
      <w:pPr>
        <w:pStyle w:val="Title"/>
        <w:rPr>
          <w:rFonts w:ascii="Avenir Next LT Pro" w:hAnsi="Avenir Next LT Pro"/>
          <w:color w:val="000000" w:themeColor="text1"/>
          <w:sz w:val="144"/>
          <w:szCs w:val="144"/>
        </w:rPr>
      </w:pPr>
      <w:bookmarkStart w:id="0" w:name="_Hlk134791847"/>
      <w:bookmarkStart w:id="1" w:name="_Hlk134453116"/>
      <w:r w:rsidRPr="00E836FB">
        <w:rPr>
          <w:rFonts w:ascii="Avenir Next LT Pro" w:hAnsi="Avenir Next LT Pro"/>
          <w:color w:val="000000" w:themeColor="text1"/>
          <w:sz w:val="144"/>
          <w:szCs w:val="144"/>
        </w:rPr>
        <w:t xml:space="preserve">The Right to Belong </w:t>
      </w:r>
    </w:p>
    <w:p w:rsidR="00A079D2" w:rsidRPr="00E836FB" w:rsidRDefault="00A079D2" w:rsidP="00456860">
      <w:pPr>
        <w:pStyle w:val="Title"/>
        <w:rPr>
          <w:rFonts w:ascii="Avenir Next LT Pro" w:hAnsi="Avenir Next LT Pro"/>
          <w:color w:val="000000" w:themeColor="text1"/>
          <w:sz w:val="144"/>
          <w:szCs w:val="144"/>
        </w:rPr>
      </w:pPr>
      <w:r w:rsidRPr="00E836FB">
        <w:rPr>
          <w:rFonts w:ascii="Avenir Next LT Pro" w:hAnsi="Avenir Next LT Pro"/>
          <w:color w:val="000000" w:themeColor="text1"/>
          <w:sz w:val="96"/>
          <w:szCs w:val="96"/>
        </w:rPr>
        <w:t>Older people and housing insecurity in Tasmania</w:t>
      </w:r>
    </w:p>
    <w:p w:rsidR="00A079D2" w:rsidRPr="00E836FB" w:rsidRDefault="00A079D2" w:rsidP="00456860"/>
    <w:p w:rsidR="00A079D2" w:rsidRPr="00E836FB" w:rsidRDefault="00A079D2" w:rsidP="00456860"/>
    <w:p w:rsidR="00A079D2" w:rsidRPr="00E836FB" w:rsidRDefault="00A079D2" w:rsidP="00456860">
      <w:pPr>
        <w:sectPr w:rsidR="00A079D2" w:rsidRPr="00E836FB" w:rsidSect="00510A51">
          <w:footerReference w:type="default" r:id="rId8"/>
          <w:headerReference w:type="first" r:id="rId9"/>
          <w:footerReference w:type="first" r:id="rId10"/>
          <w:pgSz w:w="11906" w:h="16838"/>
          <w:pgMar w:top="1440" w:right="1440" w:bottom="1440" w:left="1440" w:header="708" w:footer="708" w:gutter="0"/>
          <w:cols w:space="708"/>
          <w:docGrid w:linePitch="360"/>
        </w:sectPr>
      </w:pPr>
      <w:r w:rsidRPr="00E836FB">
        <w:rPr>
          <w:noProof/>
        </w:rPr>
        <w:drawing>
          <wp:inline distT="0" distB="0" distL="0" distR="0" wp14:anchorId="51D4C5C4" wp14:editId="24AB1944">
            <wp:extent cx="5760085" cy="238442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085" cy="2384425"/>
                    </a:xfrm>
                    <a:prstGeom prst="rect">
                      <a:avLst/>
                    </a:prstGeom>
                  </pic:spPr>
                </pic:pic>
              </a:graphicData>
            </a:graphic>
          </wp:inline>
        </w:drawing>
      </w:r>
    </w:p>
    <w:p w:rsidR="00A079D2" w:rsidRPr="00E836FB" w:rsidRDefault="00A079D2" w:rsidP="00456860">
      <w:pPr>
        <w:pStyle w:val="Quote"/>
        <w:rPr>
          <w:rStyle w:val="Emphasis"/>
        </w:rPr>
      </w:pPr>
      <w:r w:rsidRPr="00E836FB">
        <w:rPr>
          <w:rStyle w:val="Emphasis"/>
        </w:rPr>
        <w:lastRenderedPageBreak/>
        <w:t>Anglicare Tasmania acknowledge</w:t>
      </w:r>
      <w:r>
        <w:rPr>
          <w:rStyle w:val="Emphasis"/>
        </w:rPr>
        <w:t>s</w:t>
      </w:r>
      <w:r w:rsidRPr="00E836FB">
        <w:rPr>
          <w:rStyle w:val="Emphasis"/>
        </w:rPr>
        <w:t xml:space="preserve"> and pay</w:t>
      </w:r>
      <w:r>
        <w:rPr>
          <w:rStyle w:val="Emphasis"/>
        </w:rPr>
        <w:t>s</w:t>
      </w:r>
      <w:r w:rsidRPr="00E836FB">
        <w:rPr>
          <w:rStyle w:val="Emphasis"/>
        </w:rPr>
        <w:t xml:space="preserve"> respect to the Tasmanian Aboriginal community as the traditional and original owners and continuing custodians of this land on which this project has taken place. We acknowledge Elders past and present, and Aboriginal people who have participated in and are connected with this research. </w:t>
      </w:r>
    </w:p>
    <w:p w:rsidR="00A079D2" w:rsidRPr="00E836FB" w:rsidRDefault="00A079D2" w:rsidP="00456860"/>
    <w:p w:rsidR="00A079D2" w:rsidRPr="00E836FB" w:rsidRDefault="00A079D2" w:rsidP="00456860"/>
    <w:p w:rsidR="00A079D2" w:rsidRPr="00E836FB" w:rsidRDefault="00A079D2" w:rsidP="00456860">
      <w:r w:rsidRPr="00E836FB">
        <w:t>Suggested citation</w:t>
      </w:r>
    </w:p>
    <w:p w:rsidR="00A079D2" w:rsidRPr="00E836FB" w:rsidRDefault="00A079D2" w:rsidP="00456860">
      <w:r w:rsidRPr="00E836FB">
        <w:t>Banks, S. and Bennett, M. (2023). The Right to Belong. Older people and housing insecurity in Tasmania. (Research report). Social Action and Research Centre, Anglicare Tasmania.</w:t>
      </w:r>
    </w:p>
    <w:p w:rsidR="00A079D2" w:rsidRPr="00E836FB" w:rsidRDefault="00A079D2" w:rsidP="00456860">
      <w:pPr>
        <w:sectPr w:rsidR="00A079D2" w:rsidRPr="00E836FB" w:rsidSect="00456860">
          <w:headerReference w:type="first" r:id="rId12"/>
          <w:footerReference w:type="first" r:id="rId13"/>
          <w:pgSz w:w="11906" w:h="16838" w:code="9"/>
          <w:pgMar w:top="1440" w:right="1440" w:bottom="1440" w:left="1440" w:header="709" w:footer="709" w:gutter="0"/>
          <w:pgNumType w:start="1"/>
          <w:cols w:space="708"/>
          <w:titlePg/>
          <w:docGrid w:linePitch="360"/>
        </w:sectPr>
      </w:pPr>
    </w:p>
    <w:bookmarkStart w:id="2" w:name="_Toc155254312" w:displacedByCustomXml="next"/>
    <w:bookmarkStart w:id="3" w:name="_Toc154131558" w:displacedByCustomXml="next"/>
    <w:sdt>
      <w:sdtPr>
        <w:rPr>
          <w:rFonts w:ascii="Palatino Linotype" w:eastAsiaTheme="minorHAnsi" w:hAnsi="Palatino Linotype" w:cstheme="minorBidi"/>
          <w:color w:val="auto"/>
          <w:sz w:val="22"/>
          <w:szCs w:val="22"/>
          <w:lang w:val="en-AU"/>
        </w:rPr>
        <w:id w:val="314075263"/>
        <w:docPartObj>
          <w:docPartGallery w:val="Table of Contents"/>
          <w:docPartUnique/>
        </w:docPartObj>
      </w:sdtPr>
      <w:sdtEndPr>
        <w:rPr>
          <w:rFonts w:ascii="Avenir Next LT Pro" w:hAnsi="Avenir Next LT Pro"/>
          <w:b/>
          <w:bCs/>
          <w:noProof/>
        </w:rPr>
      </w:sdtEndPr>
      <w:sdtContent>
        <w:p w:rsidR="00A079D2" w:rsidRDefault="00A079D2">
          <w:pPr>
            <w:pStyle w:val="TOCHeading"/>
          </w:pPr>
          <w:r>
            <w:t>Contents</w:t>
          </w:r>
        </w:p>
        <w:p w:rsidR="00CA6FD4" w:rsidRDefault="00A079D2">
          <w:pPr>
            <w:pStyle w:val="TOC1"/>
            <w:tabs>
              <w:tab w:val="right" w:leader="dot" w:pos="9016"/>
            </w:tabs>
            <w:rPr>
              <w:rFonts w:asciiTheme="minorHAnsi" w:eastAsiaTheme="minorEastAsia" w:hAnsiTheme="minorHAnsi"/>
              <w:noProof/>
              <w:lang w:eastAsia="en-AU"/>
            </w:rPr>
          </w:pPr>
          <w:r w:rsidRPr="00923DB8">
            <w:fldChar w:fldCharType="begin"/>
          </w:r>
          <w:r w:rsidRPr="00923DB8">
            <w:instrText xml:space="preserve"> TOC \o "1-3" \h \z \u </w:instrText>
          </w:r>
          <w:r w:rsidRPr="00923DB8">
            <w:fldChar w:fldCharType="separate"/>
          </w:r>
          <w:hyperlink w:anchor="_Toc166757714" w:history="1">
            <w:r w:rsidR="00CA6FD4" w:rsidRPr="00CC48C7">
              <w:rPr>
                <w:rStyle w:val="Hyperlink"/>
                <w:noProof/>
              </w:rPr>
              <w:t>Acknowledgements</w:t>
            </w:r>
            <w:r w:rsidR="00CA6FD4">
              <w:rPr>
                <w:noProof/>
                <w:webHidden/>
              </w:rPr>
              <w:tab/>
            </w:r>
            <w:r w:rsidR="00CA6FD4">
              <w:rPr>
                <w:noProof/>
                <w:webHidden/>
              </w:rPr>
              <w:fldChar w:fldCharType="begin"/>
            </w:r>
            <w:r w:rsidR="00CA6FD4">
              <w:rPr>
                <w:noProof/>
                <w:webHidden/>
              </w:rPr>
              <w:instrText xml:space="preserve"> PAGEREF _Toc166757714 \h </w:instrText>
            </w:r>
            <w:r w:rsidR="00CA6FD4">
              <w:rPr>
                <w:noProof/>
                <w:webHidden/>
              </w:rPr>
            </w:r>
            <w:r w:rsidR="00CA6FD4">
              <w:rPr>
                <w:noProof/>
                <w:webHidden/>
              </w:rPr>
              <w:fldChar w:fldCharType="separate"/>
            </w:r>
            <w:r w:rsidR="00CA6FD4">
              <w:rPr>
                <w:noProof/>
                <w:webHidden/>
              </w:rPr>
              <w:t>3</w:t>
            </w:r>
            <w:r w:rsidR="00CA6FD4">
              <w:rPr>
                <w:noProof/>
                <w:webHidden/>
              </w:rPr>
              <w:fldChar w:fldCharType="end"/>
            </w:r>
          </w:hyperlink>
        </w:p>
        <w:p w:rsidR="00CA6FD4" w:rsidRDefault="004D1C0F">
          <w:pPr>
            <w:pStyle w:val="TOC1"/>
            <w:tabs>
              <w:tab w:val="right" w:leader="dot" w:pos="9016"/>
            </w:tabs>
            <w:rPr>
              <w:rFonts w:asciiTheme="minorHAnsi" w:eastAsiaTheme="minorEastAsia" w:hAnsiTheme="minorHAnsi"/>
              <w:noProof/>
              <w:lang w:eastAsia="en-AU"/>
            </w:rPr>
          </w:pPr>
          <w:hyperlink w:anchor="_Toc166757715" w:history="1">
            <w:r w:rsidR="00CA6FD4" w:rsidRPr="00CC48C7">
              <w:rPr>
                <w:rStyle w:val="Hyperlink"/>
                <w:noProof/>
              </w:rPr>
              <w:t>Why do this research?</w:t>
            </w:r>
            <w:r w:rsidR="00CA6FD4">
              <w:rPr>
                <w:noProof/>
                <w:webHidden/>
              </w:rPr>
              <w:tab/>
            </w:r>
            <w:r w:rsidR="00CA6FD4">
              <w:rPr>
                <w:noProof/>
                <w:webHidden/>
              </w:rPr>
              <w:fldChar w:fldCharType="begin"/>
            </w:r>
            <w:r w:rsidR="00CA6FD4">
              <w:rPr>
                <w:noProof/>
                <w:webHidden/>
              </w:rPr>
              <w:instrText xml:space="preserve"> PAGEREF _Toc166757715 \h </w:instrText>
            </w:r>
            <w:r w:rsidR="00CA6FD4">
              <w:rPr>
                <w:noProof/>
                <w:webHidden/>
              </w:rPr>
            </w:r>
            <w:r w:rsidR="00CA6FD4">
              <w:rPr>
                <w:noProof/>
                <w:webHidden/>
              </w:rPr>
              <w:fldChar w:fldCharType="separate"/>
            </w:r>
            <w:r w:rsidR="00CA6FD4">
              <w:rPr>
                <w:noProof/>
                <w:webHidden/>
              </w:rPr>
              <w:t>5</w:t>
            </w:r>
            <w:r w:rsidR="00CA6FD4">
              <w:rPr>
                <w:noProof/>
                <w:webHidden/>
              </w:rPr>
              <w:fldChar w:fldCharType="end"/>
            </w:r>
          </w:hyperlink>
        </w:p>
        <w:p w:rsidR="00CA6FD4" w:rsidRDefault="004D1C0F">
          <w:pPr>
            <w:pStyle w:val="TOC1"/>
            <w:tabs>
              <w:tab w:val="right" w:leader="dot" w:pos="9016"/>
            </w:tabs>
            <w:rPr>
              <w:rFonts w:asciiTheme="minorHAnsi" w:eastAsiaTheme="minorEastAsia" w:hAnsiTheme="minorHAnsi"/>
              <w:noProof/>
              <w:lang w:eastAsia="en-AU"/>
            </w:rPr>
          </w:pPr>
          <w:hyperlink w:anchor="_Toc166757716" w:history="1">
            <w:r w:rsidR="00CA6FD4" w:rsidRPr="00CC48C7">
              <w:rPr>
                <w:rStyle w:val="Hyperlink"/>
                <w:noProof/>
              </w:rPr>
              <w:t>How we did this research</w:t>
            </w:r>
            <w:r w:rsidR="00CA6FD4">
              <w:rPr>
                <w:noProof/>
                <w:webHidden/>
              </w:rPr>
              <w:tab/>
            </w:r>
            <w:r w:rsidR="00CA6FD4">
              <w:rPr>
                <w:noProof/>
                <w:webHidden/>
              </w:rPr>
              <w:fldChar w:fldCharType="begin"/>
            </w:r>
            <w:r w:rsidR="00CA6FD4">
              <w:rPr>
                <w:noProof/>
                <w:webHidden/>
              </w:rPr>
              <w:instrText xml:space="preserve"> PAGEREF _Toc166757716 \h </w:instrText>
            </w:r>
            <w:r w:rsidR="00CA6FD4">
              <w:rPr>
                <w:noProof/>
                <w:webHidden/>
              </w:rPr>
            </w:r>
            <w:r w:rsidR="00CA6FD4">
              <w:rPr>
                <w:noProof/>
                <w:webHidden/>
              </w:rPr>
              <w:fldChar w:fldCharType="separate"/>
            </w:r>
            <w:r w:rsidR="00CA6FD4">
              <w:rPr>
                <w:noProof/>
                <w:webHidden/>
              </w:rPr>
              <w:t>5</w:t>
            </w:r>
            <w:r w:rsidR="00CA6FD4">
              <w:rPr>
                <w:noProof/>
                <w:webHidden/>
              </w:rPr>
              <w:fldChar w:fldCharType="end"/>
            </w:r>
          </w:hyperlink>
        </w:p>
        <w:p w:rsidR="00CA6FD4" w:rsidRDefault="004D1C0F">
          <w:pPr>
            <w:pStyle w:val="TOC1"/>
            <w:tabs>
              <w:tab w:val="right" w:leader="dot" w:pos="9016"/>
            </w:tabs>
            <w:rPr>
              <w:rFonts w:asciiTheme="minorHAnsi" w:eastAsiaTheme="minorEastAsia" w:hAnsiTheme="minorHAnsi"/>
              <w:noProof/>
              <w:lang w:eastAsia="en-AU"/>
            </w:rPr>
          </w:pPr>
          <w:hyperlink w:anchor="_Toc166757717" w:history="1">
            <w:r w:rsidR="00CA6FD4" w:rsidRPr="00CC48C7">
              <w:rPr>
                <w:rStyle w:val="Hyperlink"/>
                <w:noProof/>
              </w:rPr>
              <w:t>Context</w:t>
            </w:r>
            <w:r w:rsidR="00CA6FD4">
              <w:rPr>
                <w:noProof/>
                <w:webHidden/>
              </w:rPr>
              <w:tab/>
            </w:r>
            <w:r w:rsidR="00CA6FD4">
              <w:rPr>
                <w:noProof/>
                <w:webHidden/>
              </w:rPr>
              <w:fldChar w:fldCharType="begin"/>
            </w:r>
            <w:r w:rsidR="00CA6FD4">
              <w:rPr>
                <w:noProof/>
                <w:webHidden/>
              </w:rPr>
              <w:instrText xml:space="preserve"> PAGEREF _Toc166757717 \h </w:instrText>
            </w:r>
            <w:r w:rsidR="00CA6FD4">
              <w:rPr>
                <w:noProof/>
                <w:webHidden/>
              </w:rPr>
            </w:r>
            <w:r w:rsidR="00CA6FD4">
              <w:rPr>
                <w:noProof/>
                <w:webHidden/>
              </w:rPr>
              <w:fldChar w:fldCharType="separate"/>
            </w:r>
            <w:r w:rsidR="00CA6FD4">
              <w:rPr>
                <w:noProof/>
                <w:webHidden/>
              </w:rPr>
              <w:t>6</w:t>
            </w:r>
            <w:r w:rsidR="00CA6FD4">
              <w:rPr>
                <w:noProof/>
                <w:webHidden/>
              </w:rPr>
              <w:fldChar w:fldCharType="end"/>
            </w:r>
          </w:hyperlink>
        </w:p>
        <w:p w:rsidR="00CA6FD4" w:rsidRDefault="004D1C0F">
          <w:pPr>
            <w:pStyle w:val="TOC1"/>
            <w:tabs>
              <w:tab w:val="right" w:leader="dot" w:pos="9016"/>
            </w:tabs>
            <w:rPr>
              <w:rFonts w:asciiTheme="minorHAnsi" w:eastAsiaTheme="minorEastAsia" w:hAnsiTheme="minorHAnsi"/>
              <w:noProof/>
              <w:lang w:eastAsia="en-AU"/>
            </w:rPr>
          </w:pPr>
          <w:hyperlink w:anchor="_Toc166757718" w:history="1">
            <w:r w:rsidR="00CA6FD4" w:rsidRPr="00CC48C7">
              <w:rPr>
                <w:rStyle w:val="Hyperlink"/>
                <w:noProof/>
              </w:rPr>
              <w:t>Key findings</w:t>
            </w:r>
            <w:r w:rsidR="00CA6FD4">
              <w:rPr>
                <w:noProof/>
                <w:webHidden/>
              </w:rPr>
              <w:tab/>
            </w:r>
            <w:r w:rsidR="00CA6FD4">
              <w:rPr>
                <w:noProof/>
                <w:webHidden/>
              </w:rPr>
              <w:fldChar w:fldCharType="begin"/>
            </w:r>
            <w:r w:rsidR="00CA6FD4">
              <w:rPr>
                <w:noProof/>
                <w:webHidden/>
              </w:rPr>
              <w:instrText xml:space="preserve"> PAGEREF _Toc166757718 \h </w:instrText>
            </w:r>
            <w:r w:rsidR="00CA6FD4">
              <w:rPr>
                <w:noProof/>
                <w:webHidden/>
              </w:rPr>
            </w:r>
            <w:r w:rsidR="00CA6FD4">
              <w:rPr>
                <w:noProof/>
                <w:webHidden/>
              </w:rPr>
              <w:fldChar w:fldCharType="separate"/>
            </w:r>
            <w:r w:rsidR="00CA6FD4">
              <w:rPr>
                <w:noProof/>
                <w:webHidden/>
              </w:rPr>
              <w:t>8</w:t>
            </w:r>
            <w:r w:rsidR="00CA6FD4">
              <w:rPr>
                <w:noProof/>
                <w:webHidden/>
              </w:rPr>
              <w:fldChar w:fldCharType="end"/>
            </w:r>
          </w:hyperlink>
        </w:p>
        <w:p w:rsidR="00CA6FD4" w:rsidRDefault="004D1C0F">
          <w:pPr>
            <w:pStyle w:val="TOC2"/>
            <w:tabs>
              <w:tab w:val="right" w:leader="dot" w:pos="9016"/>
            </w:tabs>
            <w:rPr>
              <w:rFonts w:asciiTheme="minorHAnsi" w:eastAsiaTheme="minorEastAsia" w:hAnsiTheme="minorHAnsi"/>
              <w:noProof/>
              <w:lang w:eastAsia="en-AU"/>
            </w:rPr>
          </w:pPr>
          <w:hyperlink w:anchor="_Toc166757719" w:history="1">
            <w:r w:rsidR="00CA6FD4" w:rsidRPr="00CC48C7">
              <w:rPr>
                <w:rStyle w:val="Hyperlink"/>
                <w:noProof/>
              </w:rPr>
              <w:t>Moving becomes detrimental as we age</w:t>
            </w:r>
            <w:r w:rsidR="00CA6FD4">
              <w:rPr>
                <w:noProof/>
                <w:webHidden/>
              </w:rPr>
              <w:tab/>
            </w:r>
            <w:r w:rsidR="00CA6FD4">
              <w:rPr>
                <w:noProof/>
                <w:webHidden/>
              </w:rPr>
              <w:fldChar w:fldCharType="begin"/>
            </w:r>
            <w:r w:rsidR="00CA6FD4">
              <w:rPr>
                <w:noProof/>
                <w:webHidden/>
              </w:rPr>
              <w:instrText xml:space="preserve"> PAGEREF _Toc166757719 \h </w:instrText>
            </w:r>
            <w:r w:rsidR="00CA6FD4">
              <w:rPr>
                <w:noProof/>
                <w:webHidden/>
              </w:rPr>
            </w:r>
            <w:r w:rsidR="00CA6FD4">
              <w:rPr>
                <w:noProof/>
                <w:webHidden/>
              </w:rPr>
              <w:fldChar w:fldCharType="separate"/>
            </w:r>
            <w:r w:rsidR="00CA6FD4">
              <w:rPr>
                <w:noProof/>
                <w:webHidden/>
              </w:rPr>
              <w:t>8</w:t>
            </w:r>
            <w:r w:rsidR="00CA6FD4">
              <w:rPr>
                <w:noProof/>
                <w:webHidden/>
              </w:rPr>
              <w:fldChar w:fldCharType="end"/>
            </w:r>
          </w:hyperlink>
        </w:p>
        <w:p w:rsidR="00CA6FD4" w:rsidRDefault="004D1C0F">
          <w:pPr>
            <w:pStyle w:val="TOC2"/>
            <w:tabs>
              <w:tab w:val="right" w:leader="dot" w:pos="9016"/>
            </w:tabs>
            <w:rPr>
              <w:rFonts w:asciiTheme="minorHAnsi" w:eastAsiaTheme="minorEastAsia" w:hAnsiTheme="minorHAnsi"/>
              <w:noProof/>
              <w:lang w:eastAsia="en-AU"/>
            </w:rPr>
          </w:pPr>
          <w:hyperlink w:anchor="_Toc166757720" w:history="1">
            <w:r w:rsidR="00CA6FD4" w:rsidRPr="00CC48C7">
              <w:rPr>
                <w:rStyle w:val="Hyperlink"/>
                <w:noProof/>
              </w:rPr>
              <w:t>Older renters are experiencing housing insecurity</w:t>
            </w:r>
            <w:r w:rsidR="00CA6FD4">
              <w:rPr>
                <w:noProof/>
                <w:webHidden/>
              </w:rPr>
              <w:tab/>
            </w:r>
            <w:r w:rsidR="00CA6FD4">
              <w:rPr>
                <w:noProof/>
                <w:webHidden/>
              </w:rPr>
              <w:fldChar w:fldCharType="begin"/>
            </w:r>
            <w:r w:rsidR="00CA6FD4">
              <w:rPr>
                <w:noProof/>
                <w:webHidden/>
              </w:rPr>
              <w:instrText xml:space="preserve"> PAGEREF _Toc166757720 \h </w:instrText>
            </w:r>
            <w:r w:rsidR="00CA6FD4">
              <w:rPr>
                <w:noProof/>
                <w:webHidden/>
              </w:rPr>
            </w:r>
            <w:r w:rsidR="00CA6FD4">
              <w:rPr>
                <w:noProof/>
                <w:webHidden/>
              </w:rPr>
              <w:fldChar w:fldCharType="separate"/>
            </w:r>
            <w:r w:rsidR="00CA6FD4">
              <w:rPr>
                <w:noProof/>
                <w:webHidden/>
              </w:rPr>
              <w:t>8</w:t>
            </w:r>
            <w:r w:rsidR="00CA6FD4">
              <w:rPr>
                <w:noProof/>
                <w:webHidden/>
              </w:rPr>
              <w:fldChar w:fldCharType="end"/>
            </w:r>
          </w:hyperlink>
        </w:p>
        <w:p w:rsidR="00CA6FD4" w:rsidRDefault="004D1C0F">
          <w:pPr>
            <w:pStyle w:val="TOC2"/>
            <w:tabs>
              <w:tab w:val="right" w:leader="dot" w:pos="9016"/>
            </w:tabs>
            <w:rPr>
              <w:rFonts w:asciiTheme="minorHAnsi" w:eastAsiaTheme="minorEastAsia" w:hAnsiTheme="minorHAnsi"/>
              <w:noProof/>
              <w:lang w:eastAsia="en-AU"/>
            </w:rPr>
          </w:pPr>
          <w:hyperlink w:anchor="_Toc166757721" w:history="1">
            <w:r w:rsidR="00CA6FD4" w:rsidRPr="00CC48C7">
              <w:rPr>
                <w:rStyle w:val="Hyperlink"/>
                <w:noProof/>
                <w:lang w:val="en-US"/>
              </w:rPr>
              <w:t>Housing needs of Aboriginal Tasmanians</w:t>
            </w:r>
            <w:r w:rsidR="00CA6FD4">
              <w:rPr>
                <w:noProof/>
                <w:webHidden/>
              </w:rPr>
              <w:tab/>
            </w:r>
            <w:r w:rsidR="00CA6FD4">
              <w:rPr>
                <w:noProof/>
                <w:webHidden/>
              </w:rPr>
              <w:fldChar w:fldCharType="begin"/>
            </w:r>
            <w:r w:rsidR="00CA6FD4">
              <w:rPr>
                <w:noProof/>
                <w:webHidden/>
              </w:rPr>
              <w:instrText xml:space="preserve"> PAGEREF _Toc166757721 \h </w:instrText>
            </w:r>
            <w:r w:rsidR="00CA6FD4">
              <w:rPr>
                <w:noProof/>
                <w:webHidden/>
              </w:rPr>
            </w:r>
            <w:r w:rsidR="00CA6FD4">
              <w:rPr>
                <w:noProof/>
                <w:webHidden/>
              </w:rPr>
              <w:fldChar w:fldCharType="separate"/>
            </w:r>
            <w:r w:rsidR="00CA6FD4">
              <w:rPr>
                <w:noProof/>
                <w:webHidden/>
              </w:rPr>
              <w:t>9</w:t>
            </w:r>
            <w:r w:rsidR="00CA6FD4">
              <w:rPr>
                <w:noProof/>
                <w:webHidden/>
              </w:rPr>
              <w:fldChar w:fldCharType="end"/>
            </w:r>
          </w:hyperlink>
        </w:p>
        <w:p w:rsidR="00CA6FD4" w:rsidRDefault="004D1C0F">
          <w:pPr>
            <w:pStyle w:val="TOC2"/>
            <w:tabs>
              <w:tab w:val="right" w:leader="dot" w:pos="9016"/>
            </w:tabs>
            <w:rPr>
              <w:rFonts w:asciiTheme="minorHAnsi" w:eastAsiaTheme="minorEastAsia" w:hAnsiTheme="minorHAnsi"/>
              <w:noProof/>
              <w:lang w:eastAsia="en-AU"/>
            </w:rPr>
          </w:pPr>
          <w:hyperlink w:anchor="_Toc166757722" w:history="1">
            <w:r w:rsidR="00CA6FD4" w:rsidRPr="00CC48C7">
              <w:rPr>
                <w:rStyle w:val="Hyperlink"/>
                <w:noProof/>
              </w:rPr>
              <w:t>The impact of relationship breakdown and gender inequality</w:t>
            </w:r>
            <w:r w:rsidR="00CA6FD4">
              <w:rPr>
                <w:noProof/>
                <w:webHidden/>
              </w:rPr>
              <w:tab/>
            </w:r>
            <w:r w:rsidR="00CA6FD4">
              <w:rPr>
                <w:noProof/>
                <w:webHidden/>
              </w:rPr>
              <w:fldChar w:fldCharType="begin"/>
            </w:r>
            <w:r w:rsidR="00CA6FD4">
              <w:rPr>
                <w:noProof/>
                <w:webHidden/>
              </w:rPr>
              <w:instrText xml:space="preserve"> PAGEREF _Toc166757722 \h </w:instrText>
            </w:r>
            <w:r w:rsidR="00CA6FD4">
              <w:rPr>
                <w:noProof/>
                <w:webHidden/>
              </w:rPr>
            </w:r>
            <w:r w:rsidR="00CA6FD4">
              <w:rPr>
                <w:noProof/>
                <w:webHidden/>
              </w:rPr>
              <w:fldChar w:fldCharType="separate"/>
            </w:r>
            <w:r w:rsidR="00CA6FD4">
              <w:rPr>
                <w:noProof/>
                <w:webHidden/>
              </w:rPr>
              <w:t>9</w:t>
            </w:r>
            <w:r w:rsidR="00CA6FD4">
              <w:rPr>
                <w:noProof/>
                <w:webHidden/>
              </w:rPr>
              <w:fldChar w:fldCharType="end"/>
            </w:r>
          </w:hyperlink>
        </w:p>
        <w:p w:rsidR="00CA6FD4" w:rsidRDefault="004D1C0F">
          <w:pPr>
            <w:pStyle w:val="TOC2"/>
            <w:tabs>
              <w:tab w:val="right" w:leader="dot" w:pos="9016"/>
            </w:tabs>
            <w:rPr>
              <w:rFonts w:asciiTheme="minorHAnsi" w:eastAsiaTheme="minorEastAsia" w:hAnsiTheme="minorHAnsi"/>
              <w:noProof/>
              <w:lang w:eastAsia="en-AU"/>
            </w:rPr>
          </w:pPr>
          <w:hyperlink w:anchor="_Toc166757723" w:history="1">
            <w:r w:rsidR="00CA6FD4" w:rsidRPr="00CC48C7">
              <w:rPr>
                <w:rStyle w:val="Hyperlink"/>
                <w:noProof/>
                <w:lang w:val="en-US"/>
              </w:rPr>
              <w:t>Importance of childhood experiences of care</w:t>
            </w:r>
            <w:r w:rsidR="00CA6FD4">
              <w:rPr>
                <w:noProof/>
                <w:webHidden/>
              </w:rPr>
              <w:tab/>
            </w:r>
            <w:r w:rsidR="00CA6FD4">
              <w:rPr>
                <w:noProof/>
                <w:webHidden/>
              </w:rPr>
              <w:fldChar w:fldCharType="begin"/>
            </w:r>
            <w:r w:rsidR="00CA6FD4">
              <w:rPr>
                <w:noProof/>
                <w:webHidden/>
              </w:rPr>
              <w:instrText xml:space="preserve"> PAGEREF _Toc166757723 \h </w:instrText>
            </w:r>
            <w:r w:rsidR="00CA6FD4">
              <w:rPr>
                <w:noProof/>
                <w:webHidden/>
              </w:rPr>
            </w:r>
            <w:r w:rsidR="00CA6FD4">
              <w:rPr>
                <w:noProof/>
                <w:webHidden/>
              </w:rPr>
              <w:fldChar w:fldCharType="separate"/>
            </w:r>
            <w:r w:rsidR="00CA6FD4">
              <w:rPr>
                <w:noProof/>
                <w:webHidden/>
              </w:rPr>
              <w:t>9</w:t>
            </w:r>
            <w:r w:rsidR="00CA6FD4">
              <w:rPr>
                <w:noProof/>
                <w:webHidden/>
              </w:rPr>
              <w:fldChar w:fldCharType="end"/>
            </w:r>
          </w:hyperlink>
        </w:p>
        <w:p w:rsidR="00CA6FD4" w:rsidRDefault="004D1C0F">
          <w:pPr>
            <w:pStyle w:val="TOC1"/>
            <w:tabs>
              <w:tab w:val="right" w:leader="dot" w:pos="9016"/>
            </w:tabs>
            <w:rPr>
              <w:rFonts w:asciiTheme="minorHAnsi" w:eastAsiaTheme="minorEastAsia" w:hAnsiTheme="minorHAnsi"/>
              <w:noProof/>
              <w:lang w:eastAsia="en-AU"/>
            </w:rPr>
          </w:pPr>
          <w:hyperlink w:anchor="_Toc166757724" w:history="1">
            <w:r w:rsidR="00CA6FD4" w:rsidRPr="00CC48C7">
              <w:rPr>
                <w:rStyle w:val="Hyperlink"/>
                <w:noProof/>
                <w:lang w:val="en-US"/>
              </w:rPr>
              <w:t>Recommendations</w:t>
            </w:r>
            <w:r w:rsidR="00CA6FD4">
              <w:rPr>
                <w:noProof/>
                <w:webHidden/>
              </w:rPr>
              <w:tab/>
            </w:r>
            <w:r w:rsidR="00CA6FD4">
              <w:rPr>
                <w:noProof/>
                <w:webHidden/>
              </w:rPr>
              <w:fldChar w:fldCharType="begin"/>
            </w:r>
            <w:r w:rsidR="00CA6FD4">
              <w:rPr>
                <w:noProof/>
                <w:webHidden/>
              </w:rPr>
              <w:instrText xml:space="preserve"> PAGEREF _Toc166757724 \h </w:instrText>
            </w:r>
            <w:r w:rsidR="00CA6FD4">
              <w:rPr>
                <w:noProof/>
                <w:webHidden/>
              </w:rPr>
            </w:r>
            <w:r w:rsidR="00CA6FD4">
              <w:rPr>
                <w:noProof/>
                <w:webHidden/>
              </w:rPr>
              <w:fldChar w:fldCharType="separate"/>
            </w:r>
            <w:r w:rsidR="00CA6FD4">
              <w:rPr>
                <w:noProof/>
                <w:webHidden/>
              </w:rPr>
              <w:t>10</w:t>
            </w:r>
            <w:r w:rsidR="00CA6FD4">
              <w:rPr>
                <w:noProof/>
                <w:webHidden/>
              </w:rPr>
              <w:fldChar w:fldCharType="end"/>
            </w:r>
          </w:hyperlink>
        </w:p>
        <w:p w:rsidR="00CA6FD4" w:rsidRDefault="004D1C0F">
          <w:pPr>
            <w:pStyle w:val="TOC2"/>
            <w:tabs>
              <w:tab w:val="left" w:pos="660"/>
              <w:tab w:val="right" w:leader="dot" w:pos="9016"/>
            </w:tabs>
            <w:rPr>
              <w:rFonts w:asciiTheme="minorHAnsi" w:eastAsiaTheme="minorEastAsia" w:hAnsiTheme="minorHAnsi"/>
              <w:noProof/>
              <w:lang w:eastAsia="en-AU"/>
            </w:rPr>
          </w:pPr>
          <w:hyperlink w:anchor="_Toc166757725" w:history="1">
            <w:r w:rsidR="00CA6FD4" w:rsidRPr="00CC48C7">
              <w:rPr>
                <w:rStyle w:val="Hyperlink"/>
                <w:noProof/>
              </w:rPr>
              <w:t>1.</w:t>
            </w:r>
            <w:r w:rsidR="00CA6FD4">
              <w:rPr>
                <w:rFonts w:asciiTheme="minorHAnsi" w:eastAsiaTheme="minorEastAsia" w:hAnsiTheme="minorHAnsi"/>
                <w:noProof/>
                <w:lang w:eastAsia="en-AU"/>
              </w:rPr>
              <w:tab/>
            </w:r>
            <w:r w:rsidR="00CA6FD4" w:rsidRPr="00CC48C7">
              <w:rPr>
                <w:rStyle w:val="Hyperlink"/>
                <w:noProof/>
              </w:rPr>
              <w:t>Ensuring the state’s housing supply meets the current and projected needs of older Tasmanians</w:t>
            </w:r>
            <w:r w:rsidR="00CA6FD4">
              <w:rPr>
                <w:noProof/>
                <w:webHidden/>
              </w:rPr>
              <w:tab/>
            </w:r>
            <w:r w:rsidR="00CA6FD4">
              <w:rPr>
                <w:noProof/>
                <w:webHidden/>
              </w:rPr>
              <w:fldChar w:fldCharType="begin"/>
            </w:r>
            <w:r w:rsidR="00CA6FD4">
              <w:rPr>
                <w:noProof/>
                <w:webHidden/>
              </w:rPr>
              <w:instrText xml:space="preserve"> PAGEREF _Toc166757725 \h </w:instrText>
            </w:r>
            <w:r w:rsidR="00CA6FD4">
              <w:rPr>
                <w:noProof/>
                <w:webHidden/>
              </w:rPr>
            </w:r>
            <w:r w:rsidR="00CA6FD4">
              <w:rPr>
                <w:noProof/>
                <w:webHidden/>
              </w:rPr>
              <w:fldChar w:fldCharType="separate"/>
            </w:r>
            <w:r w:rsidR="00CA6FD4">
              <w:rPr>
                <w:noProof/>
                <w:webHidden/>
              </w:rPr>
              <w:t>12</w:t>
            </w:r>
            <w:r w:rsidR="00CA6FD4">
              <w:rPr>
                <w:noProof/>
                <w:webHidden/>
              </w:rPr>
              <w:fldChar w:fldCharType="end"/>
            </w:r>
          </w:hyperlink>
        </w:p>
        <w:p w:rsidR="00CA6FD4" w:rsidRDefault="004D1C0F">
          <w:pPr>
            <w:pStyle w:val="TOC2"/>
            <w:tabs>
              <w:tab w:val="left" w:pos="660"/>
              <w:tab w:val="right" w:leader="dot" w:pos="9016"/>
            </w:tabs>
            <w:rPr>
              <w:rFonts w:asciiTheme="minorHAnsi" w:eastAsiaTheme="minorEastAsia" w:hAnsiTheme="minorHAnsi"/>
              <w:noProof/>
              <w:lang w:eastAsia="en-AU"/>
            </w:rPr>
          </w:pPr>
          <w:hyperlink w:anchor="_Toc166757726" w:history="1">
            <w:r w:rsidR="00CA6FD4" w:rsidRPr="00CC48C7">
              <w:rPr>
                <w:rStyle w:val="Hyperlink"/>
                <w:noProof/>
              </w:rPr>
              <w:t>2.</w:t>
            </w:r>
            <w:r w:rsidR="00CA6FD4">
              <w:rPr>
                <w:rFonts w:asciiTheme="minorHAnsi" w:eastAsiaTheme="minorEastAsia" w:hAnsiTheme="minorHAnsi"/>
                <w:noProof/>
                <w:lang w:eastAsia="en-AU"/>
              </w:rPr>
              <w:tab/>
            </w:r>
            <w:r w:rsidR="00CA6FD4" w:rsidRPr="00CC48C7">
              <w:rPr>
                <w:rStyle w:val="Hyperlink"/>
                <w:noProof/>
              </w:rPr>
              <w:t>Providing appropriate homes and supports for people to age in place in their community and reducing the necessity for older people to move</w:t>
            </w:r>
            <w:r w:rsidR="00CA6FD4">
              <w:rPr>
                <w:noProof/>
                <w:webHidden/>
              </w:rPr>
              <w:tab/>
            </w:r>
            <w:r w:rsidR="00CA6FD4">
              <w:rPr>
                <w:noProof/>
                <w:webHidden/>
              </w:rPr>
              <w:fldChar w:fldCharType="begin"/>
            </w:r>
            <w:r w:rsidR="00CA6FD4">
              <w:rPr>
                <w:noProof/>
                <w:webHidden/>
              </w:rPr>
              <w:instrText xml:space="preserve"> PAGEREF _Toc166757726 \h </w:instrText>
            </w:r>
            <w:r w:rsidR="00CA6FD4">
              <w:rPr>
                <w:noProof/>
                <w:webHidden/>
              </w:rPr>
            </w:r>
            <w:r w:rsidR="00CA6FD4">
              <w:rPr>
                <w:noProof/>
                <w:webHidden/>
              </w:rPr>
              <w:fldChar w:fldCharType="separate"/>
            </w:r>
            <w:r w:rsidR="00CA6FD4">
              <w:rPr>
                <w:noProof/>
                <w:webHidden/>
              </w:rPr>
              <w:t>12</w:t>
            </w:r>
            <w:r w:rsidR="00CA6FD4">
              <w:rPr>
                <w:noProof/>
                <w:webHidden/>
              </w:rPr>
              <w:fldChar w:fldCharType="end"/>
            </w:r>
          </w:hyperlink>
        </w:p>
        <w:p w:rsidR="00CA6FD4" w:rsidRDefault="004D1C0F">
          <w:pPr>
            <w:pStyle w:val="TOC2"/>
            <w:tabs>
              <w:tab w:val="left" w:pos="660"/>
              <w:tab w:val="right" w:leader="dot" w:pos="9016"/>
            </w:tabs>
            <w:rPr>
              <w:rFonts w:asciiTheme="minorHAnsi" w:eastAsiaTheme="minorEastAsia" w:hAnsiTheme="minorHAnsi"/>
              <w:noProof/>
              <w:lang w:eastAsia="en-AU"/>
            </w:rPr>
          </w:pPr>
          <w:hyperlink w:anchor="_Toc166757727" w:history="1">
            <w:r w:rsidR="00CA6FD4" w:rsidRPr="00CC48C7">
              <w:rPr>
                <w:rStyle w:val="Hyperlink"/>
                <w:noProof/>
              </w:rPr>
              <w:t>3.</w:t>
            </w:r>
            <w:r w:rsidR="00CA6FD4">
              <w:rPr>
                <w:rFonts w:asciiTheme="minorHAnsi" w:eastAsiaTheme="minorEastAsia" w:hAnsiTheme="minorHAnsi"/>
                <w:noProof/>
                <w:lang w:eastAsia="en-AU"/>
              </w:rPr>
              <w:tab/>
            </w:r>
            <w:r w:rsidR="00CA6FD4" w:rsidRPr="00CC48C7">
              <w:rPr>
                <w:rStyle w:val="Hyperlink"/>
                <w:noProof/>
              </w:rPr>
              <w:t>Increasing the housing security of older renters</w:t>
            </w:r>
            <w:r w:rsidR="00CA6FD4">
              <w:rPr>
                <w:noProof/>
                <w:webHidden/>
              </w:rPr>
              <w:tab/>
            </w:r>
            <w:r w:rsidR="00CA6FD4">
              <w:rPr>
                <w:noProof/>
                <w:webHidden/>
              </w:rPr>
              <w:fldChar w:fldCharType="begin"/>
            </w:r>
            <w:r w:rsidR="00CA6FD4">
              <w:rPr>
                <w:noProof/>
                <w:webHidden/>
              </w:rPr>
              <w:instrText xml:space="preserve"> PAGEREF _Toc166757727 \h </w:instrText>
            </w:r>
            <w:r w:rsidR="00CA6FD4">
              <w:rPr>
                <w:noProof/>
                <w:webHidden/>
              </w:rPr>
            </w:r>
            <w:r w:rsidR="00CA6FD4">
              <w:rPr>
                <w:noProof/>
                <w:webHidden/>
              </w:rPr>
              <w:fldChar w:fldCharType="separate"/>
            </w:r>
            <w:r w:rsidR="00CA6FD4">
              <w:rPr>
                <w:noProof/>
                <w:webHidden/>
              </w:rPr>
              <w:t>13</w:t>
            </w:r>
            <w:r w:rsidR="00CA6FD4">
              <w:rPr>
                <w:noProof/>
                <w:webHidden/>
              </w:rPr>
              <w:fldChar w:fldCharType="end"/>
            </w:r>
          </w:hyperlink>
        </w:p>
        <w:p w:rsidR="00CA6FD4" w:rsidRDefault="004D1C0F">
          <w:pPr>
            <w:pStyle w:val="TOC2"/>
            <w:tabs>
              <w:tab w:val="left" w:pos="660"/>
              <w:tab w:val="right" w:leader="dot" w:pos="9016"/>
            </w:tabs>
            <w:rPr>
              <w:rFonts w:asciiTheme="minorHAnsi" w:eastAsiaTheme="minorEastAsia" w:hAnsiTheme="minorHAnsi"/>
              <w:noProof/>
              <w:lang w:eastAsia="en-AU"/>
            </w:rPr>
          </w:pPr>
          <w:hyperlink w:anchor="_Toc166757728" w:history="1">
            <w:r w:rsidR="00CA6FD4" w:rsidRPr="00CC48C7">
              <w:rPr>
                <w:rStyle w:val="Hyperlink"/>
                <w:noProof/>
              </w:rPr>
              <w:t>4.</w:t>
            </w:r>
            <w:r w:rsidR="00CA6FD4">
              <w:rPr>
                <w:rFonts w:asciiTheme="minorHAnsi" w:eastAsiaTheme="minorEastAsia" w:hAnsiTheme="minorHAnsi"/>
                <w:noProof/>
                <w:lang w:eastAsia="en-AU"/>
              </w:rPr>
              <w:tab/>
            </w:r>
            <w:r w:rsidR="00CA6FD4" w:rsidRPr="00CC48C7">
              <w:rPr>
                <w:rStyle w:val="Hyperlink"/>
                <w:noProof/>
              </w:rPr>
              <w:t>Improving housing security and equity for groups at higher risk</w:t>
            </w:r>
            <w:r w:rsidR="00CA6FD4">
              <w:rPr>
                <w:noProof/>
                <w:webHidden/>
              </w:rPr>
              <w:tab/>
            </w:r>
            <w:r w:rsidR="00CA6FD4">
              <w:rPr>
                <w:noProof/>
                <w:webHidden/>
              </w:rPr>
              <w:fldChar w:fldCharType="begin"/>
            </w:r>
            <w:r w:rsidR="00CA6FD4">
              <w:rPr>
                <w:noProof/>
                <w:webHidden/>
              </w:rPr>
              <w:instrText xml:space="preserve"> PAGEREF _Toc166757728 \h </w:instrText>
            </w:r>
            <w:r w:rsidR="00CA6FD4">
              <w:rPr>
                <w:noProof/>
                <w:webHidden/>
              </w:rPr>
            </w:r>
            <w:r w:rsidR="00CA6FD4">
              <w:rPr>
                <w:noProof/>
                <w:webHidden/>
              </w:rPr>
              <w:fldChar w:fldCharType="separate"/>
            </w:r>
            <w:r w:rsidR="00CA6FD4">
              <w:rPr>
                <w:noProof/>
                <w:webHidden/>
              </w:rPr>
              <w:t>14</w:t>
            </w:r>
            <w:r w:rsidR="00CA6FD4">
              <w:rPr>
                <w:noProof/>
                <w:webHidden/>
              </w:rPr>
              <w:fldChar w:fldCharType="end"/>
            </w:r>
          </w:hyperlink>
        </w:p>
        <w:p w:rsidR="00CA6FD4" w:rsidRDefault="004D1C0F">
          <w:pPr>
            <w:pStyle w:val="TOC3"/>
            <w:tabs>
              <w:tab w:val="right" w:leader="dot" w:pos="9016"/>
            </w:tabs>
            <w:rPr>
              <w:rFonts w:asciiTheme="minorHAnsi" w:eastAsiaTheme="minorEastAsia" w:hAnsiTheme="minorHAnsi"/>
              <w:noProof/>
              <w:lang w:eastAsia="en-AU"/>
            </w:rPr>
          </w:pPr>
          <w:hyperlink w:anchor="_Toc166757729" w:history="1">
            <w:r w:rsidR="00CA6FD4" w:rsidRPr="00CC48C7">
              <w:rPr>
                <w:rStyle w:val="Hyperlink"/>
                <w:noProof/>
              </w:rPr>
              <w:t>Aboriginal Tasmanians</w:t>
            </w:r>
            <w:r w:rsidR="00CA6FD4">
              <w:rPr>
                <w:noProof/>
                <w:webHidden/>
              </w:rPr>
              <w:tab/>
            </w:r>
            <w:r w:rsidR="00CA6FD4">
              <w:rPr>
                <w:noProof/>
                <w:webHidden/>
              </w:rPr>
              <w:fldChar w:fldCharType="begin"/>
            </w:r>
            <w:r w:rsidR="00CA6FD4">
              <w:rPr>
                <w:noProof/>
                <w:webHidden/>
              </w:rPr>
              <w:instrText xml:space="preserve"> PAGEREF _Toc166757729 \h </w:instrText>
            </w:r>
            <w:r w:rsidR="00CA6FD4">
              <w:rPr>
                <w:noProof/>
                <w:webHidden/>
              </w:rPr>
            </w:r>
            <w:r w:rsidR="00CA6FD4">
              <w:rPr>
                <w:noProof/>
                <w:webHidden/>
              </w:rPr>
              <w:fldChar w:fldCharType="separate"/>
            </w:r>
            <w:r w:rsidR="00CA6FD4">
              <w:rPr>
                <w:noProof/>
                <w:webHidden/>
              </w:rPr>
              <w:t>14</w:t>
            </w:r>
            <w:r w:rsidR="00CA6FD4">
              <w:rPr>
                <w:noProof/>
                <w:webHidden/>
              </w:rPr>
              <w:fldChar w:fldCharType="end"/>
            </w:r>
          </w:hyperlink>
        </w:p>
        <w:p w:rsidR="00CA6FD4" w:rsidRDefault="004D1C0F">
          <w:pPr>
            <w:pStyle w:val="TOC3"/>
            <w:tabs>
              <w:tab w:val="right" w:leader="dot" w:pos="9016"/>
            </w:tabs>
            <w:rPr>
              <w:rFonts w:asciiTheme="minorHAnsi" w:eastAsiaTheme="minorEastAsia" w:hAnsiTheme="minorHAnsi"/>
              <w:noProof/>
              <w:lang w:eastAsia="en-AU"/>
            </w:rPr>
          </w:pPr>
          <w:hyperlink w:anchor="_Toc166757730" w:history="1">
            <w:r w:rsidR="00CA6FD4" w:rsidRPr="00CC48C7">
              <w:rPr>
                <w:rStyle w:val="Hyperlink"/>
                <w:noProof/>
              </w:rPr>
              <w:t>Women, single people and relationship breakdown</w:t>
            </w:r>
            <w:r w:rsidR="00CA6FD4">
              <w:rPr>
                <w:noProof/>
                <w:webHidden/>
              </w:rPr>
              <w:tab/>
            </w:r>
            <w:r w:rsidR="00CA6FD4">
              <w:rPr>
                <w:noProof/>
                <w:webHidden/>
              </w:rPr>
              <w:fldChar w:fldCharType="begin"/>
            </w:r>
            <w:r w:rsidR="00CA6FD4">
              <w:rPr>
                <w:noProof/>
                <w:webHidden/>
              </w:rPr>
              <w:instrText xml:space="preserve"> PAGEREF _Toc166757730 \h </w:instrText>
            </w:r>
            <w:r w:rsidR="00CA6FD4">
              <w:rPr>
                <w:noProof/>
                <w:webHidden/>
              </w:rPr>
            </w:r>
            <w:r w:rsidR="00CA6FD4">
              <w:rPr>
                <w:noProof/>
                <w:webHidden/>
              </w:rPr>
              <w:fldChar w:fldCharType="separate"/>
            </w:r>
            <w:r w:rsidR="00CA6FD4">
              <w:rPr>
                <w:noProof/>
                <w:webHidden/>
              </w:rPr>
              <w:t>14</w:t>
            </w:r>
            <w:r w:rsidR="00CA6FD4">
              <w:rPr>
                <w:noProof/>
                <w:webHidden/>
              </w:rPr>
              <w:fldChar w:fldCharType="end"/>
            </w:r>
          </w:hyperlink>
        </w:p>
        <w:p w:rsidR="00CA6FD4" w:rsidRDefault="004D1C0F">
          <w:pPr>
            <w:pStyle w:val="TOC2"/>
            <w:tabs>
              <w:tab w:val="left" w:pos="660"/>
              <w:tab w:val="right" w:leader="dot" w:pos="9016"/>
            </w:tabs>
            <w:rPr>
              <w:rFonts w:asciiTheme="minorHAnsi" w:eastAsiaTheme="minorEastAsia" w:hAnsiTheme="minorHAnsi"/>
              <w:noProof/>
              <w:lang w:eastAsia="en-AU"/>
            </w:rPr>
          </w:pPr>
          <w:hyperlink w:anchor="_Toc166757731" w:history="1">
            <w:r w:rsidR="00CA6FD4" w:rsidRPr="00CC48C7">
              <w:rPr>
                <w:rStyle w:val="Hyperlink"/>
                <w:noProof/>
              </w:rPr>
              <w:t>5.</w:t>
            </w:r>
            <w:r w:rsidR="00CA6FD4">
              <w:rPr>
                <w:rFonts w:asciiTheme="minorHAnsi" w:eastAsiaTheme="minorEastAsia" w:hAnsiTheme="minorHAnsi"/>
                <w:noProof/>
                <w:lang w:eastAsia="en-AU"/>
              </w:rPr>
              <w:tab/>
            </w:r>
            <w:r w:rsidR="00CA6FD4" w:rsidRPr="00CC48C7">
              <w:rPr>
                <w:rStyle w:val="Hyperlink"/>
                <w:noProof/>
              </w:rPr>
              <w:t>Providing specific supports to older Tasmanians navigating the property market or moving house, to reduce the negative impacts on their health and wellbeing.</w:t>
            </w:r>
            <w:r w:rsidR="00CA6FD4">
              <w:rPr>
                <w:noProof/>
                <w:webHidden/>
              </w:rPr>
              <w:tab/>
            </w:r>
            <w:r w:rsidR="00CA6FD4">
              <w:rPr>
                <w:noProof/>
                <w:webHidden/>
              </w:rPr>
              <w:fldChar w:fldCharType="begin"/>
            </w:r>
            <w:r w:rsidR="00CA6FD4">
              <w:rPr>
                <w:noProof/>
                <w:webHidden/>
              </w:rPr>
              <w:instrText xml:space="preserve"> PAGEREF _Toc166757731 \h </w:instrText>
            </w:r>
            <w:r w:rsidR="00CA6FD4">
              <w:rPr>
                <w:noProof/>
                <w:webHidden/>
              </w:rPr>
            </w:r>
            <w:r w:rsidR="00CA6FD4">
              <w:rPr>
                <w:noProof/>
                <w:webHidden/>
              </w:rPr>
              <w:fldChar w:fldCharType="separate"/>
            </w:r>
            <w:r w:rsidR="00CA6FD4">
              <w:rPr>
                <w:noProof/>
                <w:webHidden/>
              </w:rPr>
              <w:t>15</w:t>
            </w:r>
            <w:r w:rsidR="00CA6FD4">
              <w:rPr>
                <w:noProof/>
                <w:webHidden/>
              </w:rPr>
              <w:fldChar w:fldCharType="end"/>
            </w:r>
          </w:hyperlink>
        </w:p>
        <w:p w:rsidR="00CA6FD4" w:rsidRDefault="004D1C0F">
          <w:pPr>
            <w:pStyle w:val="TOC1"/>
            <w:tabs>
              <w:tab w:val="right" w:leader="dot" w:pos="9016"/>
            </w:tabs>
            <w:rPr>
              <w:rFonts w:asciiTheme="minorHAnsi" w:eastAsiaTheme="minorEastAsia" w:hAnsiTheme="minorHAnsi"/>
              <w:noProof/>
              <w:lang w:eastAsia="en-AU"/>
            </w:rPr>
          </w:pPr>
          <w:hyperlink w:anchor="_Toc166757732" w:history="1">
            <w:r w:rsidR="00CA6FD4" w:rsidRPr="00CC48C7">
              <w:rPr>
                <w:rStyle w:val="Hyperlink"/>
                <w:noProof/>
              </w:rPr>
              <w:t>Summary of recommendations</w:t>
            </w:r>
            <w:r w:rsidR="00CA6FD4">
              <w:rPr>
                <w:noProof/>
                <w:webHidden/>
              </w:rPr>
              <w:tab/>
            </w:r>
            <w:r w:rsidR="00CA6FD4">
              <w:rPr>
                <w:noProof/>
                <w:webHidden/>
              </w:rPr>
              <w:fldChar w:fldCharType="begin"/>
            </w:r>
            <w:r w:rsidR="00CA6FD4">
              <w:rPr>
                <w:noProof/>
                <w:webHidden/>
              </w:rPr>
              <w:instrText xml:space="preserve"> PAGEREF _Toc166757732 \h </w:instrText>
            </w:r>
            <w:r w:rsidR="00CA6FD4">
              <w:rPr>
                <w:noProof/>
                <w:webHidden/>
              </w:rPr>
            </w:r>
            <w:r w:rsidR="00CA6FD4">
              <w:rPr>
                <w:noProof/>
                <w:webHidden/>
              </w:rPr>
              <w:fldChar w:fldCharType="separate"/>
            </w:r>
            <w:r w:rsidR="00CA6FD4">
              <w:rPr>
                <w:noProof/>
                <w:webHidden/>
              </w:rPr>
              <w:t>17</w:t>
            </w:r>
            <w:r w:rsidR="00CA6FD4">
              <w:rPr>
                <w:noProof/>
                <w:webHidden/>
              </w:rPr>
              <w:fldChar w:fldCharType="end"/>
            </w:r>
          </w:hyperlink>
        </w:p>
        <w:p w:rsidR="00CA6FD4" w:rsidRDefault="004D1C0F">
          <w:pPr>
            <w:pStyle w:val="TOC1"/>
            <w:tabs>
              <w:tab w:val="right" w:leader="dot" w:pos="9016"/>
            </w:tabs>
            <w:rPr>
              <w:rFonts w:asciiTheme="minorHAnsi" w:eastAsiaTheme="minorEastAsia" w:hAnsiTheme="minorHAnsi"/>
              <w:noProof/>
              <w:lang w:eastAsia="en-AU"/>
            </w:rPr>
          </w:pPr>
          <w:hyperlink w:anchor="_Toc166757733" w:history="1">
            <w:r w:rsidR="00CA6FD4" w:rsidRPr="00CC48C7">
              <w:rPr>
                <w:rStyle w:val="Hyperlink"/>
                <w:noProof/>
              </w:rPr>
              <w:t>Part 1: What older Tasmanians told us about their housing experiences</w:t>
            </w:r>
            <w:r w:rsidR="00CA6FD4">
              <w:rPr>
                <w:noProof/>
                <w:webHidden/>
              </w:rPr>
              <w:tab/>
            </w:r>
            <w:r w:rsidR="00CA6FD4">
              <w:rPr>
                <w:noProof/>
                <w:webHidden/>
              </w:rPr>
              <w:fldChar w:fldCharType="begin"/>
            </w:r>
            <w:r w:rsidR="00CA6FD4">
              <w:rPr>
                <w:noProof/>
                <w:webHidden/>
              </w:rPr>
              <w:instrText xml:space="preserve"> PAGEREF _Toc166757733 \h </w:instrText>
            </w:r>
            <w:r w:rsidR="00CA6FD4">
              <w:rPr>
                <w:noProof/>
                <w:webHidden/>
              </w:rPr>
            </w:r>
            <w:r w:rsidR="00CA6FD4">
              <w:rPr>
                <w:noProof/>
                <w:webHidden/>
              </w:rPr>
              <w:fldChar w:fldCharType="separate"/>
            </w:r>
            <w:r w:rsidR="00CA6FD4">
              <w:rPr>
                <w:noProof/>
                <w:webHidden/>
              </w:rPr>
              <w:t>18</w:t>
            </w:r>
            <w:r w:rsidR="00CA6FD4">
              <w:rPr>
                <w:noProof/>
                <w:webHidden/>
              </w:rPr>
              <w:fldChar w:fldCharType="end"/>
            </w:r>
          </w:hyperlink>
        </w:p>
        <w:p w:rsidR="00CA6FD4" w:rsidRDefault="004D1C0F">
          <w:pPr>
            <w:pStyle w:val="TOC2"/>
            <w:tabs>
              <w:tab w:val="right" w:leader="dot" w:pos="9016"/>
            </w:tabs>
            <w:rPr>
              <w:rFonts w:asciiTheme="minorHAnsi" w:eastAsiaTheme="minorEastAsia" w:hAnsiTheme="minorHAnsi"/>
              <w:noProof/>
              <w:lang w:eastAsia="en-AU"/>
            </w:rPr>
          </w:pPr>
          <w:hyperlink w:anchor="_Toc166757734" w:history="1">
            <w:r w:rsidR="00CA6FD4" w:rsidRPr="00CC48C7">
              <w:rPr>
                <w:rStyle w:val="Hyperlink"/>
                <w:noProof/>
              </w:rPr>
              <w:t>Walking interviews</w:t>
            </w:r>
            <w:r w:rsidR="00CA6FD4">
              <w:rPr>
                <w:noProof/>
                <w:webHidden/>
              </w:rPr>
              <w:tab/>
            </w:r>
            <w:r w:rsidR="00CA6FD4">
              <w:rPr>
                <w:noProof/>
                <w:webHidden/>
              </w:rPr>
              <w:fldChar w:fldCharType="begin"/>
            </w:r>
            <w:r w:rsidR="00CA6FD4">
              <w:rPr>
                <w:noProof/>
                <w:webHidden/>
              </w:rPr>
              <w:instrText xml:space="preserve"> PAGEREF _Toc166757734 \h </w:instrText>
            </w:r>
            <w:r w:rsidR="00CA6FD4">
              <w:rPr>
                <w:noProof/>
                <w:webHidden/>
              </w:rPr>
            </w:r>
            <w:r w:rsidR="00CA6FD4">
              <w:rPr>
                <w:noProof/>
                <w:webHidden/>
              </w:rPr>
              <w:fldChar w:fldCharType="separate"/>
            </w:r>
            <w:r w:rsidR="00CA6FD4">
              <w:rPr>
                <w:noProof/>
                <w:webHidden/>
              </w:rPr>
              <w:t>18</w:t>
            </w:r>
            <w:r w:rsidR="00CA6FD4">
              <w:rPr>
                <w:noProof/>
                <w:webHidden/>
              </w:rPr>
              <w:fldChar w:fldCharType="end"/>
            </w:r>
          </w:hyperlink>
        </w:p>
        <w:p w:rsidR="00CA6FD4" w:rsidRDefault="004D1C0F">
          <w:pPr>
            <w:pStyle w:val="TOC3"/>
            <w:tabs>
              <w:tab w:val="right" w:leader="dot" w:pos="9016"/>
            </w:tabs>
            <w:rPr>
              <w:rFonts w:asciiTheme="minorHAnsi" w:eastAsiaTheme="minorEastAsia" w:hAnsiTheme="minorHAnsi"/>
              <w:noProof/>
              <w:lang w:eastAsia="en-AU"/>
            </w:rPr>
          </w:pPr>
          <w:hyperlink w:anchor="_Toc166757735" w:history="1">
            <w:r w:rsidR="00CA6FD4" w:rsidRPr="00CC48C7">
              <w:rPr>
                <w:rStyle w:val="Hyperlink"/>
                <w:noProof/>
              </w:rPr>
              <w:t>Recruitment</w:t>
            </w:r>
            <w:r w:rsidR="00CA6FD4">
              <w:rPr>
                <w:noProof/>
                <w:webHidden/>
              </w:rPr>
              <w:tab/>
            </w:r>
            <w:r w:rsidR="00CA6FD4">
              <w:rPr>
                <w:noProof/>
                <w:webHidden/>
              </w:rPr>
              <w:fldChar w:fldCharType="begin"/>
            </w:r>
            <w:r w:rsidR="00CA6FD4">
              <w:rPr>
                <w:noProof/>
                <w:webHidden/>
              </w:rPr>
              <w:instrText xml:space="preserve"> PAGEREF _Toc166757735 \h </w:instrText>
            </w:r>
            <w:r w:rsidR="00CA6FD4">
              <w:rPr>
                <w:noProof/>
                <w:webHidden/>
              </w:rPr>
            </w:r>
            <w:r w:rsidR="00CA6FD4">
              <w:rPr>
                <w:noProof/>
                <w:webHidden/>
              </w:rPr>
              <w:fldChar w:fldCharType="separate"/>
            </w:r>
            <w:r w:rsidR="00CA6FD4">
              <w:rPr>
                <w:noProof/>
                <w:webHidden/>
              </w:rPr>
              <w:t>18</w:t>
            </w:r>
            <w:r w:rsidR="00CA6FD4">
              <w:rPr>
                <w:noProof/>
                <w:webHidden/>
              </w:rPr>
              <w:fldChar w:fldCharType="end"/>
            </w:r>
          </w:hyperlink>
        </w:p>
        <w:p w:rsidR="00CA6FD4" w:rsidRDefault="004D1C0F">
          <w:pPr>
            <w:pStyle w:val="TOC3"/>
            <w:tabs>
              <w:tab w:val="right" w:leader="dot" w:pos="9016"/>
            </w:tabs>
            <w:rPr>
              <w:rFonts w:asciiTheme="minorHAnsi" w:eastAsiaTheme="minorEastAsia" w:hAnsiTheme="minorHAnsi"/>
              <w:noProof/>
              <w:lang w:eastAsia="en-AU"/>
            </w:rPr>
          </w:pPr>
          <w:hyperlink w:anchor="_Toc166757736" w:history="1">
            <w:r w:rsidR="00CA6FD4" w:rsidRPr="00CC48C7">
              <w:rPr>
                <w:rStyle w:val="Hyperlink"/>
                <w:noProof/>
              </w:rPr>
              <w:t>Analysis</w:t>
            </w:r>
            <w:r w:rsidR="00CA6FD4">
              <w:rPr>
                <w:noProof/>
                <w:webHidden/>
              </w:rPr>
              <w:tab/>
            </w:r>
            <w:r w:rsidR="00CA6FD4">
              <w:rPr>
                <w:noProof/>
                <w:webHidden/>
              </w:rPr>
              <w:fldChar w:fldCharType="begin"/>
            </w:r>
            <w:r w:rsidR="00CA6FD4">
              <w:rPr>
                <w:noProof/>
                <w:webHidden/>
              </w:rPr>
              <w:instrText xml:space="preserve"> PAGEREF _Toc166757736 \h </w:instrText>
            </w:r>
            <w:r w:rsidR="00CA6FD4">
              <w:rPr>
                <w:noProof/>
                <w:webHidden/>
              </w:rPr>
            </w:r>
            <w:r w:rsidR="00CA6FD4">
              <w:rPr>
                <w:noProof/>
                <w:webHidden/>
              </w:rPr>
              <w:fldChar w:fldCharType="separate"/>
            </w:r>
            <w:r w:rsidR="00CA6FD4">
              <w:rPr>
                <w:noProof/>
                <w:webHidden/>
              </w:rPr>
              <w:t>18</w:t>
            </w:r>
            <w:r w:rsidR="00CA6FD4">
              <w:rPr>
                <w:noProof/>
                <w:webHidden/>
              </w:rPr>
              <w:fldChar w:fldCharType="end"/>
            </w:r>
          </w:hyperlink>
        </w:p>
        <w:p w:rsidR="00CA6FD4" w:rsidRDefault="004D1C0F">
          <w:pPr>
            <w:pStyle w:val="TOC2"/>
            <w:tabs>
              <w:tab w:val="right" w:leader="dot" w:pos="9016"/>
            </w:tabs>
            <w:rPr>
              <w:rFonts w:asciiTheme="minorHAnsi" w:eastAsiaTheme="minorEastAsia" w:hAnsiTheme="minorHAnsi"/>
              <w:noProof/>
              <w:lang w:eastAsia="en-AU"/>
            </w:rPr>
          </w:pPr>
          <w:hyperlink w:anchor="_Toc166757737" w:history="1">
            <w:r w:rsidR="00CA6FD4" w:rsidRPr="00CC48C7">
              <w:rPr>
                <w:rStyle w:val="Hyperlink"/>
                <w:noProof/>
              </w:rPr>
              <w:t>Results</w:t>
            </w:r>
            <w:r w:rsidR="00CA6FD4">
              <w:rPr>
                <w:noProof/>
                <w:webHidden/>
              </w:rPr>
              <w:tab/>
            </w:r>
            <w:r w:rsidR="00CA6FD4">
              <w:rPr>
                <w:noProof/>
                <w:webHidden/>
              </w:rPr>
              <w:fldChar w:fldCharType="begin"/>
            </w:r>
            <w:r w:rsidR="00CA6FD4">
              <w:rPr>
                <w:noProof/>
                <w:webHidden/>
              </w:rPr>
              <w:instrText xml:space="preserve"> PAGEREF _Toc166757737 \h </w:instrText>
            </w:r>
            <w:r w:rsidR="00CA6FD4">
              <w:rPr>
                <w:noProof/>
                <w:webHidden/>
              </w:rPr>
            </w:r>
            <w:r w:rsidR="00CA6FD4">
              <w:rPr>
                <w:noProof/>
                <w:webHidden/>
              </w:rPr>
              <w:fldChar w:fldCharType="separate"/>
            </w:r>
            <w:r w:rsidR="00CA6FD4">
              <w:rPr>
                <w:noProof/>
                <w:webHidden/>
              </w:rPr>
              <w:t>18</w:t>
            </w:r>
            <w:r w:rsidR="00CA6FD4">
              <w:rPr>
                <w:noProof/>
                <w:webHidden/>
              </w:rPr>
              <w:fldChar w:fldCharType="end"/>
            </w:r>
          </w:hyperlink>
        </w:p>
        <w:p w:rsidR="00CA6FD4" w:rsidRDefault="004D1C0F">
          <w:pPr>
            <w:pStyle w:val="TOC2"/>
            <w:tabs>
              <w:tab w:val="right" w:leader="dot" w:pos="9016"/>
            </w:tabs>
            <w:rPr>
              <w:rFonts w:asciiTheme="minorHAnsi" w:eastAsiaTheme="minorEastAsia" w:hAnsiTheme="minorHAnsi"/>
              <w:noProof/>
              <w:lang w:eastAsia="en-AU"/>
            </w:rPr>
          </w:pPr>
          <w:hyperlink w:anchor="_Toc166757738" w:history="1">
            <w:r w:rsidR="00CA6FD4" w:rsidRPr="00CC48C7">
              <w:rPr>
                <w:rStyle w:val="Hyperlink"/>
                <w:noProof/>
              </w:rPr>
              <w:t>Themes in the narratives</w:t>
            </w:r>
            <w:r w:rsidR="00CA6FD4">
              <w:rPr>
                <w:noProof/>
                <w:webHidden/>
              </w:rPr>
              <w:tab/>
            </w:r>
            <w:r w:rsidR="00CA6FD4">
              <w:rPr>
                <w:noProof/>
                <w:webHidden/>
              </w:rPr>
              <w:fldChar w:fldCharType="begin"/>
            </w:r>
            <w:r w:rsidR="00CA6FD4">
              <w:rPr>
                <w:noProof/>
                <w:webHidden/>
              </w:rPr>
              <w:instrText xml:space="preserve"> PAGEREF _Toc166757738 \h </w:instrText>
            </w:r>
            <w:r w:rsidR="00CA6FD4">
              <w:rPr>
                <w:noProof/>
                <w:webHidden/>
              </w:rPr>
            </w:r>
            <w:r w:rsidR="00CA6FD4">
              <w:rPr>
                <w:noProof/>
                <w:webHidden/>
              </w:rPr>
              <w:fldChar w:fldCharType="separate"/>
            </w:r>
            <w:r w:rsidR="00CA6FD4">
              <w:rPr>
                <w:noProof/>
                <w:webHidden/>
              </w:rPr>
              <w:t>20</w:t>
            </w:r>
            <w:r w:rsidR="00CA6FD4">
              <w:rPr>
                <w:noProof/>
                <w:webHidden/>
              </w:rPr>
              <w:fldChar w:fldCharType="end"/>
            </w:r>
          </w:hyperlink>
        </w:p>
        <w:p w:rsidR="00CA6FD4" w:rsidRDefault="004D1C0F">
          <w:pPr>
            <w:pStyle w:val="TOC3"/>
            <w:tabs>
              <w:tab w:val="right" w:leader="dot" w:pos="9016"/>
            </w:tabs>
            <w:rPr>
              <w:rFonts w:asciiTheme="minorHAnsi" w:eastAsiaTheme="minorEastAsia" w:hAnsiTheme="minorHAnsi"/>
              <w:noProof/>
              <w:lang w:eastAsia="en-AU"/>
            </w:rPr>
          </w:pPr>
          <w:hyperlink w:anchor="_Toc166757739" w:history="1">
            <w:r w:rsidR="00CA6FD4" w:rsidRPr="00CC48C7">
              <w:rPr>
                <w:rStyle w:val="Hyperlink"/>
                <w:noProof/>
              </w:rPr>
              <w:t>Loss — recent and historical</w:t>
            </w:r>
            <w:r w:rsidR="00CA6FD4">
              <w:rPr>
                <w:noProof/>
                <w:webHidden/>
              </w:rPr>
              <w:tab/>
            </w:r>
            <w:r w:rsidR="00CA6FD4">
              <w:rPr>
                <w:noProof/>
                <w:webHidden/>
              </w:rPr>
              <w:fldChar w:fldCharType="begin"/>
            </w:r>
            <w:r w:rsidR="00CA6FD4">
              <w:rPr>
                <w:noProof/>
                <w:webHidden/>
              </w:rPr>
              <w:instrText xml:space="preserve"> PAGEREF _Toc166757739 \h </w:instrText>
            </w:r>
            <w:r w:rsidR="00CA6FD4">
              <w:rPr>
                <w:noProof/>
                <w:webHidden/>
              </w:rPr>
            </w:r>
            <w:r w:rsidR="00CA6FD4">
              <w:rPr>
                <w:noProof/>
                <w:webHidden/>
              </w:rPr>
              <w:fldChar w:fldCharType="separate"/>
            </w:r>
            <w:r w:rsidR="00CA6FD4">
              <w:rPr>
                <w:noProof/>
                <w:webHidden/>
              </w:rPr>
              <w:t>20</w:t>
            </w:r>
            <w:r w:rsidR="00CA6FD4">
              <w:rPr>
                <w:noProof/>
                <w:webHidden/>
              </w:rPr>
              <w:fldChar w:fldCharType="end"/>
            </w:r>
          </w:hyperlink>
        </w:p>
        <w:p w:rsidR="00CA6FD4" w:rsidRDefault="004D1C0F">
          <w:pPr>
            <w:pStyle w:val="TOC3"/>
            <w:tabs>
              <w:tab w:val="right" w:leader="dot" w:pos="9016"/>
            </w:tabs>
            <w:rPr>
              <w:rFonts w:asciiTheme="minorHAnsi" w:eastAsiaTheme="minorEastAsia" w:hAnsiTheme="minorHAnsi"/>
              <w:noProof/>
              <w:lang w:eastAsia="en-AU"/>
            </w:rPr>
          </w:pPr>
          <w:hyperlink w:anchor="_Toc166757740" w:history="1">
            <w:r w:rsidR="00CA6FD4" w:rsidRPr="00CC48C7">
              <w:rPr>
                <w:rStyle w:val="Hyperlink"/>
                <w:noProof/>
              </w:rPr>
              <w:t>Living with insecure housing requires constant work</w:t>
            </w:r>
            <w:r w:rsidR="00CA6FD4">
              <w:rPr>
                <w:noProof/>
                <w:webHidden/>
              </w:rPr>
              <w:tab/>
            </w:r>
            <w:r w:rsidR="00CA6FD4">
              <w:rPr>
                <w:noProof/>
                <w:webHidden/>
              </w:rPr>
              <w:fldChar w:fldCharType="begin"/>
            </w:r>
            <w:r w:rsidR="00CA6FD4">
              <w:rPr>
                <w:noProof/>
                <w:webHidden/>
              </w:rPr>
              <w:instrText xml:space="preserve"> PAGEREF _Toc166757740 \h </w:instrText>
            </w:r>
            <w:r w:rsidR="00CA6FD4">
              <w:rPr>
                <w:noProof/>
                <w:webHidden/>
              </w:rPr>
            </w:r>
            <w:r w:rsidR="00CA6FD4">
              <w:rPr>
                <w:noProof/>
                <w:webHidden/>
              </w:rPr>
              <w:fldChar w:fldCharType="separate"/>
            </w:r>
            <w:r w:rsidR="00CA6FD4">
              <w:rPr>
                <w:noProof/>
                <w:webHidden/>
              </w:rPr>
              <w:t>22</w:t>
            </w:r>
            <w:r w:rsidR="00CA6FD4">
              <w:rPr>
                <w:noProof/>
                <w:webHidden/>
              </w:rPr>
              <w:fldChar w:fldCharType="end"/>
            </w:r>
          </w:hyperlink>
        </w:p>
        <w:p w:rsidR="00CA6FD4" w:rsidRDefault="004D1C0F">
          <w:pPr>
            <w:pStyle w:val="TOC3"/>
            <w:tabs>
              <w:tab w:val="right" w:leader="dot" w:pos="9016"/>
            </w:tabs>
            <w:rPr>
              <w:rFonts w:asciiTheme="minorHAnsi" w:eastAsiaTheme="minorEastAsia" w:hAnsiTheme="minorHAnsi"/>
              <w:noProof/>
              <w:lang w:eastAsia="en-AU"/>
            </w:rPr>
          </w:pPr>
          <w:hyperlink w:anchor="_Toc166757741" w:history="1">
            <w:r w:rsidR="00CA6FD4" w:rsidRPr="00CC48C7">
              <w:rPr>
                <w:rStyle w:val="Hyperlink"/>
                <w:noProof/>
              </w:rPr>
              <w:t>Insecure housing carries other hidden costs</w:t>
            </w:r>
            <w:r w:rsidR="00CA6FD4">
              <w:rPr>
                <w:noProof/>
                <w:webHidden/>
              </w:rPr>
              <w:tab/>
            </w:r>
            <w:r w:rsidR="00CA6FD4">
              <w:rPr>
                <w:noProof/>
                <w:webHidden/>
              </w:rPr>
              <w:fldChar w:fldCharType="begin"/>
            </w:r>
            <w:r w:rsidR="00CA6FD4">
              <w:rPr>
                <w:noProof/>
                <w:webHidden/>
              </w:rPr>
              <w:instrText xml:space="preserve"> PAGEREF _Toc166757741 \h </w:instrText>
            </w:r>
            <w:r w:rsidR="00CA6FD4">
              <w:rPr>
                <w:noProof/>
                <w:webHidden/>
              </w:rPr>
            </w:r>
            <w:r w:rsidR="00CA6FD4">
              <w:rPr>
                <w:noProof/>
                <w:webHidden/>
              </w:rPr>
              <w:fldChar w:fldCharType="separate"/>
            </w:r>
            <w:r w:rsidR="00CA6FD4">
              <w:rPr>
                <w:noProof/>
                <w:webHidden/>
              </w:rPr>
              <w:t>23</w:t>
            </w:r>
            <w:r w:rsidR="00CA6FD4">
              <w:rPr>
                <w:noProof/>
                <w:webHidden/>
              </w:rPr>
              <w:fldChar w:fldCharType="end"/>
            </w:r>
          </w:hyperlink>
        </w:p>
        <w:p w:rsidR="00CA6FD4" w:rsidRDefault="004D1C0F">
          <w:pPr>
            <w:pStyle w:val="TOC3"/>
            <w:tabs>
              <w:tab w:val="right" w:leader="dot" w:pos="9016"/>
            </w:tabs>
            <w:rPr>
              <w:rFonts w:asciiTheme="minorHAnsi" w:eastAsiaTheme="minorEastAsia" w:hAnsiTheme="minorHAnsi"/>
              <w:noProof/>
              <w:lang w:eastAsia="en-AU"/>
            </w:rPr>
          </w:pPr>
          <w:hyperlink w:anchor="_Toc166757742" w:history="1">
            <w:r w:rsidR="00CA6FD4" w:rsidRPr="00CC48C7">
              <w:rPr>
                <w:rStyle w:val="Hyperlink"/>
                <w:noProof/>
              </w:rPr>
              <w:t>Prevailing and belonging</w:t>
            </w:r>
            <w:r w:rsidR="00CA6FD4">
              <w:rPr>
                <w:noProof/>
                <w:webHidden/>
              </w:rPr>
              <w:tab/>
            </w:r>
            <w:r w:rsidR="00CA6FD4">
              <w:rPr>
                <w:noProof/>
                <w:webHidden/>
              </w:rPr>
              <w:fldChar w:fldCharType="begin"/>
            </w:r>
            <w:r w:rsidR="00CA6FD4">
              <w:rPr>
                <w:noProof/>
                <w:webHidden/>
              </w:rPr>
              <w:instrText xml:space="preserve"> PAGEREF _Toc166757742 \h </w:instrText>
            </w:r>
            <w:r w:rsidR="00CA6FD4">
              <w:rPr>
                <w:noProof/>
                <w:webHidden/>
              </w:rPr>
            </w:r>
            <w:r w:rsidR="00CA6FD4">
              <w:rPr>
                <w:noProof/>
                <w:webHidden/>
              </w:rPr>
              <w:fldChar w:fldCharType="separate"/>
            </w:r>
            <w:r w:rsidR="00CA6FD4">
              <w:rPr>
                <w:noProof/>
                <w:webHidden/>
              </w:rPr>
              <w:t>24</w:t>
            </w:r>
            <w:r w:rsidR="00CA6FD4">
              <w:rPr>
                <w:noProof/>
                <w:webHidden/>
              </w:rPr>
              <w:fldChar w:fldCharType="end"/>
            </w:r>
          </w:hyperlink>
        </w:p>
        <w:p w:rsidR="00CA6FD4" w:rsidRDefault="004D1C0F">
          <w:pPr>
            <w:pStyle w:val="TOC2"/>
            <w:tabs>
              <w:tab w:val="right" w:leader="dot" w:pos="9016"/>
            </w:tabs>
            <w:rPr>
              <w:rFonts w:asciiTheme="minorHAnsi" w:eastAsiaTheme="minorEastAsia" w:hAnsiTheme="minorHAnsi"/>
              <w:noProof/>
              <w:lang w:eastAsia="en-AU"/>
            </w:rPr>
          </w:pPr>
          <w:hyperlink w:anchor="_Toc166757743" w:history="1">
            <w:r w:rsidR="00CA6FD4" w:rsidRPr="00CC48C7">
              <w:rPr>
                <w:rStyle w:val="Hyperlink"/>
                <w:noProof/>
              </w:rPr>
              <w:t>Conclusion</w:t>
            </w:r>
            <w:r w:rsidR="00CA6FD4">
              <w:rPr>
                <w:noProof/>
                <w:webHidden/>
              </w:rPr>
              <w:tab/>
            </w:r>
            <w:r w:rsidR="00CA6FD4">
              <w:rPr>
                <w:noProof/>
                <w:webHidden/>
              </w:rPr>
              <w:fldChar w:fldCharType="begin"/>
            </w:r>
            <w:r w:rsidR="00CA6FD4">
              <w:rPr>
                <w:noProof/>
                <w:webHidden/>
              </w:rPr>
              <w:instrText xml:space="preserve"> PAGEREF _Toc166757743 \h </w:instrText>
            </w:r>
            <w:r w:rsidR="00CA6FD4">
              <w:rPr>
                <w:noProof/>
                <w:webHidden/>
              </w:rPr>
            </w:r>
            <w:r w:rsidR="00CA6FD4">
              <w:rPr>
                <w:noProof/>
                <w:webHidden/>
              </w:rPr>
              <w:fldChar w:fldCharType="separate"/>
            </w:r>
            <w:r w:rsidR="00CA6FD4">
              <w:rPr>
                <w:noProof/>
                <w:webHidden/>
              </w:rPr>
              <w:t>26</w:t>
            </w:r>
            <w:r w:rsidR="00CA6FD4">
              <w:rPr>
                <w:noProof/>
                <w:webHidden/>
              </w:rPr>
              <w:fldChar w:fldCharType="end"/>
            </w:r>
          </w:hyperlink>
        </w:p>
        <w:p w:rsidR="00CA6FD4" w:rsidRDefault="004D1C0F">
          <w:pPr>
            <w:pStyle w:val="TOC1"/>
            <w:tabs>
              <w:tab w:val="right" w:leader="dot" w:pos="9016"/>
            </w:tabs>
            <w:rPr>
              <w:rFonts w:asciiTheme="minorHAnsi" w:eastAsiaTheme="minorEastAsia" w:hAnsiTheme="minorHAnsi"/>
              <w:noProof/>
              <w:lang w:eastAsia="en-AU"/>
            </w:rPr>
          </w:pPr>
          <w:hyperlink w:anchor="_Toc166757744" w:history="1">
            <w:r w:rsidR="00CA6FD4" w:rsidRPr="00CC48C7">
              <w:rPr>
                <w:rStyle w:val="Hyperlink"/>
                <w:noProof/>
              </w:rPr>
              <w:t>Part 2: What quantitative data tells us about the housing circumstances of ‘older’ people</w:t>
            </w:r>
            <w:r w:rsidR="00CA6FD4">
              <w:rPr>
                <w:noProof/>
                <w:webHidden/>
              </w:rPr>
              <w:tab/>
            </w:r>
            <w:r w:rsidR="00CA6FD4">
              <w:rPr>
                <w:noProof/>
                <w:webHidden/>
              </w:rPr>
              <w:fldChar w:fldCharType="begin"/>
            </w:r>
            <w:r w:rsidR="00CA6FD4">
              <w:rPr>
                <w:noProof/>
                <w:webHidden/>
              </w:rPr>
              <w:instrText xml:space="preserve"> PAGEREF _Toc166757744 \h </w:instrText>
            </w:r>
            <w:r w:rsidR="00CA6FD4">
              <w:rPr>
                <w:noProof/>
                <w:webHidden/>
              </w:rPr>
            </w:r>
            <w:r w:rsidR="00CA6FD4">
              <w:rPr>
                <w:noProof/>
                <w:webHidden/>
              </w:rPr>
              <w:fldChar w:fldCharType="separate"/>
            </w:r>
            <w:r w:rsidR="00CA6FD4">
              <w:rPr>
                <w:noProof/>
                <w:webHidden/>
              </w:rPr>
              <w:t>27</w:t>
            </w:r>
            <w:r w:rsidR="00CA6FD4">
              <w:rPr>
                <w:noProof/>
                <w:webHidden/>
              </w:rPr>
              <w:fldChar w:fldCharType="end"/>
            </w:r>
          </w:hyperlink>
        </w:p>
        <w:p w:rsidR="00CA6FD4" w:rsidRDefault="004D1C0F">
          <w:pPr>
            <w:pStyle w:val="TOC2"/>
            <w:tabs>
              <w:tab w:val="right" w:leader="dot" w:pos="9016"/>
            </w:tabs>
            <w:rPr>
              <w:rFonts w:asciiTheme="minorHAnsi" w:eastAsiaTheme="minorEastAsia" w:hAnsiTheme="minorHAnsi"/>
              <w:noProof/>
              <w:lang w:eastAsia="en-AU"/>
            </w:rPr>
          </w:pPr>
          <w:hyperlink w:anchor="_Toc166757745" w:history="1">
            <w:r w:rsidR="00CA6FD4" w:rsidRPr="00CC48C7">
              <w:rPr>
                <w:rStyle w:val="Hyperlink"/>
                <w:noProof/>
              </w:rPr>
              <w:t>Demographics of older Tasmanians</w:t>
            </w:r>
            <w:r w:rsidR="00CA6FD4">
              <w:rPr>
                <w:noProof/>
                <w:webHidden/>
              </w:rPr>
              <w:tab/>
            </w:r>
            <w:r w:rsidR="00CA6FD4">
              <w:rPr>
                <w:noProof/>
                <w:webHidden/>
              </w:rPr>
              <w:fldChar w:fldCharType="begin"/>
            </w:r>
            <w:r w:rsidR="00CA6FD4">
              <w:rPr>
                <w:noProof/>
                <w:webHidden/>
              </w:rPr>
              <w:instrText xml:space="preserve"> PAGEREF _Toc166757745 \h </w:instrText>
            </w:r>
            <w:r w:rsidR="00CA6FD4">
              <w:rPr>
                <w:noProof/>
                <w:webHidden/>
              </w:rPr>
            </w:r>
            <w:r w:rsidR="00CA6FD4">
              <w:rPr>
                <w:noProof/>
                <w:webHidden/>
              </w:rPr>
              <w:fldChar w:fldCharType="separate"/>
            </w:r>
            <w:r w:rsidR="00CA6FD4">
              <w:rPr>
                <w:noProof/>
                <w:webHidden/>
              </w:rPr>
              <w:t>28</w:t>
            </w:r>
            <w:r w:rsidR="00CA6FD4">
              <w:rPr>
                <w:noProof/>
                <w:webHidden/>
              </w:rPr>
              <w:fldChar w:fldCharType="end"/>
            </w:r>
          </w:hyperlink>
        </w:p>
        <w:p w:rsidR="00CA6FD4" w:rsidRDefault="004D1C0F">
          <w:pPr>
            <w:pStyle w:val="TOC2"/>
            <w:tabs>
              <w:tab w:val="right" w:leader="dot" w:pos="9016"/>
            </w:tabs>
            <w:rPr>
              <w:rFonts w:asciiTheme="minorHAnsi" w:eastAsiaTheme="minorEastAsia" w:hAnsiTheme="minorHAnsi"/>
              <w:noProof/>
              <w:lang w:eastAsia="en-AU"/>
            </w:rPr>
          </w:pPr>
          <w:hyperlink w:anchor="_Toc166757746" w:history="1">
            <w:r w:rsidR="00CA6FD4" w:rsidRPr="00CC48C7">
              <w:rPr>
                <w:rStyle w:val="Hyperlink"/>
                <w:noProof/>
              </w:rPr>
              <w:t>Demographics of older people seeking support from Anglicare Tasmania</w:t>
            </w:r>
            <w:r w:rsidR="00CA6FD4">
              <w:rPr>
                <w:noProof/>
                <w:webHidden/>
              </w:rPr>
              <w:tab/>
            </w:r>
            <w:r w:rsidR="00CA6FD4">
              <w:rPr>
                <w:noProof/>
                <w:webHidden/>
              </w:rPr>
              <w:fldChar w:fldCharType="begin"/>
            </w:r>
            <w:r w:rsidR="00CA6FD4">
              <w:rPr>
                <w:noProof/>
                <w:webHidden/>
              </w:rPr>
              <w:instrText xml:space="preserve"> PAGEREF _Toc166757746 \h </w:instrText>
            </w:r>
            <w:r w:rsidR="00CA6FD4">
              <w:rPr>
                <w:noProof/>
                <w:webHidden/>
              </w:rPr>
            </w:r>
            <w:r w:rsidR="00CA6FD4">
              <w:rPr>
                <w:noProof/>
                <w:webHidden/>
              </w:rPr>
              <w:fldChar w:fldCharType="separate"/>
            </w:r>
            <w:r w:rsidR="00CA6FD4">
              <w:rPr>
                <w:noProof/>
                <w:webHidden/>
              </w:rPr>
              <w:t>28</w:t>
            </w:r>
            <w:r w:rsidR="00CA6FD4">
              <w:rPr>
                <w:noProof/>
                <w:webHidden/>
              </w:rPr>
              <w:fldChar w:fldCharType="end"/>
            </w:r>
          </w:hyperlink>
        </w:p>
        <w:p w:rsidR="00CA6FD4" w:rsidRDefault="004D1C0F">
          <w:pPr>
            <w:pStyle w:val="TOC3"/>
            <w:tabs>
              <w:tab w:val="right" w:leader="dot" w:pos="9016"/>
            </w:tabs>
            <w:rPr>
              <w:rFonts w:asciiTheme="minorHAnsi" w:eastAsiaTheme="minorEastAsia" w:hAnsiTheme="minorHAnsi"/>
              <w:noProof/>
              <w:lang w:eastAsia="en-AU"/>
            </w:rPr>
          </w:pPr>
          <w:hyperlink w:anchor="_Toc166757747" w:history="1">
            <w:r w:rsidR="00CA6FD4" w:rsidRPr="00CC48C7">
              <w:rPr>
                <w:rStyle w:val="Hyperlink"/>
                <w:noProof/>
              </w:rPr>
              <w:t>Aboriginal people over-represented</w:t>
            </w:r>
            <w:r w:rsidR="00CA6FD4">
              <w:rPr>
                <w:noProof/>
                <w:webHidden/>
              </w:rPr>
              <w:tab/>
            </w:r>
            <w:r w:rsidR="00CA6FD4">
              <w:rPr>
                <w:noProof/>
                <w:webHidden/>
              </w:rPr>
              <w:fldChar w:fldCharType="begin"/>
            </w:r>
            <w:r w:rsidR="00CA6FD4">
              <w:rPr>
                <w:noProof/>
                <w:webHidden/>
              </w:rPr>
              <w:instrText xml:space="preserve"> PAGEREF _Toc166757747 \h </w:instrText>
            </w:r>
            <w:r w:rsidR="00CA6FD4">
              <w:rPr>
                <w:noProof/>
                <w:webHidden/>
              </w:rPr>
            </w:r>
            <w:r w:rsidR="00CA6FD4">
              <w:rPr>
                <w:noProof/>
                <w:webHidden/>
              </w:rPr>
              <w:fldChar w:fldCharType="separate"/>
            </w:r>
            <w:r w:rsidR="00CA6FD4">
              <w:rPr>
                <w:noProof/>
                <w:webHidden/>
              </w:rPr>
              <w:t>29</w:t>
            </w:r>
            <w:r w:rsidR="00CA6FD4">
              <w:rPr>
                <w:noProof/>
                <w:webHidden/>
              </w:rPr>
              <w:fldChar w:fldCharType="end"/>
            </w:r>
          </w:hyperlink>
        </w:p>
        <w:p w:rsidR="00CA6FD4" w:rsidRDefault="004D1C0F">
          <w:pPr>
            <w:pStyle w:val="TOC3"/>
            <w:tabs>
              <w:tab w:val="right" w:leader="dot" w:pos="9016"/>
            </w:tabs>
            <w:rPr>
              <w:rFonts w:asciiTheme="minorHAnsi" w:eastAsiaTheme="minorEastAsia" w:hAnsiTheme="minorHAnsi"/>
              <w:noProof/>
              <w:lang w:eastAsia="en-AU"/>
            </w:rPr>
          </w:pPr>
          <w:hyperlink w:anchor="_Toc166757748" w:history="1">
            <w:r w:rsidR="00CA6FD4" w:rsidRPr="00CC48C7">
              <w:rPr>
                <w:rStyle w:val="Hyperlink"/>
                <w:noProof/>
              </w:rPr>
              <w:t>Older Tasmanians seeking support are more likely to live alone</w:t>
            </w:r>
            <w:r w:rsidR="00CA6FD4">
              <w:rPr>
                <w:noProof/>
                <w:webHidden/>
              </w:rPr>
              <w:tab/>
            </w:r>
            <w:r w:rsidR="00CA6FD4">
              <w:rPr>
                <w:noProof/>
                <w:webHidden/>
              </w:rPr>
              <w:fldChar w:fldCharType="begin"/>
            </w:r>
            <w:r w:rsidR="00CA6FD4">
              <w:rPr>
                <w:noProof/>
                <w:webHidden/>
              </w:rPr>
              <w:instrText xml:space="preserve"> PAGEREF _Toc166757748 \h </w:instrText>
            </w:r>
            <w:r w:rsidR="00CA6FD4">
              <w:rPr>
                <w:noProof/>
                <w:webHidden/>
              </w:rPr>
            </w:r>
            <w:r w:rsidR="00CA6FD4">
              <w:rPr>
                <w:noProof/>
                <w:webHidden/>
              </w:rPr>
              <w:fldChar w:fldCharType="separate"/>
            </w:r>
            <w:r w:rsidR="00CA6FD4">
              <w:rPr>
                <w:noProof/>
                <w:webHidden/>
              </w:rPr>
              <w:t>30</w:t>
            </w:r>
            <w:r w:rsidR="00CA6FD4">
              <w:rPr>
                <w:noProof/>
                <w:webHidden/>
              </w:rPr>
              <w:fldChar w:fldCharType="end"/>
            </w:r>
          </w:hyperlink>
        </w:p>
        <w:p w:rsidR="00CA6FD4" w:rsidRDefault="004D1C0F">
          <w:pPr>
            <w:pStyle w:val="TOC3"/>
            <w:tabs>
              <w:tab w:val="right" w:leader="dot" w:pos="9016"/>
            </w:tabs>
            <w:rPr>
              <w:rFonts w:asciiTheme="minorHAnsi" w:eastAsiaTheme="minorEastAsia" w:hAnsiTheme="minorHAnsi"/>
              <w:noProof/>
              <w:lang w:eastAsia="en-AU"/>
            </w:rPr>
          </w:pPr>
          <w:hyperlink w:anchor="_Toc166757749" w:history="1">
            <w:r w:rsidR="00CA6FD4" w:rsidRPr="00CC48C7">
              <w:rPr>
                <w:rStyle w:val="Hyperlink"/>
                <w:noProof/>
              </w:rPr>
              <w:t>Housing type and tenure</w:t>
            </w:r>
            <w:r w:rsidR="00CA6FD4">
              <w:rPr>
                <w:noProof/>
                <w:webHidden/>
              </w:rPr>
              <w:tab/>
            </w:r>
            <w:r w:rsidR="00CA6FD4">
              <w:rPr>
                <w:noProof/>
                <w:webHidden/>
              </w:rPr>
              <w:fldChar w:fldCharType="begin"/>
            </w:r>
            <w:r w:rsidR="00CA6FD4">
              <w:rPr>
                <w:noProof/>
                <w:webHidden/>
              </w:rPr>
              <w:instrText xml:space="preserve"> PAGEREF _Toc166757749 \h </w:instrText>
            </w:r>
            <w:r w:rsidR="00CA6FD4">
              <w:rPr>
                <w:noProof/>
                <w:webHidden/>
              </w:rPr>
            </w:r>
            <w:r w:rsidR="00CA6FD4">
              <w:rPr>
                <w:noProof/>
                <w:webHidden/>
              </w:rPr>
              <w:fldChar w:fldCharType="separate"/>
            </w:r>
            <w:r w:rsidR="00CA6FD4">
              <w:rPr>
                <w:noProof/>
                <w:webHidden/>
              </w:rPr>
              <w:t>31</w:t>
            </w:r>
            <w:r w:rsidR="00CA6FD4">
              <w:rPr>
                <w:noProof/>
                <w:webHidden/>
              </w:rPr>
              <w:fldChar w:fldCharType="end"/>
            </w:r>
          </w:hyperlink>
        </w:p>
        <w:p w:rsidR="00CA6FD4" w:rsidRDefault="004D1C0F">
          <w:pPr>
            <w:pStyle w:val="TOC3"/>
            <w:tabs>
              <w:tab w:val="right" w:leader="dot" w:pos="9016"/>
            </w:tabs>
            <w:rPr>
              <w:rFonts w:asciiTheme="minorHAnsi" w:eastAsiaTheme="minorEastAsia" w:hAnsiTheme="minorHAnsi"/>
              <w:noProof/>
              <w:lang w:eastAsia="en-AU"/>
            </w:rPr>
          </w:pPr>
          <w:hyperlink w:anchor="_Toc166757750" w:history="1">
            <w:r w:rsidR="00CA6FD4" w:rsidRPr="00CC48C7">
              <w:rPr>
                <w:rStyle w:val="Hyperlink"/>
                <w:noProof/>
              </w:rPr>
              <w:t>The reasons why older people seek support</w:t>
            </w:r>
            <w:r w:rsidR="00CA6FD4">
              <w:rPr>
                <w:noProof/>
                <w:webHidden/>
              </w:rPr>
              <w:tab/>
            </w:r>
            <w:r w:rsidR="00CA6FD4">
              <w:rPr>
                <w:noProof/>
                <w:webHidden/>
              </w:rPr>
              <w:fldChar w:fldCharType="begin"/>
            </w:r>
            <w:r w:rsidR="00CA6FD4">
              <w:rPr>
                <w:noProof/>
                <w:webHidden/>
              </w:rPr>
              <w:instrText xml:space="preserve"> PAGEREF _Toc166757750 \h </w:instrText>
            </w:r>
            <w:r w:rsidR="00CA6FD4">
              <w:rPr>
                <w:noProof/>
                <w:webHidden/>
              </w:rPr>
            </w:r>
            <w:r w:rsidR="00CA6FD4">
              <w:rPr>
                <w:noProof/>
                <w:webHidden/>
              </w:rPr>
              <w:fldChar w:fldCharType="separate"/>
            </w:r>
            <w:r w:rsidR="00CA6FD4">
              <w:rPr>
                <w:noProof/>
                <w:webHidden/>
              </w:rPr>
              <w:t>32</w:t>
            </w:r>
            <w:r w:rsidR="00CA6FD4">
              <w:rPr>
                <w:noProof/>
                <w:webHidden/>
              </w:rPr>
              <w:fldChar w:fldCharType="end"/>
            </w:r>
          </w:hyperlink>
        </w:p>
        <w:p w:rsidR="00CA6FD4" w:rsidRDefault="004D1C0F">
          <w:pPr>
            <w:pStyle w:val="TOC3"/>
            <w:tabs>
              <w:tab w:val="right" w:leader="dot" w:pos="9016"/>
            </w:tabs>
            <w:rPr>
              <w:rFonts w:asciiTheme="minorHAnsi" w:eastAsiaTheme="minorEastAsia" w:hAnsiTheme="minorHAnsi"/>
              <w:noProof/>
              <w:lang w:eastAsia="en-AU"/>
            </w:rPr>
          </w:pPr>
          <w:hyperlink w:anchor="_Toc166757751" w:history="1">
            <w:r w:rsidR="00CA6FD4" w:rsidRPr="00CC48C7">
              <w:rPr>
                <w:rStyle w:val="Hyperlink"/>
                <w:noProof/>
                <w:lang w:eastAsia="en-AU"/>
              </w:rPr>
              <w:t>Repeat presentations amongst older people</w:t>
            </w:r>
            <w:r w:rsidR="00CA6FD4">
              <w:rPr>
                <w:noProof/>
                <w:webHidden/>
              </w:rPr>
              <w:tab/>
            </w:r>
            <w:r w:rsidR="00CA6FD4">
              <w:rPr>
                <w:noProof/>
                <w:webHidden/>
              </w:rPr>
              <w:fldChar w:fldCharType="begin"/>
            </w:r>
            <w:r w:rsidR="00CA6FD4">
              <w:rPr>
                <w:noProof/>
                <w:webHidden/>
              </w:rPr>
              <w:instrText xml:space="preserve"> PAGEREF _Toc166757751 \h </w:instrText>
            </w:r>
            <w:r w:rsidR="00CA6FD4">
              <w:rPr>
                <w:noProof/>
                <w:webHidden/>
              </w:rPr>
            </w:r>
            <w:r w:rsidR="00CA6FD4">
              <w:rPr>
                <w:noProof/>
                <w:webHidden/>
              </w:rPr>
              <w:fldChar w:fldCharType="separate"/>
            </w:r>
            <w:r w:rsidR="00CA6FD4">
              <w:rPr>
                <w:noProof/>
                <w:webHidden/>
              </w:rPr>
              <w:t>33</w:t>
            </w:r>
            <w:r w:rsidR="00CA6FD4">
              <w:rPr>
                <w:noProof/>
                <w:webHidden/>
              </w:rPr>
              <w:fldChar w:fldCharType="end"/>
            </w:r>
          </w:hyperlink>
        </w:p>
        <w:p w:rsidR="00CA6FD4" w:rsidRDefault="004D1C0F">
          <w:pPr>
            <w:pStyle w:val="TOC3"/>
            <w:tabs>
              <w:tab w:val="right" w:leader="dot" w:pos="9016"/>
            </w:tabs>
            <w:rPr>
              <w:rFonts w:asciiTheme="minorHAnsi" w:eastAsiaTheme="minorEastAsia" w:hAnsiTheme="minorHAnsi"/>
              <w:noProof/>
              <w:lang w:eastAsia="en-AU"/>
            </w:rPr>
          </w:pPr>
          <w:hyperlink w:anchor="_Toc166757752" w:history="1">
            <w:r w:rsidR="00CA6FD4" w:rsidRPr="00CC48C7">
              <w:rPr>
                <w:rStyle w:val="Hyperlink"/>
                <w:noProof/>
              </w:rPr>
              <w:t>Homelessness amongst older men</w:t>
            </w:r>
            <w:r w:rsidR="00CA6FD4">
              <w:rPr>
                <w:noProof/>
                <w:webHidden/>
              </w:rPr>
              <w:tab/>
            </w:r>
            <w:r w:rsidR="00CA6FD4">
              <w:rPr>
                <w:noProof/>
                <w:webHidden/>
              </w:rPr>
              <w:fldChar w:fldCharType="begin"/>
            </w:r>
            <w:r w:rsidR="00CA6FD4">
              <w:rPr>
                <w:noProof/>
                <w:webHidden/>
              </w:rPr>
              <w:instrText xml:space="preserve"> PAGEREF _Toc166757752 \h </w:instrText>
            </w:r>
            <w:r w:rsidR="00CA6FD4">
              <w:rPr>
                <w:noProof/>
                <w:webHidden/>
              </w:rPr>
            </w:r>
            <w:r w:rsidR="00CA6FD4">
              <w:rPr>
                <w:noProof/>
                <w:webHidden/>
              </w:rPr>
              <w:fldChar w:fldCharType="separate"/>
            </w:r>
            <w:r w:rsidR="00CA6FD4">
              <w:rPr>
                <w:noProof/>
                <w:webHidden/>
              </w:rPr>
              <w:t>34</w:t>
            </w:r>
            <w:r w:rsidR="00CA6FD4">
              <w:rPr>
                <w:noProof/>
                <w:webHidden/>
              </w:rPr>
              <w:fldChar w:fldCharType="end"/>
            </w:r>
          </w:hyperlink>
        </w:p>
        <w:p w:rsidR="00CA6FD4" w:rsidRDefault="004D1C0F">
          <w:pPr>
            <w:pStyle w:val="TOC2"/>
            <w:tabs>
              <w:tab w:val="right" w:leader="dot" w:pos="9016"/>
            </w:tabs>
            <w:rPr>
              <w:rFonts w:asciiTheme="minorHAnsi" w:eastAsiaTheme="minorEastAsia" w:hAnsiTheme="minorHAnsi"/>
              <w:noProof/>
              <w:lang w:eastAsia="en-AU"/>
            </w:rPr>
          </w:pPr>
          <w:hyperlink w:anchor="_Toc166757753" w:history="1">
            <w:r w:rsidR="00CA6FD4" w:rsidRPr="00CC48C7">
              <w:rPr>
                <w:rStyle w:val="Hyperlink"/>
                <w:noProof/>
              </w:rPr>
              <w:t>Housing insecurity of older Tasmanian renters</w:t>
            </w:r>
            <w:r w:rsidR="00CA6FD4">
              <w:rPr>
                <w:noProof/>
                <w:webHidden/>
              </w:rPr>
              <w:tab/>
            </w:r>
            <w:r w:rsidR="00CA6FD4">
              <w:rPr>
                <w:noProof/>
                <w:webHidden/>
              </w:rPr>
              <w:fldChar w:fldCharType="begin"/>
            </w:r>
            <w:r w:rsidR="00CA6FD4">
              <w:rPr>
                <w:noProof/>
                <w:webHidden/>
              </w:rPr>
              <w:instrText xml:space="preserve"> PAGEREF _Toc166757753 \h </w:instrText>
            </w:r>
            <w:r w:rsidR="00CA6FD4">
              <w:rPr>
                <w:noProof/>
                <w:webHidden/>
              </w:rPr>
            </w:r>
            <w:r w:rsidR="00CA6FD4">
              <w:rPr>
                <w:noProof/>
                <w:webHidden/>
              </w:rPr>
              <w:fldChar w:fldCharType="separate"/>
            </w:r>
            <w:r w:rsidR="00CA6FD4">
              <w:rPr>
                <w:noProof/>
                <w:webHidden/>
              </w:rPr>
              <w:t>35</w:t>
            </w:r>
            <w:r w:rsidR="00CA6FD4">
              <w:rPr>
                <w:noProof/>
                <w:webHidden/>
              </w:rPr>
              <w:fldChar w:fldCharType="end"/>
            </w:r>
          </w:hyperlink>
        </w:p>
        <w:p w:rsidR="00CA6FD4" w:rsidRDefault="004D1C0F">
          <w:pPr>
            <w:pStyle w:val="TOC2"/>
            <w:tabs>
              <w:tab w:val="right" w:leader="dot" w:pos="9016"/>
            </w:tabs>
            <w:rPr>
              <w:rFonts w:asciiTheme="minorHAnsi" w:eastAsiaTheme="minorEastAsia" w:hAnsiTheme="minorHAnsi"/>
              <w:noProof/>
              <w:lang w:eastAsia="en-AU"/>
            </w:rPr>
          </w:pPr>
          <w:hyperlink w:anchor="_Toc166757754" w:history="1">
            <w:r w:rsidR="00CA6FD4" w:rsidRPr="00CC48C7">
              <w:rPr>
                <w:rStyle w:val="Hyperlink"/>
                <w:noProof/>
              </w:rPr>
              <w:t>Reasons older people move</w:t>
            </w:r>
            <w:r w:rsidR="00CA6FD4">
              <w:rPr>
                <w:noProof/>
                <w:webHidden/>
              </w:rPr>
              <w:tab/>
            </w:r>
            <w:r w:rsidR="00CA6FD4">
              <w:rPr>
                <w:noProof/>
                <w:webHidden/>
              </w:rPr>
              <w:fldChar w:fldCharType="begin"/>
            </w:r>
            <w:r w:rsidR="00CA6FD4">
              <w:rPr>
                <w:noProof/>
                <w:webHidden/>
              </w:rPr>
              <w:instrText xml:space="preserve"> PAGEREF _Toc166757754 \h </w:instrText>
            </w:r>
            <w:r w:rsidR="00CA6FD4">
              <w:rPr>
                <w:noProof/>
                <w:webHidden/>
              </w:rPr>
            </w:r>
            <w:r w:rsidR="00CA6FD4">
              <w:rPr>
                <w:noProof/>
                <w:webHidden/>
              </w:rPr>
              <w:fldChar w:fldCharType="separate"/>
            </w:r>
            <w:r w:rsidR="00CA6FD4">
              <w:rPr>
                <w:noProof/>
                <w:webHidden/>
              </w:rPr>
              <w:t>36</w:t>
            </w:r>
            <w:r w:rsidR="00CA6FD4">
              <w:rPr>
                <w:noProof/>
                <w:webHidden/>
              </w:rPr>
              <w:fldChar w:fldCharType="end"/>
            </w:r>
          </w:hyperlink>
        </w:p>
        <w:p w:rsidR="00CA6FD4" w:rsidRDefault="004D1C0F">
          <w:pPr>
            <w:pStyle w:val="TOC2"/>
            <w:tabs>
              <w:tab w:val="right" w:leader="dot" w:pos="9016"/>
            </w:tabs>
            <w:rPr>
              <w:rFonts w:asciiTheme="minorHAnsi" w:eastAsiaTheme="minorEastAsia" w:hAnsiTheme="minorHAnsi"/>
              <w:noProof/>
              <w:lang w:eastAsia="en-AU"/>
            </w:rPr>
          </w:pPr>
          <w:hyperlink w:anchor="_Toc166757755" w:history="1">
            <w:r w:rsidR="00CA6FD4" w:rsidRPr="00CC48C7">
              <w:rPr>
                <w:rStyle w:val="Hyperlink"/>
                <w:noProof/>
              </w:rPr>
              <w:t>Life satisfaction and housing</w:t>
            </w:r>
            <w:r w:rsidR="00CA6FD4">
              <w:rPr>
                <w:noProof/>
                <w:webHidden/>
              </w:rPr>
              <w:tab/>
            </w:r>
            <w:r w:rsidR="00CA6FD4">
              <w:rPr>
                <w:noProof/>
                <w:webHidden/>
              </w:rPr>
              <w:fldChar w:fldCharType="begin"/>
            </w:r>
            <w:r w:rsidR="00CA6FD4">
              <w:rPr>
                <w:noProof/>
                <w:webHidden/>
              </w:rPr>
              <w:instrText xml:space="preserve"> PAGEREF _Toc166757755 \h </w:instrText>
            </w:r>
            <w:r w:rsidR="00CA6FD4">
              <w:rPr>
                <w:noProof/>
                <w:webHidden/>
              </w:rPr>
            </w:r>
            <w:r w:rsidR="00CA6FD4">
              <w:rPr>
                <w:noProof/>
                <w:webHidden/>
              </w:rPr>
              <w:fldChar w:fldCharType="separate"/>
            </w:r>
            <w:r w:rsidR="00CA6FD4">
              <w:rPr>
                <w:noProof/>
                <w:webHidden/>
              </w:rPr>
              <w:t>39</w:t>
            </w:r>
            <w:r w:rsidR="00CA6FD4">
              <w:rPr>
                <w:noProof/>
                <w:webHidden/>
              </w:rPr>
              <w:fldChar w:fldCharType="end"/>
            </w:r>
          </w:hyperlink>
        </w:p>
        <w:p w:rsidR="00CA6FD4" w:rsidRDefault="004D1C0F">
          <w:pPr>
            <w:pStyle w:val="TOC3"/>
            <w:tabs>
              <w:tab w:val="right" w:leader="dot" w:pos="9016"/>
            </w:tabs>
            <w:rPr>
              <w:rFonts w:asciiTheme="minorHAnsi" w:eastAsiaTheme="minorEastAsia" w:hAnsiTheme="minorHAnsi"/>
              <w:noProof/>
              <w:lang w:eastAsia="en-AU"/>
            </w:rPr>
          </w:pPr>
          <w:hyperlink w:anchor="_Toc166757756" w:history="1">
            <w:r w:rsidR="00CA6FD4" w:rsidRPr="00CC48C7">
              <w:rPr>
                <w:rStyle w:val="Hyperlink"/>
                <w:noProof/>
              </w:rPr>
              <w:t>Moving has a negative impact on life satisfaction for older people</w:t>
            </w:r>
            <w:r w:rsidR="00CA6FD4">
              <w:rPr>
                <w:noProof/>
                <w:webHidden/>
              </w:rPr>
              <w:tab/>
            </w:r>
            <w:r w:rsidR="00CA6FD4">
              <w:rPr>
                <w:noProof/>
                <w:webHidden/>
              </w:rPr>
              <w:fldChar w:fldCharType="begin"/>
            </w:r>
            <w:r w:rsidR="00CA6FD4">
              <w:rPr>
                <w:noProof/>
                <w:webHidden/>
              </w:rPr>
              <w:instrText xml:space="preserve"> PAGEREF _Toc166757756 \h </w:instrText>
            </w:r>
            <w:r w:rsidR="00CA6FD4">
              <w:rPr>
                <w:noProof/>
                <w:webHidden/>
              </w:rPr>
            </w:r>
            <w:r w:rsidR="00CA6FD4">
              <w:rPr>
                <w:noProof/>
                <w:webHidden/>
              </w:rPr>
              <w:fldChar w:fldCharType="separate"/>
            </w:r>
            <w:r w:rsidR="00CA6FD4">
              <w:rPr>
                <w:noProof/>
                <w:webHidden/>
              </w:rPr>
              <w:t>39</w:t>
            </w:r>
            <w:r w:rsidR="00CA6FD4">
              <w:rPr>
                <w:noProof/>
                <w:webHidden/>
              </w:rPr>
              <w:fldChar w:fldCharType="end"/>
            </w:r>
          </w:hyperlink>
        </w:p>
        <w:p w:rsidR="00CA6FD4" w:rsidRDefault="004D1C0F">
          <w:pPr>
            <w:pStyle w:val="TOC3"/>
            <w:tabs>
              <w:tab w:val="right" w:leader="dot" w:pos="9016"/>
            </w:tabs>
            <w:rPr>
              <w:rFonts w:asciiTheme="minorHAnsi" w:eastAsiaTheme="minorEastAsia" w:hAnsiTheme="minorHAnsi"/>
              <w:noProof/>
              <w:lang w:eastAsia="en-AU"/>
            </w:rPr>
          </w:pPr>
          <w:hyperlink w:anchor="_Toc166757757" w:history="1">
            <w:r w:rsidR="00CA6FD4" w:rsidRPr="00CC48C7">
              <w:rPr>
                <w:rStyle w:val="Hyperlink"/>
                <w:noProof/>
              </w:rPr>
              <w:t>Life satisfaction is affected by choice in moving</w:t>
            </w:r>
            <w:r w:rsidR="00CA6FD4">
              <w:rPr>
                <w:noProof/>
                <w:webHidden/>
              </w:rPr>
              <w:tab/>
            </w:r>
            <w:r w:rsidR="00CA6FD4">
              <w:rPr>
                <w:noProof/>
                <w:webHidden/>
              </w:rPr>
              <w:fldChar w:fldCharType="begin"/>
            </w:r>
            <w:r w:rsidR="00CA6FD4">
              <w:rPr>
                <w:noProof/>
                <w:webHidden/>
              </w:rPr>
              <w:instrText xml:space="preserve"> PAGEREF _Toc166757757 \h </w:instrText>
            </w:r>
            <w:r w:rsidR="00CA6FD4">
              <w:rPr>
                <w:noProof/>
                <w:webHidden/>
              </w:rPr>
            </w:r>
            <w:r w:rsidR="00CA6FD4">
              <w:rPr>
                <w:noProof/>
                <w:webHidden/>
              </w:rPr>
              <w:fldChar w:fldCharType="separate"/>
            </w:r>
            <w:r w:rsidR="00CA6FD4">
              <w:rPr>
                <w:noProof/>
                <w:webHidden/>
              </w:rPr>
              <w:t>40</w:t>
            </w:r>
            <w:r w:rsidR="00CA6FD4">
              <w:rPr>
                <w:noProof/>
                <w:webHidden/>
              </w:rPr>
              <w:fldChar w:fldCharType="end"/>
            </w:r>
          </w:hyperlink>
        </w:p>
        <w:p w:rsidR="00CA6FD4" w:rsidRDefault="004D1C0F">
          <w:pPr>
            <w:pStyle w:val="TOC3"/>
            <w:tabs>
              <w:tab w:val="right" w:leader="dot" w:pos="9016"/>
            </w:tabs>
            <w:rPr>
              <w:rFonts w:asciiTheme="minorHAnsi" w:eastAsiaTheme="minorEastAsia" w:hAnsiTheme="minorHAnsi"/>
              <w:noProof/>
              <w:lang w:eastAsia="en-AU"/>
            </w:rPr>
          </w:pPr>
          <w:hyperlink w:anchor="_Toc166757758" w:history="1">
            <w:r w:rsidR="00CA6FD4" w:rsidRPr="00CC48C7">
              <w:rPr>
                <w:rStyle w:val="Hyperlink"/>
                <w:noProof/>
              </w:rPr>
              <w:t>Social functioning</w:t>
            </w:r>
            <w:r w:rsidR="00CA6FD4">
              <w:rPr>
                <w:noProof/>
                <w:webHidden/>
              </w:rPr>
              <w:tab/>
            </w:r>
            <w:r w:rsidR="00CA6FD4">
              <w:rPr>
                <w:noProof/>
                <w:webHidden/>
              </w:rPr>
              <w:fldChar w:fldCharType="begin"/>
            </w:r>
            <w:r w:rsidR="00CA6FD4">
              <w:rPr>
                <w:noProof/>
                <w:webHidden/>
              </w:rPr>
              <w:instrText xml:space="preserve"> PAGEREF _Toc166757758 \h </w:instrText>
            </w:r>
            <w:r w:rsidR="00CA6FD4">
              <w:rPr>
                <w:noProof/>
                <w:webHidden/>
              </w:rPr>
            </w:r>
            <w:r w:rsidR="00CA6FD4">
              <w:rPr>
                <w:noProof/>
                <w:webHidden/>
              </w:rPr>
              <w:fldChar w:fldCharType="separate"/>
            </w:r>
            <w:r w:rsidR="00CA6FD4">
              <w:rPr>
                <w:noProof/>
                <w:webHidden/>
              </w:rPr>
              <w:t>42</w:t>
            </w:r>
            <w:r w:rsidR="00CA6FD4">
              <w:rPr>
                <w:noProof/>
                <w:webHidden/>
              </w:rPr>
              <w:fldChar w:fldCharType="end"/>
            </w:r>
          </w:hyperlink>
        </w:p>
        <w:p w:rsidR="00CA6FD4" w:rsidRDefault="004D1C0F">
          <w:pPr>
            <w:pStyle w:val="TOC1"/>
            <w:tabs>
              <w:tab w:val="right" w:leader="dot" w:pos="9016"/>
            </w:tabs>
            <w:rPr>
              <w:rFonts w:asciiTheme="minorHAnsi" w:eastAsiaTheme="minorEastAsia" w:hAnsiTheme="minorHAnsi"/>
              <w:noProof/>
              <w:lang w:eastAsia="en-AU"/>
            </w:rPr>
          </w:pPr>
          <w:hyperlink w:anchor="_Toc166757759" w:history="1">
            <w:r w:rsidR="00CA6FD4" w:rsidRPr="00CC48C7">
              <w:rPr>
                <w:rStyle w:val="Hyperlink"/>
                <w:noProof/>
                <w:lang w:eastAsia="en-AU"/>
              </w:rPr>
              <w:t>Final comments</w:t>
            </w:r>
            <w:r w:rsidR="00CA6FD4">
              <w:rPr>
                <w:noProof/>
                <w:webHidden/>
              </w:rPr>
              <w:tab/>
            </w:r>
            <w:r w:rsidR="00CA6FD4">
              <w:rPr>
                <w:noProof/>
                <w:webHidden/>
              </w:rPr>
              <w:fldChar w:fldCharType="begin"/>
            </w:r>
            <w:r w:rsidR="00CA6FD4">
              <w:rPr>
                <w:noProof/>
                <w:webHidden/>
              </w:rPr>
              <w:instrText xml:space="preserve"> PAGEREF _Toc166757759 \h </w:instrText>
            </w:r>
            <w:r w:rsidR="00CA6FD4">
              <w:rPr>
                <w:noProof/>
                <w:webHidden/>
              </w:rPr>
            </w:r>
            <w:r w:rsidR="00CA6FD4">
              <w:rPr>
                <w:noProof/>
                <w:webHidden/>
              </w:rPr>
              <w:fldChar w:fldCharType="separate"/>
            </w:r>
            <w:r w:rsidR="00CA6FD4">
              <w:rPr>
                <w:noProof/>
                <w:webHidden/>
              </w:rPr>
              <w:t>43</w:t>
            </w:r>
            <w:r w:rsidR="00CA6FD4">
              <w:rPr>
                <w:noProof/>
                <w:webHidden/>
              </w:rPr>
              <w:fldChar w:fldCharType="end"/>
            </w:r>
          </w:hyperlink>
        </w:p>
        <w:p w:rsidR="00CA6FD4" w:rsidRDefault="004D1C0F">
          <w:pPr>
            <w:pStyle w:val="TOC2"/>
            <w:tabs>
              <w:tab w:val="right" w:leader="dot" w:pos="9016"/>
            </w:tabs>
            <w:rPr>
              <w:rFonts w:asciiTheme="minorHAnsi" w:eastAsiaTheme="minorEastAsia" w:hAnsiTheme="minorHAnsi"/>
              <w:noProof/>
              <w:lang w:eastAsia="en-AU"/>
            </w:rPr>
          </w:pPr>
          <w:hyperlink w:anchor="_Toc166757760" w:history="1">
            <w:r w:rsidR="00CA6FD4" w:rsidRPr="00CC48C7">
              <w:rPr>
                <w:rStyle w:val="Hyperlink"/>
                <w:noProof/>
              </w:rPr>
              <w:t>Further research</w:t>
            </w:r>
            <w:r w:rsidR="00CA6FD4">
              <w:rPr>
                <w:noProof/>
                <w:webHidden/>
              </w:rPr>
              <w:tab/>
            </w:r>
            <w:r w:rsidR="00CA6FD4">
              <w:rPr>
                <w:noProof/>
                <w:webHidden/>
              </w:rPr>
              <w:fldChar w:fldCharType="begin"/>
            </w:r>
            <w:r w:rsidR="00CA6FD4">
              <w:rPr>
                <w:noProof/>
                <w:webHidden/>
              </w:rPr>
              <w:instrText xml:space="preserve"> PAGEREF _Toc166757760 \h </w:instrText>
            </w:r>
            <w:r w:rsidR="00CA6FD4">
              <w:rPr>
                <w:noProof/>
                <w:webHidden/>
              </w:rPr>
            </w:r>
            <w:r w:rsidR="00CA6FD4">
              <w:rPr>
                <w:noProof/>
                <w:webHidden/>
              </w:rPr>
              <w:fldChar w:fldCharType="separate"/>
            </w:r>
            <w:r w:rsidR="00CA6FD4">
              <w:rPr>
                <w:noProof/>
                <w:webHidden/>
              </w:rPr>
              <w:t>43</w:t>
            </w:r>
            <w:r w:rsidR="00CA6FD4">
              <w:rPr>
                <w:noProof/>
                <w:webHidden/>
              </w:rPr>
              <w:fldChar w:fldCharType="end"/>
            </w:r>
          </w:hyperlink>
        </w:p>
        <w:p w:rsidR="00CA6FD4" w:rsidRDefault="004D1C0F">
          <w:pPr>
            <w:pStyle w:val="TOC1"/>
            <w:tabs>
              <w:tab w:val="right" w:leader="dot" w:pos="9016"/>
            </w:tabs>
            <w:rPr>
              <w:rFonts w:asciiTheme="minorHAnsi" w:eastAsiaTheme="minorEastAsia" w:hAnsiTheme="minorHAnsi"/>
              <w:noProof/>
              <w:lang w:eastAsia="en-AU"/>
            </w:rPr>
          </w:pPr>
          <w:hyperlink w:anchor="_Toc166757761" w:history="1">
            <w:r w:rsidR="00CA6FD4" w:rsidRPr="00CC48C7">
              <w:rPr>
                <w:rStyle w:val="Hyperlink"/>
                <w:noProof/>
              </w:rPr>
              <w:t>Glossary</w:t>
            </w:r>
            <w:r w:rsidR="00CA6FD4">
              <w:rPr>
                <w:noProof/>
                <w:webHidden/>
              </w:rPr>
              <w:tab/>
            </w:r>
            <w:r w:rsidR="00CA6FD4">
              <w:rPr>
                <w:noProof/>
                <w:webHidden/>
              </w:rPr>
              <w:fldChar w:fldCharType="begin"/>
            </w:r>
            <w:r w:rsidR="00CA6FD4">
              <w:rPr>
                <w:noProof/>
                <w:webHidden/>
              </w:rPr>
              <w:instrText xml:space="preserve"> PAGEREF _Toc166757761 \h </w:instrText>
            </w:r>
            <w:r w:rsidR="00CA6FD4">
              <w:rPr>
                <w:noProof/>
                <w:webHidden/>
              </w:rPr>
            </w:r>
            <w:r w:rsidR="00CA6FD4">
              <w:rPr>
                <w:noProof/>
                <w:webHidden/>
              </w:rPr>
              <w:fldChar w:fldCharType="separate"/>
            </w:r>
            <w:r w:rsidR="00CA6FD4">
              <w:rPr>
                <w:noProof/>
                <w:webHidden/>
              </w:rPr>
              <w:t>45</w:t>
            </w:r>
            <w:r w:rsidR="00CA6FD4">
              <w:rPr>
                <w:noProof/>
                <w:webHidden/>
              </w:rPr>
              <w:fldChar w:fldCharType="end"/>
            </w:r>
          </w:hyperlink>
        </w:p>
        <w:p w:rsidR="00CA6FD4" w:rsidRDefault="004D1C0F">
          <w:pPr>
            <w:pStyle w:val="TOC1"/>
            <w:tabs>
              <w:tab w:val="right" w:leader="dot" w:pos="9016"/>
            </w:tabs>
            <w:rPr>
              <w:rFonts w:asciiTheme="minorHAnsi" w:eastAsiaTheme="minorEastAsia" w:hAnsiTheme="minorHAnsi"/>
              <w:noProof/>
              <w:lang w:eastAsia="en-AU"/>
            </w:rPr>
          </w:pPr>
          <w:hyperlink w:anchor="_Toc166757762" w:history="1">
            <w:r w:rsidR="00CA6FD4" w:rsidRPr="00CC48C7">
              <w:rPr>
                <w:rStyle w:val="Hyperlink"/>
                <w:noProof/>
              </w:rPr>
              <w:t>Appendix: The Household, Income and Labour Dynamics in Australia (HILDA) Survey</w:t>
            </w:r>
            <w:r w:rsidR="00CA6FD4">
              <w:rPr>
                <w:noProof/>
                <w:webHidden/>
              </w:rPr>
              <w:tab/>
            </w:r>
            <w:r w:rsidR="00CA6FD4">
              <w:rPr>
                <w:noProof/>
                <w:webHidden/>
              </w:rPr>
              <w:fldChar w:fldCharType="begin"/>
            </w:r>
            <w:r w:rsidR="00CA6FD4">
              <w:rPr>
                <w:noProof/>
                <w:webHidden/>
              </w:rPr>
              <w:instrText xml:space="preserve"> PAGEREF _Toc166757762 \h </w:instrText>
            </w:r>
            <w:r w:rsidR="00CA6FD4">
              <w:rPr>
                <w:noProof/>
                <w:webHidden/>
              </w:rPr>
            </w:r>
            <w:r w:rsidR="00CA6FD4">
              <w:rPr>
                <w:noProof/>
                <w:webHidden/>
              </w:rPr>
              <w:fldChar w:fldCharType="separate"/>
            </w:r>
            <w:r w:rsidR="00CA6FD4">
              <w:rPr>
                <w:noProof/>
                <w:webHidden/>
              </w:rPr>
              <w:t>47</w:t>
            </w:r>
            <w:r w:rsidR="00CA6FD4">
              <w:rPr>
                <w:noProof/>
                <w:webHidden/>
              </w:rPr>
              <w:fldChar w:fldCharType="end"/>
            </w:r>
          </w:hyperlink>
        </w:p>
        <w:p w:rsidR="00CA6FD4" w:rsidRDefault="004D1C0F">
          <w:pPr>
            <w:pStyle w:val="TOC1"/>
            <w:tabs>
              <w:tab w:val="right" w:leader="dot" w:pos="9016"/>
            </w:tabs>
            <w:rPr>
              <w:rFonts w:asciiTheme="minorHAnsi" w:eastAsiaTheme="minorEastAsia" w:hAnsiTheme="minorHAnsi"/>
              <w:noProof/>
              <w:lang w:eastAsia="en-AU"/>
            </w:rPr>
          </w:pPr>
          <w:hyperlink w:anchor="_Toc166757763" w:history="1">
            <w:r w:rsidR="00CA6FD4" w:rsidRPr="00CC48C7">
              <w:rPr>
                <w:rStyle w:val="Hyperlink"/>
                <w:noProof/>
              </w:rPr>
              <w:t>References</w:t>
            </w:r>
            <w:r w:rsidR="00CA6FD4">
              <w:rPr>
                <w:noProof/>
                <w:webHidden/>
              </w:rPr>
              <w:tab/>
            </w:r>
            <w:r w:rsidR="00CA6FD4">
              <w:rPr>
                <w:noProof/>
                <w:webHidden/>
              </w:rPr>
              <w:fldChar w:fldCharType="begin"/>
            </w:r>
            <w:r w:rsidR="00CA6FD4">
              <w:rPr>
                <w:noProof/>
                <w:webHidden/>
              </w:rPr>
              <w:instrText xml:space="preserve"> PAGEREF _Toc166757763 \h </w:instrText>
            </w:r>
            <w:r w:rsidR="00CA6FD4">
              <w:rPr>
                <w:noProof/>
                <w:webHidden/>
              </w:rPr>
            </w:r>
            <w:r w:rsidR="00CA6FD4">
              <w:rPr>
                <w:noProof/>
                <w:webHidden/>
              </w:rPr>
              <w:fldChar w:fldCharType="separate"/>
            </w:r>
            <w:r w:rsidR="00CA6FD4">
              <w:rPr>
                <w:noProof/>
                <w:webHidden/>
              </w:rPr>
              <w:t>49</w:t>
            </w:r>
            <w:r w:rsidR="00CA6FD4">
              <w:rPr>
                <w:noProof/>
                <w:webHidden/>
              </w:rPr>
              <w:fldChar w:fldCharType="end"/>
            </w:r>
          </w:hyperlink>
        </w:p>
        <w:p w:rsidR="00A079D2" w:rsidRDefault="00A079D2">
          <w:r w:rsidRPr="00923DB8">
            <w:rPr>
              <w:b/>
              <w:bCs/>
              <w:noProof/>
            </w:rPr>
            <w:fldChar w:fldCharType="end"/>
          </w:r>
        </w:p>
      </w:sdtContent>
    </w:sdt>
    <w:p w:rsidR="00A079D2" w:rsidRDefault="00A079D2">
      <w:pPr>
        <w:spacing w:line="259" w:lineRule="auto"/>
        <w:rPr>
          <w:rFonts w:eastAsiaTheme="majorEastAsia" w:cstheme="majorBidi"/>
          <w:color w:val="2F5496" w:themeColor="accent1" w:themeShade="BF"/>
          <w:sz w:val="26"/>
          <w:szCs w:val="26"/>
        </w:rPr>
      </w:pPr>
      <w:r>
        <w:br w:type="page"/>
      </w:r>
    </w:p>
    <w:p w:rsidR="00A079D2" w:rsidRPr="00E836FB" w:rsidRDefault="00A079D2" w:rsidP="00456860">
      <w:pPr>
        <w:pStyle w:val="Heading1"/>
      </w:pPr>
      <w:bookmarkStart w:id="4" w:name="_Toc166757714"/>
      <w:r w:rsidRPr="00E836FB">
        <w:lastRenderedPageBreak/>
        <w:t>Acknowledgements</w:t>
      </w:r>
      <w:bookmarkEnd w:id="4"/>
      <w:bookmarkEnd w:id="3"/>
      <w:bookmarkEnd w:id="2"/>
    </w:p>
    <w:p w:rsidR="00A079D2" w:rsidRPr="00E836FB" w:rsidRDefault="00A079D2" w:rsidP="00456860">
      <w:r w:rsidRPr="00E836FB">
        <w:t xml:space="preserve">Anglicare acknowledges the many people and organisations who contributed to this project. </w:t>
      </w:r>
    </w:p>
    <w:p w:rsidR="00A079D2" w:rsidRDefault="00A079D2" w:rsidP="00456860">
      <w:r w:rsidRPr="00E836FB">
        <w:t>We particularly thank the nineteen people who were prepared to share their experiences of housing insecurity</w:t>
      </w:r>
      <w:r>
        <w:t>. Our thanks also go to</w:t>
      </w:r>
      <w:r w:rsidRPr="00E836FB">
        <w:t xml:space="preserve"> the research Reference Group members</w:t>
      </w:r>
      <w:r>
        <w:t xml:space="preserve"> — Brigid Wilkinson and Deb Lewis (COTA), Pattie Chugg (Shelter Tasmania), Ami Seivwright (University of Tasmania), Belinda Jones (Homes Tasmania), Ellen Nicholson (Anglicare Tasmania) and Noel Mundy (Anglicare Tasmania) — </w:t>
      </w:r>
      <w:r w:rsidRPr="00E836FB">
        <w:t xml:space="preserve">who provided valuable guidance and insights. </w:t>
      </w:r>
    </w:p>
    <w:p w:rsidR="00A079D2" w:rsidRPr="00E836FB" w:rsidRDefault="00A079D2" w:rsidP="00456860">
      <w:r w:rsidRPr="00E836FB">
        <w:t>We are also grateful to team members including Ben Foley-Jones, Kylie Docking, Simone Wells, and the housing and aged home care staff who assisted the project. Outside Anglicare, Ben Bartl at the Tenants’ Union was a source of wisdom, as were Dr Jack Leggett (University of Queensland) and Dr Brendan Churchill (University of Melbourne) who provided invaluable support in the quantitative analysis of Anglicare datasets.</w:t>
      </w:r>
      <w:r>
        <w:t xml:space="preserve"> </w:t>
      </w:r>
    </w:p>
    <w:p w:rsidR="00A079D2" w:rsidRPr="00E836FB" w:rsidRDefault="00A079D2" w:rsidP="00456860"/>
    <w:p w:rsidR="00A079D2" w:rsidRPr="00E836FB" w:rsidRDefault="00A079D2" w:rsidP="00456860">
      <w:r w:rsidRPr="00E836FB">
        <w:br w:type="page"/>
      </w:r>
    </w:p>
    <w:p w:rsidR="00A079D2" w:rsidRPr="00923DB8" w:rsidRDefault="00A079D2" w:rsidP="00456860">
      <w:pPr>
        <w:pStyle w:val="TOCHeading"/>
        <w:rPr>
          <w:rFonts w:eastAsia="AvenirNext LT Pro Bold"/>
        </w:rPr>
      </w:pPr>
      <w:r w:rsidRPr="00923DB8">
        <w:rPr>
          <w:rFonts w:eastAsia="AvenirNext LT Pro Bold"/>
        </w:rPr>
        <w:lastRenderedPageBreak/>
        <w:t>About Anglicare Tasmania</w:t>
      </w:r>
    </w:p>
    <w:p w:rsidR="00A079D2" w:rsidRPr="00E836FB" w:rsidRDefault="00A079D2" w:rsidP="00456860">
      <w:r w:rsidRPr="00E836FB">
        <w:t xml:space="preserve">Anglicare, in response to the Christian faith, strives to achieve social justice and to provide the opportunity for people in need to reach fullness of life. </w:t>
      </w:r>
    </w:p>
    <w:p w:rsidR="00A079D2" w:rsidRPr="00E836FB" w:rsidRDefault="00A079D2" w:rsidP="00456860">
      <w:r w:rsidRPr="00E836FB">
        <w:t xml:space="preserve">Our values: </w:t>
      </w:r>
    </w:p>
    <w:p w:rsidR="00A079D2" w:rsidRPr="00E836FB" w:rsidRDefault="00A079D2" w:rsidP="00456860">
      <w:r w:rsidRPr="00E836FB">
        <w:t>Hope:</w:t>
      </w:r>
      <w:r w:rsidRPr="00E836FB">
        <w:tab/>
      </w:r>
      <w:r w:rsidRPr="00E836FB">
        <w:tab/>
        <w:t>Confidently reaching for fullness of life.</w:t>
      </w:r>
    </w:p>
    <w:p w:rsidR="00A079D2" w:rsidRPr="00E836FB" w:rsidRDefault="00A079D2" w:rsidP="00456860">
      <w:r w:rsidRPr="00E836FB">
        <w:t xml:space="preserve">Compassion: </w:t>
      </w:r>
      <w:r w:rsidRPr="00E836FB">
        <w:tab/>
        <w:t xml:space="preserve">Showing empathy and care for those in need. </w:t>
      </w:r>
    </w:p>
    <w:p w:rsidR="00A079D2" w:rsidRPr="00E836FB" w:rsidRDefault="00A079D2" w:rsidP="00456860">
      <w:r w:rsidRPr="00E836FB">
        <w:t>Justice:</w:t>
      </w:r>
      <w:r>
        <w:tab/>
      </w:r>
      <w:r w:rsidRPr="00E836FB">
        <w:t>Promoting the fair distribution of resources and opportunities.</w:t>
      </w:r>
    </w:p>
    <w:p w:rsidR="00A079D2" w:rsidRPr="00E836FB" w:rsidRDefault="00A079D2" w:rsidP="00456860">
      <w:r w:rsidRPr="00E836FB">
        <w:t>Respect:</w:t>
      </w:r>
      <w:r w:rsidRPr="00E836FB">
        <w:tab/>
        <w:t>Recognising the inherent value and dignity of every person.</w:t>
      </w:r>
    </w:p>
    <w:p w:rsidR="00A079D2" w:rsidRPr="00E836FB" w:rsidRDefault="00A079D2" w:rsidP="00456860"/>
    <w:p w:rsidR="00A079D2" w:rsidRPr="00923DB8" w:rsidRDefault="00A079D2" w:rsidP="00456860">
      <w:pPr>
        <w:pStyle w:val="TOCHeading"/>
        <w:rPr>
          <w:rFonts w:eastAsia="AvenirNext LT Pro Bold"/>
        </w:rPr>
      </w:pPr>
      <w:r w:rsidRPr="00923DB8">
        <w:rPr>
          <w:rFonts w:eastAsia="AvenirNext LT Pro Bold"/>
        </w:rPr>
        <w:t>Anglicare Tasmania’s Social Action and Research Centre</w:t>
      </w:r>
    </w:p>
    <w:p w:rsidR="00A079D2" w:rsidRPr="00E836FB" w:rsidRDefault="00A079D2" w:rsidP="00456860">
      <w:r w:rsidRPr="00E836FB">
        <w:t xml:space="preserve">The Social Action and Research Centre investigates how and why Tasmanians are affected by poverty and inequality. We use what we learn to advocate for changes that improve people’s lives. </w:t>
      </w:r>
    </w:p>
    <w:p w:rsidR="00A079D2" w:rsidRPr="00E836FB" w:rsidRDefault="00A079D2" w:rsidP="00456860">
      <w:r w:rsidRPr="00E836FB">
        <w:t xml:space="preserve">Our qualitative research centres on the lived experience of Tasmanians. It often features the voices of people who use Anglicare services and our frontline workers. </w:t>
      </w:r>
    </w:p>
    <w:p w:rsidR="00A079D2" w:rsidRPr="00E836FB" w:rsidRDefault="00A079D2" w:rsidP="00456860">
      <w:r w:rsidRPr="00E836FB">
        <w:t>Our quantitative research uses data to demonstrate social trends.</w:t>
      </w:r>
    </w:p>
    <w:p w:rsidR="00A079D2" w:rsidRPr="00E836FB" w:rsidRDefault="00A079D2" w:rsidP="00456860">
      <w:r w:rsidRPr="00E836FB">
        <w:t>We brief government and stakeholders on our research and create opportunities for networking and collaboration.</w:t>
      </w:r>
    </w:p>
    <w:p w:rsidR="00A079D2" w:rsidRPr="00E836FB" w:rsidRDefault="00A079D2" w:rsidP="00456860">
      <w:pPr>
        <w:sectPr w:rsidR="00A079D2" w:rsidRPr="00E836FB" w:rsidSect="00456860">
          <w:pgSz w:w="11906" w:h="16838" w:code="9"/>
          <w:pgMar w:top="1440" w:right="1440" w:bottom="1440" w:left="1440" w:header="709" w:footer="709" w:gutter="0"/>
          <w:pgNumType w:start="1"/>
          <w:cols w:space="708"/>
          <w:titlePg/>
          <w:docGrid w:linePitch="360"/>
        </w:sectPr>
      </w:pPr>
    </w:p>
    <w:p w:rsidR="00A079D2" w:rsidRPr="00E836FB" w:rsidRDefault="00A079D2" w:rsidP="00456860"/>
    <w:p w:rsidR="00A079D2" w:rsidRPr="00E836FB" w:rsidRDefault="00A079D2" w:rsidP="00456860">
      <w:pPr>
        <w:pStyle w:val="IntenseQuote"/>
      </w:pPr>
      <w:r w:rsidRPr="00E836FB">
        <w:t>“I’m like a ship without a rudder, couch</w:t>
      </w:r>
      <w:r>
        <w:t>-</w:t>
      </w:r>
      <w:r w:rsidRPr="00E836FB">
        <w:t>surfing … I need the four walls to make me feel safe again” (Interviewee, aged 68)</w:t>
      </w:r>
    </w:p>
    <w:p w:rsidR="00A079D2" w:rsidRPr="00E836FB" w:rsidRDefault="00A079D2" w:rsidP="00456860">
      <w:pPr>
        <w:pStyle w:val="Heading1"/>
      </w:pPr>
      <w:bookmarkStart w:id="5" w:name="_Toc166757715"/>
      <w:r>
        <w:t>Why do this research</w:t>
      </w:r>
      <w:r w:rsidR="00DF5DF1">
        <w:t>?</w:t>
      </w:r>
      <w:bookmarkEnd w:id="5"/>
    </w:p>
    <w:p w:rsidR="00A079D2" w:rsidRPr="00E836FB" w:rsidRDefault="00A079D2" w:rsidP="00456860">
      <w:r w:rsidRPr="00E836FB">
        <w:t xml:space="preserve">The catalyst for this study </w:t>
      </w:r>
      <w:r>
        <w:t>was</w:t>
      </w:r>
      <w:r w:rsidRPr="00E836FB">
        <w:t xml:space="preserve"> conversations with Anglicare staff around the </w:t>
      </w:r>
      <w:r>
        <w:t>s</w:t>
      </w:r>
      <w:r w:rsidRPr="00E836FB">
        <w:t xml:space="preserve">tate who highlighted the increasing number of older people presenting to services with housing needs. The project was designed to not only investigate the housing circumstances of older Tasmanians, but </w:t>
      </w:r>
      <w:r>
        <w:t xml:space="preserve">also </w:t>
      </w:r>
      <w:r w:rsidRPr="00E836FB">
        <w:t>the effects on their quality of life.</w:t>
      </w:r>
    </w:p>
    <w:p w:rsidR="00A079D2" w:rsidRDefault="00A079D2" w:rsidP="00456860">
      <w:r w:rsidRPr="00E836FB">
        <w:t>This report presents evidence based on analysis of data from Anglicare Tasmania’s aged care and housing services, national data</w:t>
      </w:r>
      <w:r>
        <w:t xml:space="preserve"> </w:t>
      </w:r>
      <w:r w:rsidRPr="00E836FB">
        <w:t xml:space="preserve">sets, and interviews with self-selected older Tasmanians. </w:t>
      </w:r>
    </w:p>
    <w:p w:rsidR="00A079D2" w:rsidRDefault="00A079D2" w:rsidP="00456860">
      <w:pPr>
        <w:pStyle w:val="Heading1"/>
      </w:pPr>
      <w:bookmarkStart w:id="6" w:name="_Toc166757716"/>
      <w:r>
        <w:t>How we did this research</w:t>
      </w:r>
      <w:bookmarkEnd w:id="6"/>
    </w:p>
    <w:p w:rsidR="00A079D2" w:rsidRPr="00E24C50" w:rsidRDefault="00A079D2" w:rsidP="00456860">
      <w:r>
        <w:t>The research was undertaken in two parts:</w:t>
      </w:r>
    </w:p>
    <w:p w:rsidR="00A079D2" w:rsidRPr="00E70FF4" w:rsidRDefault="00A079D2" w:rsidP="00456860">
      <w:pPr>
        <w:rPr>
          <w:rStyle w:val="IntenseEmphasis"/>
        </w:rPr>
      </w:pPr>
      <w:r w:rsidRPr="00E70FF4">
        <w:rPr>
          <w:rStyle w:val="IntenseEmphasis"/>
        </w:rPr>
        <w:t xml:space="preserve">Part I </w:t>
      </w:r>
    </w:p>
    <w:p w:rsidR="00A079D2" w:rsidRPr="00E836FB" w:rsidRDefault="00A079D2" w:rsidP="00456860">
      <w:pPr>
        <w:pStyle w:val="ListParagraph"/>
        <w:numPr>
          <w:ilvl w:val="0"/>
          <w:numId w:val="18"/>
        </w:numPr>
      </w:pPr>
      <w:r w:rsidRPr="00E836FB">
        <w:t xml:space="preserve">describes ‘walking interviews’ conducted with 19 older Tasmanians. </w:t>
      </w:r>
    </w:p>
    <w:p w:rsidR="00A079D2" w:rsidRPr="00E70FF4" w:rsidRDefault="00A079D2" w:rsidP="00456860">
      <w:pPr>
        <w:rPr>
          <w:rStyle w:val="IntenseEmphasis"/>
        </w:rPr>
      </w:pPr>
      <w:r w:rsidRPr="00E70FF4">
        <w:rPr>
          <w:rStyle w:val="IntenseEmphasis"/>
        </w:rPr>
        <w:t>Part 2</w:t>
      </w:r>
    </w:p>
    <w:p w:rsidR="00A079D2" w:rsidRPr="00E836FB" w:rsidRDefault="00A079D2" w:rsidP="00456860">
      <w:pPr>
        <w:pStyle w:val="ListParagraph"/>
        <w:numPr>
          <w:ilvl w:val="0"/>
          <w:numId w:val="18"/>
        </w:numPr>
      </w:pPr>
      <w:r w:rsidRPr="00E836FB">
        <w:t>explores data from Anglicare’s Aged Care Services</w:t>
      </w:r>
      <w:r>
        <w:t>,</w:t>
      </w:r>
      <w:r w:rsidRPr="00E836FB">
        <w:t xml:space="preserve"> which provide support to people in their own homes, and the Housing Connect service managed by Anglicare in the North and North West</w:t>
      </w:r>
      <w:r>
        <w:t>,</w:t>
      </w:r>
      <w:r w:rsidRPr="00E836FB">
        <w:t xml:space="preserve"> which links people with housing services and supports. </w:t>
      </w:r>
    </w:p>
    <w:p w:rsidR="00A079D2" w:rsidRPr="00E836FB" w:rsidRDefault="00A079D2" w:rsidP="00456860">
      <w:pPr>
        <w:pStyle w:val="ListParagraph"/>
        <w:numPr>
          <w:ilvl w:val="0"/>
          <w:numId w:val="18"/>
        </w:numPr>
      </w:pPr>
      <w:r w:rsidRPr="00E836FB">
        <w:t xml:space="preserve">presents data from the Australian Bureau of Statistics to contextualise the findings from Anglicare Tasmania data and compare </w:t>
      </w:r>
      <w:r>
        <w:t xml:space="preserve">it </w:t>
      </w:r>
      <w:r w:rsidRPr="00E836FB">
        <w:t xml:space="preserve">with the broader population. </w:t>
      </w:r>
    </w:p>
    <w:p w:rsidR="00A079D2" w:rsidRDefault="00A079D2" w:rsidP="00456860">
      <w:pPr>
        <w:pStyle w:val="ListParagraph"/>
        <w:numPr>
          <w:ilvl w:val="0"/>
          <w:numId w:val="18"/>
        </w:numPr>
      </w:pPr>
      <w:r w:rsidRPr="00E836FB">
        <w:t>investigates the relationship between housing circumstances and life satisfaction of older Australians using data from the Household, Income and Labour Dynamics in Australia (HILDA) Survey.</w:t>
      </w:r>
      <w:r>
        <w:rPr>
          <w:rStyle w:val="FootnoteReference"/>
        </w:rPr>
        <w:footnoteReference w:id="1"/>
      </w:r>
    </w:p>
    <w:p w:rsidR="00A079D2" w:rsidRDefault="00A079D2" w:rsidP="00456860">
      <w:r>
        <w:t xml:space="preserve">The terms ‘Aboriginal’, ‘affordable’, ‘older persons’ and ‘spouse’ as used in this report are defined in the Glossary (p. </w:t>
      </w:r>
      <w:r w:rsidR="00DF5DF1">
        <w:t>45</w:t>
      </w:r>
      <w:r>
        <w:t>).</w:t>
      </w:r>
    </w:p>
    <w:p w:rsidR="00A079D2" w:rsidRDefault="00A079D2">
      <w:pPr>
        <w:spacing w:line="259" w:lineRule="auto"/>
        <w:rPr>
          <w:rFonts w:eastAsiaTheme="majorEastAsia" w:cstheme="majorBidi"/>
          <w:color w:val="2F5496" w:themeColor="accent1" w:themeShade="BF"/>
          <w:sz w:val="26"/>
          <w:szCs w:val="26"/>
        </w:rPr>
      </w:pPr>
      <w:r>
        <w:br w:type="page"/>
      </w:r>
    </w:p>
    <w:p w:rsidR="00A079D2" w:rsidRPr="00E836FB" w:rsidRDefault="00A079D2" w:rsidP="00456860">
      <w:pPr>
        <w:pStyle w:val="Heading1"/>
      </w:pPr>
      <w:bookmarkStart w:id="7" w:name="_Toc166757717"/>
      <w:r w:rsidRPr="00E836FB">
        <w:lastRenderedPageBreak/>
        <w:t>Context</w:t>
      </w:r>
      <w:bookmarkEnd w:id="7"/>
    </w:p>
    <w:p w:rsidR="00A079D2" w:rsidRDefault="00A079D2" w:rsidP="00456860">
      <w:pPr>
        <w:rPr>
          <w:lang w:val="en-US"/>
        </w:rPr>
      </w:pPr>
      <w:r w:rsidRPr="00E836FB">
        <w:rPr>
          <w:lang w:val="en-US"/>
        </w:rPr>
        <w:t>Australia’s population is ageing, and Tasmania is Australia’s oldest state. Our population has the highest median age (42 years, in 202</w:t>
      </w:r>
      <w:r>
        <w:rPr>
          <w:lang w:val="en-US"/>
        </w:rPr>
        <w:t xml:space="preserve">3) </w:t>
      </w:r>
      <w:r>
        <w:rPr>
          <w:noProof/>
          <w:lang w:val="en-US"/>
        </w:rPr>
        <w:t>(</w:t>
      </w:r>
      <w:r w:rsidR="00510A51">
        <w:rPr>
          <w:noProof/>
          <w:lang w:val="en-US"/>
        </w:rPr>
        <w:t>ABS</w:t>
      </w:r>
      <w:r>
        <w:rPr>
          <w:noProof/>
          <w:lang w:val="en-US"/>
        </w:rPr>
        <w:t xml:space="preserve"> 2023</w:t>
      </w:r>
      <w:r w:rsidR="002124E5">
        <w:rPr>
          <w:noProof/>
          <w:lang w:val="en-US"/>
        </w:rPr>
        <w:t>a</w:t>
      </w:r>
      <w:r>
        <w:rPr>
          <w:noProof/>
          <w:lang w:val="en-US"/>
        </w:rPr>
        <w:t>)</w:t>
      </w:r>
      <w:r>
        <w:rPr>
          <w:lang w:val="en-US"/>
        </w:rPr>
        <w:t>.</w:t>
      </w:r>
    </w:p>
    <w:p w:rsidR="00A079D2" w:rsidRPr="00184F01" w:rsidRDefault="00A079D2" w:rsidP="00456860">
      <w:r w:rsidRPr="00E836FB">
        <w:t xml:space="preserve">In August 2023, the </w:t>
      </w:r>
      <w:r w:rsidRPr="00184F01">
        <w:t xml:space="preserve">Housing for the Aged Action Group (HAAG) released their report </w:t>
      </w:r>
      <w:r w:rsidRPr="00A151C2">
        <w:rPr>
          <w:i/>
        </w:rPr>
        <w:t>Ageing in a housing crisis</w:t>
      </w:r>
      <w:r w:rsidRPr="00184F01">
        <w:t xml:space="preserve"> </w:t>
      </w:r>
      <w:r>
        <w:rPr>
          <w:noProof/>
        </w:rPr>
        <w:t>(Stone et al. 2023)</w:t>
      </w:r>
      <w:r w:rsidR="002315AD">
        <w:rPr>
          <w:noProof/>
        </w:rPr>
        <w:t>,</w:t>
      </w:r>
      <w:r w:rsidRPr="00184F01">
        <w:t xml:space="preserve"> which revealed shifts in the housing circumstances of older people. </w:t>
      </w:r>
      <w:r>
        <w:t xml:space="preserve">A </w:t>
      </w:r>
      <w:r w:rsidRPr="00184F01">
        <w:t xml:space="preserve">decreased proportion of older people own their own home, more older people have a mortgage, more are renting, and more older people are paying unaffordable rents. Older women are over-represented in many of these categories. Even more striking is that older Australians are also now more likely to be </w:t>
      </w:r>
      <w:r>
        <w:t>‘</w:t>
      </w:r>
      <w:r w:rsidRPr="00184F01">
        <w:t>marginally housed</w:t>
      </w:r>
      <w:r>
        <w:t xml:space="preserve">’ </w:t>
      </w:r>
      <w:r w:rsidRPr="00184F01">
        <w:t>—</w:t>
      </w:r>
      <w:r>
        <w:t xml:space="preserve"> </w:t>
      </w:r>
      <w:r w:rsidRPr="00184F01">
        <w:t xml:space="preserve">that is, living in overcrowded settings or in accommodation intended to be temporary. </w:t>
      </w:r>
    </w:p>
    <w:p w:rsidR="00A079D2" w:rsidRPr="00184F01" w:rsidRDefault="00A079D2" w:rsidP="00456860">
      <w:r w:rsidRPr="00184F01">
        <w:t xml:space="preserve">Nationally, the population group at most risk of homelessness is First Nations people. Older Aboriginal women are at greater risk of homelessness than Aboriginal men </w:t>
      </w:r>
      <w:r>
        <w:rPr>
          <w:noProof/>
        </w:rPr>
        <w:t>(Stone et al. 2023)</w:t>
      </w:r>
      <w:r w:rsidRPr="00184F01">
        <w:t xml:space="preserve">. </w:t>
      </w:r>
    </w:p>
    <w:p w:rsidR="00A079D2" w:rsidRPr="00184F01" w:rsidRDefault="00A079D2" w:rsidP="00456860">
      <w:pPr>
        <w:rPr>
          <w:lang w:eastAsia="en-AU"/>
        </w:rPr>
      </w:pPr>
      <w:r>
        <w:t>P</w:t>
      </w:r>
      <w:r w:rsidRPr="00184F01">
        <w:t xml:space="preserve">eople on </w:t>
      </w:r>
      <w:r>
        <w:t xml:space="preserve">a </w:t>
      </w:r>
      <w:r w:rsidRPr="00184F01">
        <w:t xml:space="preserve">low income </w:t>
      </w:r>
      <w:r>
        <w:t>are more likely to l</w:t>
      </w:r>
      <w:r w:rsidRPr="00184F01">
        <w:t>iv</w:t>
      </w:r>
      <w:r>
        <w:t>e</w:t>
      </w:r>
      <w:r w:rsidRPr="00184F01">
        <w:t xml:space="preserve"> in marginal housing or be homeless</w:t>
      </w:r>
      <w:r>
        <w:t>,</w:t>
      </w:r>
      <w:r w:rsidRPr="00184F01">
        <w:t xml:space="preserve"> especially if that income is from government benefits or allowances </w:t>
      </w:r>
      <w:r>
        <w:rPr>
          <w:noProof/>
        </w:rPr>
        <w:t>(Stone et al. 2023)</w:t>
      </w:r>
      <w:r w:rsidRPr="00184F01">
        <w:t>. For example, data in this report shows</w:t>
      </w:r>
      <w:r>
        <w:t xml:space="preserve"> that</w:t>
      </w:r>
      <w:r w:rsidRPr="00184F01">
        <w:t xml:space="preserve"> </w:t>
      </w:r>
      <w:r w:rsidRPr="00184F01">
        <w:rPr>
          <w:lang w:eastAsia="en-AU"/>
        </w:rPr>
        <w:t xml:space="preserve">42.3% of all </w:t>
      </w:r>
      <w:r>
        <w:rPr>
          <w:lang w:eastAsia="en-AU"/>
        </w:rPr>
        <w:t>‘</w:t>
      </w:r>
      <w:r w:rsidRPr="00184F01">
        <w:rPr>
          <w:lang w:eastAsia="en-AU"/>
        </w:rPr>
        <w:t>older</w:t>
      </w:r>
      <w:r>
        <w:rPr>
          <w:lang w:eastAsia="en-AU"/>
        </w:rPr>
        <w:t>’</w:t>
      </w:r>
      <w:r w:rsidRPr="00184F01">
        <w:rPr>
          <w:lang w:eastAsia="en-AU"/>
        </w:rPr>
        <w:t xml:space="preserve"> people presenting to Anglicare’s Housing Connect Front Door during the sample period received a Disability Support Pension as their main source of income. A further 24.8% claimed the Age Pension. </w:t>
      </w:r>
    </w:p>
    <w:p w:rsidR="00A079D2" w:rsidRPr="00184F01" w:rsidRDefault="00A079D2" w:rsidP="00456860">
      <w:pPr>
        <w:rPr>
          <w:lang w:val="en-US"/>
        </w:rPr>
      </w:pPr>
      <w:r w:rsidRPr="00184F01">
        <w:rPr>
          <w:lang w:val="en-US"/>
        </w:rPr>
        <w:t xml:space="preserve">Homelessness places people at increased risk of multiple poor health outcomes, and pre-existing health conditions can also be part of the causes of homelessness </w:t>
      </w:r>
      <w:r>
        <w:rPr>
          <w:noProof/>
          <w:lang w:val="en-US"/>
        </w:rPr>
        <w:t>(AIHW 2021)</w:t>
      </w:r>
      <w:r w:rsidRPr="00184F01">
        <w:rPr>
          <w:lang w:val="en-US"/>
        </w:rPr>
        <w:t xml:space="preserve">. People who have grown into adulthood with poorer access to the social determinants of health are more likely to develop chronic illnesses which are both economically and personally costly, and can contribute to housing challenges </w:t>
      </w:r>
      <w:r>
        <w:rPr>
          <w:noProof/>
          <w:lang w:val="en-US"/>
        </w:rPr>
        <w:t>(Power 2020)</w:t>
      </w:r>
      <w:r w:rsidRPr="00184F01">
        <w:rPr>
          <w:lang w:val="en-US"/>
        </w:rPr>
        <w:t xml:space="preserve">. Ageing can bring additional health-related costs. For example, a physical decline in function may increase the need for supports, as well as require adjustments to the home environment. HAAG has shared examples of older people with mobility issues facing homelessness due to poorly accessible housing. At the same time, older people often have a reduced income and fewer opportunities to earn more </w:t>
      </w:r>
      <w:r>
        <w:rPr>
          <w:noProof/>
          <w:lang w:val="en-US"/>
        </w:rPr>
        <w:t>(McKail 2022)</w:t>
      </w:r>
      <w:r w:rsidRPr="00184F01">
        <w:rPr>
          <w:lang w:val="en-US"/>
        </w:rPr>
        <w:t>.</w:t>
      </w:r>
    </w:p>
    <w:p w:rsidR="00A079D2" w:rsidRPr="00184F01" w:rsidRDefault="00A079D2" w:rsidP="00456860">
      <w:pPr>
        <w:rPr>
          <w:lang w:val="en-US"/>
        </w:rPr>
      </w:pPr>
      <w:r w:rsidRPr="00184F01">
        <w:rPr>
          <w:lang w:val="en-US"/>
        </w:rPr>
        <w:t xml:space="preserve">Stone et al. </w:t>
      </w:r>
      <w:r>
        <w:rPr>
          <w:noProof/>
          <w:lang w:val="en-US"/>
        </w:rPr>
        <w:t>(2023)</w:t>
      </w:r>
      <w:r w:rsidRPr="00184F01">
        <w:rPr>
          <w:lang w:val="en-US"/>
        </w:rPr>
        <w:t xml:space="preserve"> note that ageing in place enables people to </w:t>
      </w:r>
      <w:r>
        <w:rPr>
          <w:lang w:val="en-US"/>
        </w:rPr>
        <w:t>‘</w:t>
      </w:r>
      <w:r w:rsidRPr="00184F01">
        <w:rPr>
          <w:lang w:val="en-US"/>
        </w:rPr>
        <w:t>remain connected with familiar neighborhoods and surroundings, and to live with affordable housing costs</w:t>
      </w:r>
      <w:r>
        <w:rPr>
          <w:lang w:val="en-US"/>
        </w:rPr>
        <w:t>’</w:t>
      </w:r>
      <w:r w:rsidRPr="00184F01">
        <w:rPr>
          <w:lang w:val="en-US"/>
        </w:rPr>
        <w:t xml:space="preserve"> (p. 29). Th</w:t>
      </w:r>
      <w:r>
        <w:rPr>
          <w:lang w:val="en-US"/>
        </w:rPr>
        <w:t>is</w:t>
      </w:r>
      <w:r w:rsidRPr="00184F01">
        <w:rPr>
          <w:lang w:val="en-US"/>
        </w:rPr>
        <w:t xml:space="preserve"> enhance</w:t>
      </w:r>
      <w:r>
        <w:rPr>
          <w:lang w:val="en-US"/>
        </w:rPr>
        <w:t>s</w:t>
      </w:r>
      <w:r w:rsidRPr="00184F01">
        <w:rPr>
          <w:lang w:val="en-US"/>
        </w:rPr>
        <w:t xml:space="preserve"> physical and mental health but can be insufficient in places that are under-provided with accessible healthcare, affordable food, effective transport, or a sense of physical, emotional or cultural safety </w:t>
      </w:r>
      <w:r>
        <w:rPr>
          <w:noProof/>
          <w:lang w:val="en-US"/>
        </w:rPr>
        <w:t>(Banks et al. 2021)</w:t>
      </w:r>
      <w:r w:rsidRPr="00184F01">
        <w:rPr>
          <w:lang w:val="en-US"/>
        </w:rPr>
        <w:t>. Whe</w:t>
      </w:r>
      <w:r>
        <w:rPr>
          <w:lang w:val="en-US"/>
        </w:rPr>
        <w:t>n</w:t>
      </w:r>
      <w:r w:rsidRPr="00184F01">
        <w:rPr>
          <w:lang w:val="en-US"/>
        </w:rPr>
        <w:t xml:space="preserve"> stigma is added to such circumstances, outcomes are even poorer </w:t>
      </w:r>
      <w:r>
        <w:rPr>
          <w:noProof/>
          <w:lang w:val="en-US"/>
        </w:rPr>
        <w:t>(Reilly et al. 2022; Jacobs &amp; Flanagan 2013)</w:t>
      </w:r>
      <w:r w:rsidRPr="00184F01">
        <w:rPr>
          <w:lang w:val="en-US"/>
        </w:rPr>
        <w:t>. Martin and collea</w:t>
      </w:r>
      <w:r w:rsidRPr="00C63612">
        <w:rPr>
          <w:lang w:val="en-US"/>
        </w:rPr>
        <w:t xml:space="preserve">gues </w:t>
      </w:r>
      <w:r w:rsidRPr="00C63612">
        <w:rPr>
          <w:noProof/>
          <w:lang w:val="en-US"/>
        </w:rPr>
        <w:t>(2019)</w:t>
      </w:r>
      <w:r w:rsidRPr="00C63612">
        <w:rPr>
          <w:lang w:val="en-US"/>
        </w:rPr>
        <w:t xml:space="preserve"> argue</w:t>
      </w:r>
      <w:r w:rsidRPr="00184F01">
        <w:rPr>
          <w:lang w:val="en-US"/>
        </w:rPr>
        <w:t xml:space="preserve"> that of the social determinants of health, housing insecurity can have the greatest impact on people’s longevity and health. </w:t>
      </w:r>
    </w:p>
    <w:p w:rsidR="00A079D2" w:rsidRPr="00184F01" w:rsidRDefault="00A079D2" w:rsidP="00456860">
      <w:pPr>
        <w:rPr>
          <w:lang w:val="en-US"/>
        </w:rPr>
      </w:pPr>
      <w:r w:rsidRPr="00184F01">
        <w:rPr>
          <w:lang w:val="en-US"/>
        </w:rPr>
        <w:t xml:space="preserve">Housing is a high-profile political issue at both the </w:t>
      </w:r>
      <w:r>
        <w:rPr>
          <w:lang w:val="en-US"/>
        </w:rPr>
        <w:t>s</w:t>
      </w:r>
      <w:r w:rsidRPr="00184F01">
        <w:rPr>
          <w:lang w:val="en-US"/>
        </w:rPr>
        <w:t xml:space="preserve">tate and national levels. An August 2023 meeting of the National Cabinet focused on delivering more secure and affordable housing, with new housing targets and mechanisms to </w:t>
      </w:r>
      <w:r w:rsidRPr="00C63612">
        <w:rPr>
          <w:lang w:val="en-US"/>
        </w:rPr>
        <w:t xml:space="preserve">achieve them </w:t>
      </w:r>
      <w:r>
        <w:rPr>
          <w:noProof/>
          <w:lang w:val="en-US"/>
        </w:rPr>
        <w:t>(Commonwealth of Australia 2023)</w:t>
      </w:r>
      <w:r w:rsidRPr="00C63612">
        <w:rPr>
          <w:lang w:val="en-US"/>
        </w:rPr>
        <w:t>.</w:t>
      </w:r>
      <w:r w:rsidRPr="00184F01">
        <w:rPr>
          <w:lang w:val="en-US"/>
        </w:rPr>
        <w:t xml:space="preserve"> </w:t>
      </w:r>
      <w:r>
        <w:rPr>
          <w:lang w:val="en-US"/>
        </w:rPr>
        <w:t>National Cabinet agreed to a</w:t>
      </w:r>
      <w:r w:rsidRPr="00184F01">
        <w:rPr>
          <w:lang w:val="en-US"/>
        </w:rPr>
        <w:t xml:space="preserve"> </w:t>
      </w:r>
      <w:r w:rsidRPr="00A151C2">
        <w:rPr>
          <w:i/>
          <w:lang w:val="en-US"/>
        </w:rPr>
        <w:t>National Planning Reform Blueprint</w:t>
      </w:r>
      <w:r w:rsidRPr="00184F01">
        <w:rPr>
          <w:lang w:val="en-US"/>
        </w:rPr>
        <w:t xml:space="preserve"> and </w:t>
      </w:r>
      <w:r>
        <w:rPr>
          <w:lang w:val="en-US"/>
        </w:rPr>
        <w:t>a</w:t>
      </w:r>
      <w:r w:rsidRPr="00184F01">
        <w:rPr>
          <w:lang w:val="en-US"/>
        </w:rPr>
        <w:t xml:space="preserve"> </w:t>
      </w:r>
      <w:r w:rsidRPr="00A151C2">
        <w:rPr>
          <w:i/>
          <w:lang w:val="en-US"/>
        </w:rPr>
        <w:lastRenderedPageBreak/>
        <w:t>Better Deal for Renters</w:t>
      </w:r>
      <w:r w:rsidRPr="00184F01">
        <w:rPr>
          <w:lang w:val="en-US"/>
        </w:rPr>
        <w:t xml:space="preserve">, with </w:t>
      </w:r>
      <w:r>
        <w:rPr>
          <w:lang w:val="en-US"/>
        </w:rPr>
        <w:t>s</w:t>
      </w:r>
      <w:r w:rsidRPr="00184F01">
        <w:rPr>
          <w:lang w:val="en-US"/>
        </w:rPr>
        <w:t xml:space="preserve">tates and </w:t>
      </w:r>
      <w:r>
        <w:rPr>
          <w:lang w:val="en-US"/>
        </w:rPr>
        <w:t>t</w:t>
      </w:r>
      <w:r w:rsidRPr="00184F01">
        <w:rPr>
          <w:lang w:val="en-US"/>
        </w:rPr>
        <w:t>erritories responsible for implementing some elements</w:t>
      </w:r>
      <w:r>
        <w:rPr>
          <w:lang w:val="en-US"/>
        </w:rPr>
        <w:t xml:space="preserve"> </w:t>
      </w:r>
      <w:r>
        <w:rPr>
          <w:noProof/>
          <w:lang w:val="en-US"/>
        </w:rPr>
        <w:t>(Commonwealth of Australia 2023)</w:t>
      </w:r>
      <w:r w:rsidRPr="00184F01">
        <w:rPr>
          <w:lang w:val="en-US"/>
        </w:rPr>
        <w:t xml:space="preserve">. </w:t>
      </w:r>
    </w:p>
    <w:p w:rsidR="00A079D2" w:rsidRPr="00184F01" w:rsidRDefault="00A079D2" w:rsidP="00456860">
      <w:pPr>
        <w:rPr>
          <w:lang w:val="en-US"/>
        </w:rPr>
      </w:pPr>
      <w:r w:rsidRPr="00184F01">
        <w:rPr>
          <w:lang w:val="en-US"/>
        </w:rPr>
        <w:t xml:space="preserve">During 2023, the Senate Community Affairs Reference Committee conducted an inquiry into the worsening rental crisis in Australia. </w:t>
      </w:r>
      <w:r>
        <w:rPr>
          <w:lang w:val="en-US"/>
        </w:rPr>
        <w:t xml:space="preserve">In 2024, </w:t>
      </w:r>
      <w:r w:rsidRPr="00184F01">
        <w:rPr>
          <w:lang w:val="en-US"/>
        </w:rPr>
        <w:t xml:space="preserve">Anglicare Australia’s </w:t>
      </w:r>
      <w:r>
        <w:rPr>
          <w:lang w:val="en-US"/>
        </w:rPr>
        <w:t xml:space="preserve">annual </w:t>
      </w:r>
      <w:r w:rsidRPr="00184F01">
        <w:rPr>
          <w:lang w:val="en-US"/>
        </w:rPr>
        <w:t>Rental Affordability Snapshot showed only 0.</w:t>
      </w:r>
      <w:r>
        <w:rPr>
          <w:lang w:val="en-US"/>
        </w:rPr>
        <w:t>2</w:t>
      </w:r>
      <w:r w:rsidRPr="00184F01">
        <w:rPr>
          <w:lang w:val="en-US"/>
        </w:rPr>
        <w:t xml:space="preserve"> per cent of available rentals were affordable for a single person on the Age Pension </w:t>
      </w:r>
      <w:r>
        <w:rPr>
          <w:noProof/>
          <w:lang w:val="en-US"/>
        </w:rPr>
        <w:t>(</w:t>
      </w:r>
      <w:r w:rsidR="00510A51">
        <w:rPr>
          <w:noProof/>
          <w:lang w:val="en-US"/>
        </w:rPr>
        <w:t>Anglicare Australia</w:t>
      </w:r>
      <w:r>
        <w:rPr>
          <w:noProof/>
          <w:lang w:val="en-US"/>
        </w:rPr>
        <w:t xml:space="preserve"> 2024)</w:t>
      </w:r>
      <w:r w:rsidR="00510A51">
        <w:rPr>
          <w:noProof/>
          <w:lang w:val="en-US"/>
        </w:rPr>
        <w:t>.</w:t>
      </w:r>
    </w:p>
    <w:p w:rsidR="00A079D2" w:rsidRPr="00184F01" w:rsidRDefault="00A079D2" w:rsidP="00456860">
      <w:pPr>
        <w:rPr>
          <w:lang w:val="en-US"/>
        </w:rPr>
      </w:pPr>
      <w:r w:rsidRPr="00184F01">
        <w:rPr>
          <w:lang w:val="en-US"/>
        </w:rPr>
        <w:t xml:space="preserve">The Federal Government’s $10 billion Housing Australia Future Fund (HAFF), passed by Federal </w:t>
      </w:r>
      <w:r>
        <w:rPr>
          <w:lang w:val="en-US"/>
        </w:rPr>
        <w:t>p</w:t>
      </w:r>
      <w:r w:rsidRPr="00184F01">
        <w:rPr>
          <w:lang w:val="en-US"/>
        </w:rPr>
        <w:t>arliament in September 2023, aims to fund construction of 30,000 new and affordable social homes in its first five years</w:t>
      </w:r>
      <w:r>
        <w:rPr>
          <w:lang w:val="en-US"/>
        </w:rPr>
        <w:t xml:space="preserve">, </w:t>
      </w:r>
      <w:r w:rsidRPr="00184F01">
        <w:rPr>
          <w:lang w:val="en-US"/>
        </w:rPr>
        <w:t>prioritising women and children impacted by family and domestic violence and older women at risk of homelessness</w:t>
      </w:r>
      <w:r>
        <w:rPr>
          <w:lang w:val="en-US"/>
        </w:rPr>
        <w:t xml:space="preserve"> (</w:t>
      </w:r>
      <w:r>
        <w:rPr>
          <w:i/>
          <w:lang w:val="en-US"/>
        </w:rPr>
        <w:t>Housing Australia Future Fund Act 2023</w:t>
      </w:r>
      <w:r>
        <w:rPr>
          <w:lang w:val="en-US"/>
        </w:rPr>
        <w:t>)</w:t>
      </w:r>
      <w:r w:rsidR="00510A51">
        <w:rPr>
          <w:lang w:val="en-US"/>
        </w:rPr>
        <w:t>.</w:t>
      </w:r>
    </w:p>
    <w:p w:rsidR="00A079D2" w:rsidRPr="00184F01" w:rsidRDefault="00A079D2" w:rsidP="00456860">
      <w:pPr>
        <w:rPr>
          <w:lang w:val="en-US"/>
        </w:rPr>
      </w:pPr>
      <w:r>
        <w:rPr>
          <w:lang w:val="en-US"/>
        </w:rPr>
        <w:t>On a state level, t</w:t>
      </w:r>
      <w:r w:rsidRPr="00184F01">
        <w:rPr>
          <w:lang w:val="en-US"/>
        </w:rPr>
        <w:t xml:space="preserve">he </w:t>
      </w:r>
      <w:r w:rsidRPr="00F022B6">
        <w:rPr>
          <w:i/>
          <w:lang w:val="en-US"/>
        </w:rPr>
        <w:t>Tasmanian Housing Strategy</w:t>
      </w:r>
      <w:r w:rsidRPr="00184F01">
        <w:rPr>
          <w:lang w:val="en-US"/>
        </w:rPr>
        <w:t xml:space="preserve"> sets out a vision to end homeless</w:t>
      </w:r>
      <w:r>
        <w:rPr>
          <w:lang w:val="en-US"/>
        </w:rPr>
        <w:t>ness</w:t>
      </w:r>
      <w:r w:rsidRPr="00184F01">
        <w:rPr>
          <w:lang w:val="en-US"/>
        </w:rPr>
        <w:t xml:space="preserve"> by delivering a net increase of 10,000 social and affordable homes by 2032</w:t>
      </w:r>
      <w:r>
        <w:rPr>
          <w:lang w:val="en-US"/>
        </w:rPr>
        <w:t xml:space="preserve"> </w:t>
      </w:r>
      <w:r>
        <w:rPr>
          <w:noProof/>
          <w:lang w:val="en-US"/>
        </w:rPr>
        <w:t>(Homes Tasmania 2023a)</w:t>
      </w:r>
      <w:r w:rsidRPr="00184F01">
        <w:rPr>
          <w:lang w:val="en-US"/>
        </w:rPr>
        <w:t xml:space="preserve">. The associated </w:t>
      </w:r>
      <w:r w:rsidRPr="00F022B6">
        <w:rPr>
          <w:i/>
          <w:lang w:val="en-US"/>
        </w:rPr>
        <w:t>Action Plan 2023–2027</w:t>
      </w:r>
      <w:r w:rsidRPr="00184F01">
        <w:rPr>
          <w:lang w:val="en-US"/>
        </w:rPr>
        <w:t xml:space="preserve"> focuses on providing more quality homes faster; supporting people in need; improving private market affordability and sustainability; and enabling local prosperity by increasing the supply of affordable housing options for key workers in rural, regional and remote communities</w:t>
      </w:r>
      <w:r>
        <w:rPr>
          <w:lang w:val="en-US"/>
        </w:rPr>
        <w:t xml:space="preserve"> </w:t>
      </w:r>
      <w:r>
        <w:rPr>
          <w:noProof/>
          <w:lang w:val="en-US"/>
        </w:rPr>
        <w:t>(Homes Tasmania 2023b)</w:t>
      </w:r>
      <w:r w:rsidRPr="00184F01">
        <w:rPr>
          <w:lang w:val="en-US"/>
        </w:rPr>
        <w:t>. This Action Plan specifically commits to responding to the needs of older Tasmanians by:</w:t>
      </w:r>
    </w:p>
    <w:p w:rsidR="00A079D2" w:rsidRPr="00A151C2" w:rsidRDefault="00A079D2" w:rsidP="00456860">
      <w:pPr>
        <w:pStyle w:val="ListParagraph"/>
        <w:numPr>
          <w:ilvl w:val="0"/>
          <w:numId w:val="17"/>
        </w:numPr>
      </w:pPr>
      <w:r w:rsidRPr="00A151C2">
        <w:t xml:space="preserve">delivering 2,000 social </w:t>
      </w:r>
      <w:r>
        <w:t xml:space="preserve">housing properties </w:t>
      </w:r>
      <w:r w:rsidRPr="00A151C2">
        <w:t>by 2027, with a focus on more two-bedroom dwellings that enable older Tasmanians to age in place</w:t>
      </w:r>
    </w:p>
    <w:p w:rsidR="00A079D2" w:rsidRPr="00A151C2" w:rsidRDefault="00A079D2" w:rsidP="00456860">
      <w:pPr>
        <w:pStyle w:val="ListParagraph"/>
        <w:numPr>
          <w:ilvl w:val="0"/>
          <w:numId w:val="17"/>
        </w:numPr>
      </w:pPr>
      <w:r w:rsidRPr="00A151C2">
        <w:t>meeting the liveable design provisions in the National Construction Code from 1 October 2024 so that all new builds are accessible and adaptable and meet the varied needs of people as they age.</w:t>
      </w:r>
    </w:p>
    <w:p w:rsidR="00A079D2" w:rsidRPr="00E836FB" w:rsidRDefault="00A079D2" w:rsidP="00456860"/>
    <w:p w:rsidR="00A079D2" w:rsidRPr="00E836FB" w:rsidRDefault="00A079D2" w:rsidP="00456860"/>
    <w:p w:rsidR="00A079D2" w:rsidRPr="00E836FB" w:rsidRDefault="00A079D2">
      <w:pPr>
        <w:spacing w:line="259" w:lineRule="auto"/>
        <w:rPr>
          <w:rFonts w:eastAsiaTheme="majorEastAsia" w:cstheme="majorBidi"/>
          <w:color w:val="2F5496" w:themeColor="accent1" w:themeShade="BF"/>
          <w:sz w:val="26"/>
          <w:szCs w:val="26"/>
        </w:rPr>
      </w:pPr>
      <w:r w:rsidRPr="00E836FB">
        <w:br w:type="page"/>
      </w:r>
    </w:p>
    <w:p w:rsidR="00A079D2" w:rsidRPr="00E836FB" w:rsidRDefault="00A079D2" w:rsidP="00456860">
      <w:pPr>
        <w:pStyle w:val="Heading1"/>
      </w:pPr>
      <w:bookmarkStart w:id="8" w:name="_Toc166757718"/>
      <w:r w:rsidRPr="00E836FB">
        <w:lastRenderedPageBreak/>
        <w:t xml:space="preserve">Key </w:t>
      </w:r>
      <w:r>
        <w:t>f</w:t>
      </w:r>
      <w:r w:rsidRPr="00E836FB">
        <w:t>indings</w:t>
      </w:r>
      <w:bookmarkEnd w:id="8"/>
    </w:p>
    <w:p w:rsidR="00A079D2" w:rsidRPr="00E836FB" w:rsidRDefault="00A079D2" w:rsidP="00456860">
      <w:pPr>
        <w:pStyle w:val="Heading2"/>
      </w:pPr>
      <w:bookmarkStart w:id="9" w:name="_Toc166757719"/>
      <w:r w:rsidRPr="00E836FB">
        <w:t xml:space="preserve">Moving becomes </w:t>
      </w:r>
      <w:r w:rsidRPr="00A151C2">
        <w:t>detrimental</w:t>
      </w:r>
      <w:r w:rsidRPr="00E836FB">
        <w:t xml:space="preserve"> as we age</w:t>
      </w:r>
      <w:bookmarkEnd w:id="9"/>
    </w:p>
    <w:p w:rsidR="00A079D2" w:rsidRPr="00E836FB" w:rsidRDefault="00A079D2" w:rsidP="00456860">
      <w:pPr>
        <w:tabs>
          <w:tab w:val="left" w:pos="1420"/>
        </w:tabs>
        <w:rPr>
          <w:lang w:val="en-US"/>
        </w:rPr>
      </w:pPr>
      <w:bookmarkStart w:id="10" w:name="_Hlk166085453"/>
      <w:r w:rsidRPr="00E836FB">
        <w:rPr>
          <w:lang w:val="en-US"/>
        </w:rPr>
        <w:t>The home and its environs are where older people carry out a significant share of their daily activities</w:t>
      </w:r>
      <w:r>
        <w:rPr>
          <w:lang w:val="en-US"/>
        </w:rPr>
        <w:t xml:space="preserve">. </w:t>
      </w:r>
      <w:r w:rsidRPr="00E836FB">
        <w:rPr>
          <w:lang w:val="en-US"/>
        </w:rPr>
        <w:t>For participants in this study who felt secure in their housing, having the choice to remain living at the home they had established was deeply important to them.</w:t>
      </w:r>
    </w:p>
    <w:p w:rsidR="00A079D2" w:rsidRPr="00E836FB" w:rsidRDefault="00A079D2" w:rsidP="00456860">
      <w:pPr>
        <w:tabs>
          <w:tab w:val="left" w:pos="1420"/>
        </w:tabs>
        <w:rPr>
          <w:lang w:val="en-US"/>
        </w:rPr>
      </w:pPr>
      <w:r w:rsidRPr="00E836FB">
        <w:rPr>
          <w:lang w:val="en-US"/>
        </w:rPr>
        <w:t xml:space="preserve">Quantitative analysis revealed that for people aged 55 years and over, moving home for any reason had a significant negative impact on overall life satisfaction and satisfaction with the home in which they live. The same impacts were not found for people under 55 years of age. If moving was not by choice, the negative impacts on wellbeing were even greater. </w:t>
      </w:r>
    </w:p>
    <w:p w:rsidR="00A079D2" w:rsidRPr="00E836FB" w:rsidRDefault="00A079D2" w:rsidP="00456860">
      <w:pPr>
        <w:rPr>
          <w:lang w:val="en-US"/>
        </w:rPr>
      </w:pPr>
      <w:r w:rsidRPr="00E836FB">
        <w:rPr>
          <w:lang w:val="en-US"/>
        </w:rPr>
        <w:t>Anglicare staff described problems related to older people moving from long-term social housing properties into smaller homes. In some cases, downsizing had led to the loss of established community, reduced a person’s capacity to carry on a hobby or craft, or to have friends or relatives (e.g., grandchildren) stay in their home. These elements matter to people and are important to their overall quality of life. For example, while most interview participants did not live with a spouse or partner, they highlighted the importance of the communities, small or large, that they had nurtured.</w:t>
      </w:r>
    </w:p>
    <w:p w:rsidR="00A079D2" w:rsidRPr="00A151C2" w:rsidRDefault="00A079D2" w:rsidP="00456860">
      <w:pPr>
        <w:pStyle w:val="Quote"/>
      </w:pPr>
      <w:r w:rsidRPr="00A151C2">
        <w:t>“Having moved [to] such a remote [place], I had to leave all my friends. I really had nobody; I've got no family here. I've got no close friends. So, it's certainly isolating … it's friends that you've had for a very long time and that you're close to. I haven't been able to establish that again.”</w:t>
      </w:r>
    </w:p>
    <w:p w:rsidR="00A079D2" w:rsidRDefault="00A079D2" w:rsidP="00456860">
      <w:pPr>
        <w:tabs>
          <w:tab w:val="left" w:pos="1420"/>
        </w:tabs>
        <w:rPr>
          <w:lang w:val="en-US"/>
        </w:rPr>
      </w:pPr>
      <w:r w:rsidRPr="00E836FB">
        <w:rPr>
          <w:lang w:val="en-US"/>
        </w:rPr>
        <w:t xml:space="preserve">Moving can have additional difficulties for older people due to frailty, ill health and needing the assistance of others to pack up and relocate. </w:t>
      </w:r>
    </w:p>
    <w:bookmarkEnd w:id="10"/>
    <w:p w:rsidR="00A079D2" w:rsidRPr="00E836FB" w:rsidRDefault="00A079D2" w:rsidP="00456860">
      <w:pPr>
        <w:tabs>
          <w:tab w:val="left" w:pos="1420"/>
        </w:tabs>
        <w:rPr>
          <w:lang w:val="en-US"/>
        </w:rPr>
      </w:pPr>
    </w:p>
    <w:p w:rsidR="00A079D2" w:rsidRPr="00E836FB" w:rsidRDefault="00A079D2" w:rsidP="00456860">
      <w:pPr>
        <w:pStyle w:val="Heading2"/>
      </w:pPr>
      <w:bookmarkStart w:id="11" w:name="_Toc166757720"/>
      <w:r w:rsidRPr="00E836FB">
        <w:t>Older renters are experiencing housing insecurity</w:t>
      </w:r>
      <w:bookmarkEnd w:id="11"/>
    </w:p>
    <w:p w:rsidR="00A079D2" w:rsidRPr="00E836FB" w:rsidRDefault="00A079D2" w:rsidP="00456860">
      <w:pPr>
        <w:rPr>
          <w:lang w:val="en-US"/>
        </w:rPr>
      </w:pPr>
      <w:r w:rsidRPr="00E836FB">
        <w:rPr>
          <w:lang w:val="en-US"/>
        </w:rPr>
        <w:t xml:space="preserve">Older renters have lower median weekly disposable income, which is relatively fixed, and so are especially vulnerable to housing stress when the rental market tightens. </w:t>
      </w:r>
    </w:p>
    <w:p w:rsidR="00A079D2" w:rsidRPr="00E836FB" w:rsidRDefault="00A079D2" w:rsidP="00456860">
      <w:pPr>
        <w:rPr>
          <w:lang w:val="en-US"/>
        </w:rPr>
      </w:pPr>
      <w:r w:rsidRPr="00E836FB">
        <w:rPr>
          <w:lang w:val="en-US"/>
        </w:rPr>
        <w:t>This project highlights that some older renters in Tasmania are living with unsafe and unhealthy housing, seemingly random rent rises, the loss of bonds, and regular intrusions on their privacy. Security of tenure when renting is highly uncertain. As one interviewee said:</w:t>
      </w:r>
    </w:p>
    <w:p w:rsidR="00A079D2" w:rsidRPr="00E836FB" w:rsidRDefault="00A079D2" w:rsidP="00456860">
      <w:pPr>
        <w:pStyle w:val="ListParagraph"/>
        <w:rPr>
          <w:lang w:val="en-US"/>
        </w:rPr>
      </w:pPr>
      <w:r w:rsidRPr="00E836FB">
        <w:rPr>
          <w:lang w:val="en-US"/>
        </w:rPr>
        <w:t>“</w:t>
      </w:r>
      <w:r w:rsidRPr="00E836FB">
        <w:rPr>
          <w:rFonts w:eastAsia="Palatino Linotype" w:cs="Palatino Linotype"/>
          <w:i/>
          <w:color w:val="000000"/>
        </w:rPr>
        <w:t>You just feel powerless because, if I quibble it too much, they can just say, well, we won't renew the lease</w:t>
      </w:r>
      <w:r>
        <w:rPr>
          <w:rFonts w:eastAsia="Palatino Linotype" w:cs="Palatino Linotype"/>
          <w:i/>
          <w:color w:val="000000"/>
        </w:rPr>
        <w:t>.</w:t>
      </w:r>
      <w:r w:rsidRPr="00E836FB">
        <w:rPr>
          <w:color w:val="000000"/>
        </w:rPr>
        <w:t>”</w:t>
      </w:r>
      <w:r w:rsidRPr="00E836FB">
        <w:rPr>
          <w:lang w:val="en-US"/>
        </w:rPr>
        <w:t xml:space="preserve"> </w:t>
      </w:r>
    </w:p>
    <w:p w:rsidR="00A079D2" w:rsidRPr="008429AA" w:rsidRDefault="00A079D2" w:rsidP="00510A51">
      <w:pPr>
        <w:rPr>
          <w:rFonts w:ascii="Times New Roman" w:eastAsia="Times New Roman" w:hAnsi="Times New Roman" w:cs="Times New Roman"/>
          <w:sz w:val="24"/>
          <w:szCs w:val="24"/>
          <w:lang w:eastAsia="en-AU"/>
        </w:rPr>
      </w:pPr>
      <w:r w:rsidRPr="00E836FB">
        <w:rPr>
          <w:lang w:val="en-US"/>
        </w:rPr>
        <w:t>This anxiety is justified, as the most common reason renters move is that their lease was terminated or not renewed. A higher proportion of Tasmanian renters reported moving for this reason than residents of other states, and renters aged 64-74 years were more likely to report this than other age groups</w:t>
      </w:r>
      <w:r>
        <w:rPr>
          <w:lang w:val="en-US"/>
        </w:rPr>
        <w:t xml:space="preserve"> </w:t>
      </w:r>
      <w:r>
        <w:rPr>
          <w:noProof/>
          <w:lang w:val="en-US"/>
        </w:rPr>
        <w:t>(</w:t>
      </w:r>
      <w:r w:rsidR="004E54B5">
        <w:rPr>
          <w:noProof/>
          <w:lang w:val="en-US"/>
        </w:rPr>
        <w:t>ABS</w:t>
      </w:r>
      <w:r>
        <w:rPr>
          <w:noProof/>
          <w:lang w:val="en-US"/>
        </w:rPr>
        <w:t xml:space="preserve"> 2020)</w:t>
      </w:r>
      <w:r>
        <w:rPr>
          <w:lang w:val="en-US"/>
        </w:rPr>
        <w:t>.</w:t>
      </w:r>
    </w:p>
    <w:p w:rsidR="00A079D2" w:rsidRPr="00E836FB" w:rsidRDefault="00A079D2" w:rsidP="00456860">
      <w:pPr>
        <w:tabs>
          <w:tab w:val="left" w:pos="1420"/>
        </w:tabs>
        <w:rPr>
          <w:lang w:val="en-US"/>
        </w:rPr>
      </w:pPr>
    </w:p>
    <w:p w:rsidR="00A079D2" w:rsidRDefault="00A079D2" w:rsidP="00456860">
      <w:pPr>
        <w:tabs>
          <w:tab w:val="left" w:pos="1420"/>
        </w:tabs>
        <w:rPr>
          <w:lang w:val="en-US"/>
        </w:rPr>
      </w:pPr>
      <w:r w:rsidRPr="00E836FB">
        <w:rPr>
          <w:lang w:val="en-US"/>
        </w:rPr>
        <w:lastRenderedPageBreak/>
        <w:t xml:space="preserve">Anecdotal evidence from Anglicare Tasmania staff highlighted the issue of </w:t>
      </w:r>
      <w:r>
        <w:rPr>
          <w:lang w:val="en-US"/>
        </w:rPr>
        <w:t>‘</w:t>
      </w:r>
      <w:r w:rsidRPr="00E836FB">
        <w:rPr>
          <w:lang w:val="en-US"/>
        </w:rPr>
        <w:t>rental co-dependencies</w:t>
      </w:r>
      <w:r>
        <w:rPr>
          <w:lang w:val="en-US"/>
        </w:rPr>
        <w:t>’,</w:t>
      </w:r>
      <w:r w:rsidRPr="00E836FB">
        <w:rPr>
          <w:lang w:val="en-US"/>
        </w:rPr>
        <w:t xml:space="preserve"> people living together by necessity, including adult children moving back in with elderly parents. </w:t>
      </w:r>
    </w:p>
    <w:p w:rsidR="00A079D2" w:rsidRPr="00E836FB" w:rsidRDefault="00A079D2" w:rsidP="00456860">
      <w:pPr>
        <w:tabs>
          <w:tab w:val="left" w:pos="1420"/>
        </w:tabs>
        <w:rPr>
          <w:lang w:val="en-US"/>
        </w:rPr>
      </w:pPr>
    </w:p>
    <w:p w:rsidR="00A079D2" w:rsidRPr="00E836FB" w:rsidRDefault="00A079D2" w:rsidP="00456860">
      <w:pPr>
        <w:pStyle w:val="Heading2"/>
        <w:rPr>
          <w:lang w:val="en-US"/>
        </w:rPr>
      </w:pPr>
      <w:bookmarkStart w:id="12" w:name="_Toc166757721"/>
      <w:r w:rsidRPr="00E836FB">
        <w:rPr>
          <w:lang w:val="en-US"/>
        </w:rPr>
        <w:t>Housing needs of Aboriginal Tasmanians</w:t>
      </w:r>
      <w:bookmarkEnd w:id="12"/>
    </w:p>
    <w:p w:rsidR="00A079D2" w:rsidRPr="00E836FB" w:rsidRDefault="00A079D2" w:rsidP="00456860">
      <w:pPr>
        <w:rPr>
          <w:lang w:val="en-US"/>
        </w:rPr>
      </w:pPr>
      <w:r w:rsidRPr="00E836FB">
        <w:rPr>
          <w:lang w:val="en-US"/>
        </w:rPr>
        <w:t>This research confirms the high proportions of Aboriginal people who are homeless, living in insecure housing, losing their existing homes, and repeatedly accessing housing services in Tasmania.</w:t>
      </w:r>
      <w:r>
        <w:rPr>
          <w:lang w:val="en-US"/>
        </w:rPr>
        <w:t xml:space="preserve"> </w:t>
      </w:r>
      <w:r w:rsidRPr="00E836FB">
        <w:rPr>
          <w:lang w:val="en-US"/>
        </w:rPr>
        <w:t xml:space="preserve">At the end </w:t>
      </w:r>
      <w:r w:rsidRPr="00184F01">
        <w:rPr>
          <w:lang w:val="en-US"/>
        </w:rPr>
        <w:t xml:space="preserve">of September 2023, 15% of applicants on the Housing Register in the </w:t>
      </w:r>
      <w:r>
        <w:rPr>
          <w:lang w:val="en-US"/>
        </w:rPr>
        <w:t>s</w:t>
      </w:r>
      <w:r w:rsidRPr="00184F01">
        <w:rPr>
          <w:lang w:val="en-US"/>
        </w:rPr>
        <w:t xml:space="preserve">tate identified as either Aboriginal or Torres Strait Islander, while comprising 5.4% of the total population of Tasmania </w:t>
      </w:r>
      <w:r>
        <w:rPr>
          <w:noProof/>
          <w:lang w:val="en-US"/>
        </w:rPr>
        <w:t>(Homes Tasmania 2023b)</w:t>
      </w:r>
      <w:r w:rsidRPr="00184F01">
        <w:rPr>
          <w:lang w:val="en-US"/>
        </w:rPr>
        <w:t xml:space="preserve">. </w:t>
      </w:r>
      <w:r w:rsidRPr="00184F01">
        <w:t>Anglicare’s</w:t>
      </w:r>
      <w:r w:rsidRPr="00E836FB">
        <w:t xml:space="preserve"> Housing Connect Front Door data showed 19.7% of participants aged 45 and over were Aboriginal</w:t>
      </w:r>
      <w:r w:rsidRPr="00E836FB">
        <w:rPr>
          <w:lang w:val="en-US"/>
        </w:rPr>
        <w:t xml:space="preserve">. </w:t>
      </w:r>
    </w:p>
    <w:p w:rsidR="00A079D2" w:rsidRDefault="00A079D2" w:rsidP="00456860">
      <w:r w:rsidRPr="00E836FB">
        <w:t>Aboriginal people are experiencing a range of factors that make housing more insecure. Despite Aboriginal people’s poorer health and longevity being acknowledged in aged care rules (i.e., the age at which one becomes eligible for government-funded support) and in housing research, the Age Pension eligibility is the same for all Australians.</w:t>
      </w:r>
    </w:p>
    <w:p w:rsidR="00A079D2" w:rsidRPr="00E836FB" w:rsidRDefault="00A079D2" w:rsidP="00456860"/>
    <w:p w:rsidR="00A079D2" w:rsidRPr="00E836FB" w:rsidRDefault="00A079D2" w:rsidP="00456860">
      <w:pPr>
        <w:pStyle w:val="Heading2"/>
      </w:pPr>
      <w:bookmarkStart w:id="13" w:name="_Toc166757722"/>
      <w:r w:rsidRPr="00E836FB">
        <w:t>The impact of</w:t>
      </w:r>
      <w:r>
        <w:t xml:space="preserve"> </w:t>
      </w:r>
      <w:r w:rsidRPr="00E836FB">
        <w:t>relationship breakdown</w:t>
      </w:r>
      <w:r>
        <w:t xml:space="preserve"> and gender inequality</w:t>
      </w:r>
      <w:bookmarkEnd w:id="13"/>
    </w:p>
    <w:p w:rsidR="00A079D2" w:rsidRDefault="00A079D2" w:rsidP="00456860">
      <w:pPr>
        <w:rPr>
          <w:lang w:val="en-US"/>
        </w:rPr>
      </w:pPr>
      <w:r w:rsidRPr="00E836FB">
        <w:rPr>
          <w:lang w:val="en-US"/>
        </w:rPr>
        <w:t xml:space="preserve">The data in this report shows </w:t>
      </w:r>
      <w:r>
        <w:rPr>
          <w:lang w:val="en-US"/>
        </w:rPr>
        <w:t>a</w:t>
      </w:r>
      <w:r w:rsidRPr="00E836FB">
        <w:rPr>
          <w:lang w:val="en-US"/>
        </w:rPr>
        <w:t xml:space="preserve"> correlation between relationship breakdown and housing insecurity. In the Anglicare datasets featured in this report, the majority of clients were living alone. More than a third of Housing Connect Front Door clients cited a lack of family and/or community supports as a presenting factor. Many of the walking interview participants</w:t>
      </w:r>
      <w:r>
        <w:rPr>
          <w:lang w:val="en-US"/>
        </w:rPr>
        <w:t xml:space="preserve">, particularly women, </w:t>
      </w:r>
      <w:r w:rsidRPr="00E836FB">
        <w:rPr>
          <w:lang w:val="en-US"/>
        </w:rPr>
        <w:t xml:space="preserve">described having secure housing overturned by divorce, separation, breakup and the subsequent division of assets. Most had left homes they had worked hard to obtain and care for (whether rented or owned), sometimes moving away from known communities and people. The costs of starting again were high and only some of the participants had been able to reestablish a similar level of security, safety and congruence with their sense of themselves. </w:t>
      </w:r>
    </w:p>
    <w:p w:rsidR="00A079D2" w:rsidRPr="00E836FB" w:rsidRDefault="00A079D2" w:rsidP="00456860">
      <w:pPr>
        <w:rPr>
          <w:lang w:val="en-US"/>
        </w:rPr>
      </w:pPr>
    </w:p>
    <w:p w:rsidR="00A079D2" w:rsidRPr="00E836FB" w:rsidRDefault="00A079D2" w:rsidP="00456860">
      <w:pPr>
        <w:pStyle w:val="Heading2"/>
        <w:rPr>
          <w:lang w:val="en-US"/>
        </w:rPr>
      </w:pPr>
      <w:bookmarkStart w:id="14" w:name="_Toc166757723"/>
      <w:r w:rsidRPr="00E836FB">
        <w:rPr>
          <w:lang w:val="en-US"/>
        </w:rPr>
        <w:t>Importance of childhood experiences of care</w:t>
      </w:r>
      <w:bookmarkEnd w:id="14"/>
    </w:p>
    <w:p w:rsidR="00A079D2" w:rsidRDefault="00A079D2" w:rsidP="00456860">
      <w:pPr>
        <w:rPr>
          <w:lang w:val="en-US"/>
        </w:rPr>
      </w:pPr>
      <w:r w:rsidRPr="00E836FB">
        <w:rPr>
          <w:lang w:val="en-US"/>
        </w:rPr>
        <w:t xml:space="preserve">This research demonstrates the importance of childhood experiences of care. This includes between children and their adult guardians (parents and other family members) and others with a duty of care, including those employed in schools and other institutions. These relationships impact across the lifespan, and housing is as affected as other parts of life. </w:t>
      </w:r>
    </w:p>
    <w:p w:rsidR="00A079D2" w:rsidRDefault="00A079D2" w:rsidP="00456860">
      <w:pPr>
        <w:rPr>
          <w:lang w:val="en-US"/>
        </w:rPr>
      </w:pPr>
      <w:r w:rsidRPr="00E836FB">
        <w:rPr>
          <w:lang w:val="en-US"/>
        </w:rPr>
        <w:t>Stories shared by interview participants described experiences of trauma early in their lives</w:t>
      </w:r>
      <w:r>
        <w:rPr>
          <w:lang w:val="en-US"/>
        </w:rPr>
        <w:t xml:space="preserve"> </w:t>
      </w:r>
      <w:r w:rsidRPr="00E836FB">
        <w:rPr>
          <w:lang w:val="en-US"/>
        </w:rPr>
        <w:t>—</w:t>
      </w:r>
      <w:r>
        <w:rPr>
          <w:lang w:val="en-US"/>
        </w:rPr>
        <w:t xml:space="preserve"> </w:t>
      </w:r>
      <w:r w:rsidRPr="00E836FB">
        <w:rPr>
          <w:lang w:val="en-US"/>
        </w:rPr>
        <w:t xml:space="preserve">whether poverty, inadequate housing, poor healthcare and education, neglect, or physical or sexual abuse — which had often triggered early exit from the family home, adolescences replete with sleeping rough, risky sexual behaviours, substance use and, sometimes, contact with the criminal justice system. The effects of those early years </w:t>
      </w:r>
      <w:r w:rsidRPr="00E836FB">
        <w:rPr>
          <w:lang w:val="en-US"/>
        </w:rPr>
        <w:lastRenderedPageBreak/>
        <w:t>continued to reverberate, even into older age. Families cannot be presumed to be safe places for all children, pointing to the importance of access to key supports outside the home.</w:t>
      </w:r>
    </w:p>
    <w:p w:rsidR="00A079D2" w:rsidRPr="00E836FB" w:rsidRDefault="00A079D2" w:rsidP="00456860">
      <w:pPr>
        <w:rPr>
          <w:lang w:val="en-US"/>
        </w:rPr>
      </w:pPr>
      <w:r>
        <w:rPr>
          <w:lang w:val="en-US"/>
        </w:rPr>
        <w:t>Understanding</w:t>
      </w:r>
      <w:r w:rsidRPr="00E836FB">
        <w:rPr>
          <w:lang w:val="en-US"/>
        </w:rPr>
        <w:t xml:space="preserve"> the early life factors that predispose people to housing insecurity is critical to </w:t>
      </w:r>
      <w:r>
        <w:rPr>
          <w:lang w:val="en-US"/>
        </w:rPr>
        <w:t>maximising the success</w:t>
      </w:r>
      <w:r w:rsidRPr="00E836FB">
        <w:rPr>
          <w:lang w:val="en-US"/>
        </w:rPr>
        <w:t xml:space="preserve"> of any strategy to improve housing outcomes.</w:t>
      </w:r>
      <w:r>
        <w:rPr>
          <w:lang w:val="en-US"/>
        </w:rPr>
        <w:t xml:space="preserve"> </w:t>
      </w:r>
    </w:p>
    <w:p w:rsidR="00A079D2" w:rsidRDefault="00A079D2" w:rsidP="00456860">
      <w:r w:rsidRPr="00E836FB">
        <w:t>Addressing every finding of this study would involve multiple actions across many portfolios.</w:t>
      </w:r>
      <w:r>
        <w:t xml:space="preserve"> </w:t>
      </w:r>
      <w:r w:rsidRPr="00E836FB">
        <w:t>However, affordable and appropriate housing supply and equity for groups experiencing disadvantage would go a long way toward addressing many of t</w:t>
      </w:r>
      <w:r>
        <w:t>he findings</w:t>
      </w:r>
      <w:r w:rsidRPr="00E836FB">
        <w:t xml:space="preserve"> (see impact pathway in Figure 1). </w:t>
      </w:r>
    </w:p>
    <w:p w:rsidR="00A079D2" w:rsidRDefault="00A079D2" w:rsidP="00456860"/>
    <w:p w:rsidR="00A079D2" w:rsidRPr="00E836FB" w:rsidRDefault="00A079D2" w:rsidP="00456860">
      <w:pPr>
        <w:pStyle w:val="Heading1"/>
        <w:rPr>
          <w:lang w:val="en-US"/>
        </w:rPr>
      </w:pPr>
      <w:bookmarkStart w:id="15" w:name="_Toc166757724"/>
      <w:r w:rsidRPr="00E836FB">
        <w:rPr>
          <w:lang w:val="en-US"/>
        </w:rPr>
        <w:t>Recommendations</w:t>
      </w:r>
      <w:bookmarkEnd w:id="15"/>
    </w:p>
    <w:p w:rsidR="00A079D2" w:rsidRDefault="00A079D2" w:rsidP="00456860">
      <w:pPr>
        <w:tabs>
          <w:tab w:val="left" w:pos="1420"/>
        </w:tabs>
        <w:rPr>
          <w:lang w:val="en-US"/>
        </w:rPr>
      </w:pPr>
      <w:r>
        <w:rPr>
          <w:lang w:val="en-US"/>
        </w:rPr>
        <w:t>Actions to address the findings of this research and complement the objectives of the Tasmanian Housing Strategy are recommended across five areas:</w:t>
      </w:r>
    </w:p>
    <w:p w:rsidR="00A079D2" w:rsidRPr="00306E28" w:rsidRDefault="00A079D2" w:rsidP="00456860">
      <w:pPr>
        <w:pStyle w:val="ListParagraph"/>
        <w:numPr>
          <w:ilvl w:val="0"/>
          <w:numId w:val="10"/>
        </w:numPr>
        <w:rPr>
          <w:lang w:val="en-US"/>
        </w:rPr>
      </w:pPr>
      <w:r>
        <w:rPr>
          <w:lang w:val="en-US"/>
        </w:rPr>
        <w:t>E</w:t>
      </w:r>
      <w:r w:rsidRPr="00306E28">
        <w:rPr>
          <w:lang w:val="en-US"/>
        </w:rPr>
        <w:t>nsur</w:t>
      </w:r>
      <w:r>
        <w:rPr>
          <w:lang w:val="en-US"/>
        </w:rPr>
        <w:t>ing</w:t>
      </w:r>
      <w:r w:rsidRPr="00306E28">
        <w:rPr>
          <w:lang w:val="en-US"/>
        </w:rPr>
        <w:t xml:space="preserve"> the </w:t>
      </w:r>
      <w:r>
        <w:rPr>
          <w:lang w:val="en-US"/>
        </w:rPr>
        <w:t>s</w:t>
      </w:r>
      <w:r w:rsidRPr="00306E28">
        <w:rPr>
          <w:lang w:val="en-US"/>
        </w:rPr>
        <w:t>tate’s housing supply meets the current and projected needs of older Tasmanians</w:t>
      </w:r>
    </w:p>
    <w:p w:rsidR="00A079D2" w:rsidRPr="00306E28" w:rsidRDefault="00A079D2" w:rsidP="00456860">
      <w:pPr>
        <w:pStyle w:val="ListParagraph"/>
        <w:numPr>
          <w:ilvl w:val="0"/>
          <w:numId w:val="10"/>
        </w:numPr>
        <w:rPr>
          <w:lang w:val="en-US"/>
        </w:rPr>
      </w:pPr>
      <w:r>
        <w:rPr>
          <w:lang w:val="en-US"/>
        </w:rPr>
        <w:t>P</w:t>
      </w:r>
      <w:r w:rsidRPr="00306E28">
        <w:rPr>
          <w:lang w:val="en-US"/>
        </w:rPr>
        <w:t>rovid</w:t>
      </w:r>
      <w:r>
        <w:rPr>
          <w:lang w:val="en-US"/>
        </w:rPr>
        <w:t>ing</w:t>
      </w:r>
      <w:r w:rsidRPr="00306E28">
        <w:rPr>
          <w:lang w:val="en-US"/>
        </w:rPr>
        <w:t xml:space="preserve"> appropriate homes and supports for people to age in place in their community, reducing the necessity for older people to move</w:t>
      </w:r>
    </w:p>
    <w:p w:rsidR="00A079D2" w:rsidRPr="00306E28" w:rsidRDefault="00A079D2" w:rsidP="00456860">
      <w:pPr>
        <w:pStyle w:val="ListParagraph"/>
        <w:numPr>
          <w:ilvl w:val="0"/>
          <w:numId w:val="10"/>
        </w:numPr>
        <w:rPr>
          <w:lang w:val="en-US"/>
        </w:rPr>
      </w:pPr>
      <w:r>
        <w:rPr>
          <w:lang w:val="en-US"/>
        </w:rPr>
        <w:t>I</w:t>
      </w:r>
      <w:r w:rsidRPr="00306E28">
        <w:rPr>
          <w:lang w:val="en-US"/>
        </w:rPr>
        <w:t>ncreas</w:t>
      </w:r>
      <w:r>
        <w:rPr>
          <w:lang w:val="en-US"/>
        </w:rPr>
        <w:t>ing</w:t>
      </w:r>
      <w:r w:rsidRPr="00306E28">
        <w:rPr>
          <w:lang w:val="en-US"/>
        </w:rPr>
        <w:t xml:space="preserve"> the housing security of older renters through protections in the Residential Tenancy Act</w:t>
      </w:r>
    </w:p>
    <w:p w:rsidR="00A079D2" w:rsidRPr="00306E28" w:rsidRDefault="00A079D2" w:rsidP="00456860">
      <w:pPr>
        <w:pStyle w:val="ListParagraph"/>
        <w:numPr>
          <w:ilvl w:val="0"/>
          <w:numId w:val="10"/>
        </w:numPr>
        <w:rPr>
          <w:lang w:val="en-US"/>
        </w:rPr>
      </w:pPr>
      <w:r>
        <w:rPr>
          <w:lang w:val="en-US"/>
        </w:rPr>
        <w:t>I</w:t>
      </w:r>
      <w:r w:rsidRPr="00306E28">
        <w:rPr>
          <w:lang w:val="en-US"/>
        </w:rPr>
        <w:t>mprov</w:t>
      </w:r>
      <w:r>
        <w:rPr>
          <w:lang w:val="en-US"/>
        </w:rPr>
        <w:t>ing</w:t>
      </w:r>
      <w:r w:rsidRPr="00306E28">
        <w:rPr>
          <w:lang w:val="en-US"/>
        </w:rPr>
        <w:t xml:space="preserve"> housing security and equity for groups at higher risk</w:t>
      </w:r>
    </w:p>
    <w:p w:rsidR="00A079D2" w:rsidRDefault="00A079D2">
      <w:pPr>
        <w:pStyle w:val="ListParagraph"/>
        <w:numPr>
          <w:ilvl w:val="0"/>
          <w:numId w:val="10"/>
        </w:numPr>
        <w:rPr>
          <w:lang w:val="en-US"/>
        </w:rPr>
      </w:pPr>
      <w:r>
        <w:rPr>
          <w:lang w:val="en-US"/>
        </w:rPr>
        <w:t>P</w:t>
      </w:r>
      <w:r w:rsidRPr="00306E28">
        <w:rPr>
          <w:lang w:val="en-US"/>
        </w:rPr>
        <w:t>rovid</w:t>
      </w:r>
      <w:r>
        <w:rPr>
          <w:lang w:val="en-US"/>
        </w:rPr>
        <w:t>ing</w:t>
      </w:r>
      <w:r w:rsidRPr="00306E28">
        <w:rPr>
          <w:lang w:val="en-US"/>
        </w:rPr>
        <w:t xml:space="preserve"> specific supports to older Tasmanians navigating the property market or moving house, to reduce the negative impacts on their health and wellbeing.</w:t>
      </w:r>
    </w:p>
    <w:p w:rsidR="004E54B5" w:rsidRDefault="004E54B5" w:rsidP="004E54B5">
      <w:pPr>
        <w:rPr>
          <w:lang w:val="en-US"/>
        </w:rPr>
      </w:pPr>
      <w:r>
        <w:rPr>
          <w:lang w:val="en-US"/>
        </w:rPr>
        <w:t>Figure 1 shows how each action will promote better housing security outcomes for older Tasmanians.</w:t>
      </w:r>
    </w:p>
    <w:p w:rsidR="004E54B5" w:rsidRDefault="004E54B5">
      <w:pPr>
        <w:spacing w:line="259" w:lineRule="auto"/>
        <w:rPr>
          <w:lang w:val="en-US"/>
        </w:rPr>
      </w:pPr>
      <w:r>
        <w:rPr>
          <w:lang w:val="en-US"/>
        </w:rPr>
        <w:br w:type="page"/>
      </w:r>
    </w:p>
    <w:p w:rsidR="004E54B5" w:rsidRDefault="004E54B5" w:rsidP="004E54B5">
      <w:pPr>
        <w:rPr>
          <w:lang w:val="en-US"/>
        </w:rPr>
      </w:pPr>
    </w:p>
    <w:p w:rsidR="004E54B5" w:rsidRDefault="008E0DF0" w:rsidP="009B6ABF">
      <w:pPr>
        <w:pStyle w:val="Captions"/>
        <w:rPr>
          <w:lang w:val="en-US"/>
        </w:rPr>
      </w:pPr>
      <w:r w:rsidRPr="00F35197">
        <w:rPr>
          <w:b w:val="0"/>
          <w:noProof/>
          <w:lang w:val="en-US"/>
        </w:rPr>
        <w:drawing>
          <wp:anchor distT="0" distB="0" distL="114300" distR="114300" simplePos="0" relativeHeight="251667456" behindDoc="0" locked="0" layoutInCell="1" allowOverlap="1" wp14:anchorId="6E72A3DC" wp14:editId="3F052A08">
            <wp:simplePos x="0" y="0"/>
            <wp:positionH relativeFrom="page">
              <wp:align>right</wp:align>
            </wp:positionH>
            <wp:positionV relativeFrom="paragraph">
              <wp:posOffset>321055</wp:posOffset>
            </wp:positionV>
            <wp:extent cx="6928248" cy="4867275"/>
            <wp:effectExtent l="0" t="0" r="6350" b="0"/>
            <wp:wrapNone/>
            <wp:docPr id="1" name="Picture 1" descr="Infographic. The left shows recommended actions, which are: Increase new housing supply, including building more social and affordable housing; Provide appropriate homes and supports for people to age in place in their communities; Increase housing security for older renters; Provide specific supports to assist older people engaging with the housing market; Improve housing security and equity for groups of people at higher risk. These actions lead to: increased housing stock so that houses = households; decreased house prices and rents; increased housing affordability; increased affordable houses suitable for older people; increased housing stock in age-friendly communities with access to services and supports; increased affordable rentals suitable for older people; decreased moves due to unsuitable housing or for financial reasons; increased agency and support in property market dealings; increased ease of moving; increased financial capacity of older Tasmanians; decreased housing insecurity due to relationship breakdown, disadvantage and abuse. On the right are outcomes for older Tasmanians: Frequency and impact of moving is reduced; there is enough safe and appropriate housing to meet their needs; appropriate housing is affordable; increased agency and reduced anxiety about housing security. Finally the impact is: older Tasmanians have improved physical and mental health and wellbeing; Older Tasmanians rarely experience or are at risk of homelessness; Older Tasmanians feel connected and val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928248" cy="4867275"/>
                    </a:xfrm>
                    <a:prstGeom prst="rect">
                      <a:avLst/>
                    </a:prstGeom>
                  </pic:spPr>
                </pic:pic>
              </a:graphicData>
            </a:graphic>
            <wp14:sizeRelH relativeFrom="margin">
              <wp14:pctWidth>0</wp14:pctWidth>
            </wp14:sizeRelH>
            <wp14:sizeRelV relativeFrom="margin">
              <wp14:pctHeight>0</wp14:pctHeight>
            </wp14:sizeRelV>
          </wp:anchor>
        </w:drawing>
      </w:r>
      <w:r w:rsidR="004E54B5" w:rsidRPr="00E836FB">
        <w:rPr>
          <w:lang w:val="en-US"/>
        </w:rPr>
        <w:t xml:space="preserve">Figure 1: Impact </w:t>
      </w:r>
      <w:r w:rsidR="004E54B5">
        <w:rPr>
          <w:lang w:val="en-US"/>
        </w:rPr>
        <w:t>p</w:t>
      </w:r>
      <w:r w:rsidR="004E54B5" w:rsidRPr="00E836FB">
        <w:rPr>
          <w:lang w:val="en-US"/>
        </w:rPr>
        <w:t>athway to increase housing security for older Tasmanians</w:t>
      </w:r>
      <w:r w:rsidR="004E54B5" w:rsidRPr="00E836FB">
        <w:rPr>
          <w:noProof/>
          <w:lang w:val="en-US"/>
        </w:rPr>
        <w:t xml:space="preserve"> </w:t>
      </w:r>
      <w:r w:rsidR="004E54B5">
        <w:rPr>
          <w:lang w:val="en-US"/>
        </w:rPr>
        <w:br w:type="page"/>
      </w:r>
    </w:p>
    <w:p w:rsidR="00A079D2" w:rsidRPr="00E836FB" w:rsidRDefault="00A079D2" w:rsidP="00456860">
      <w:pPr>
        <w:pStyle w:val="Heading2"/>
        <w:numPr>
          <w:ilvl w:val="0"/>
          <w:numId w:val="7"/>
        </w:numPr>
      </w:pPr>
      <w:bookmarkStart w:id="16" w:name="_Toc166757725"/>
      <w:bookmarkStart w:id="17" w:name="_Hlk165448868"/>
      <w:bookmarkStart w:id="18" w:name="_Hlk165540600"/>
      <w:r w:rsidRPr="00E836FB">
        <w:lastRenderedPageBreak/>
        <w:t>Ensur</w:t>
      </w:r>
      <w:r>
        <w:t>ing</w:t>
      </w:r>
      <w:r w:rsidRPr="00E836FB">
        <w:t xml:space="preserve"> the </w:t>
      </w:r>
      <w:r>
        <w:t>s</w:t>
      </w:r>
      <w:r w:rsidRPr="00E836FB">
        <w:t>tate’s housing supply meets the current and projected needs of older Tasmanians</w:t>
      </w:r>
      <w:bookmarkEnd w:id="16"/>
    </w:p>
    <w:bookmarkEnd w:id="17"/>
    <w:p w:rsidR="00A079D2" w:rsidRPr="00E836FB" w:rsidRDefault="00A079D2" w:rsidP="00456860">
      <w:r w:rsidRPr="00E836FB">
        <w:t>Underlying the issues identified in this study is a decline in housing affordability and home ownership which has coincided with and exacerbated a deficit in the supply of affordable and appropriate long</w:t>
      </w:r>
      <w:r w:rsidRPr="00E836FB">
        <w:noBreakHyphen/>
        <w:t xml:space="preserve">term rental properties relative to demand. </w:t>
      </w:r>
    </w:p>
    <w:p w:rsidR="00A079D2" w:rsidRPr="00E836FB" w:rsidRDefault="00A079D2" w:rsidP="00456860">
      <w:r w:rsidRPr="00E836FB">
        <w:t xml:space="preserve">The primary purpose of housing is to provide a home for each Tasmanian that supports their wellbeing and participation in the community. </w:t>
      </w:r>
      <w:r>
        <w:t>Governments have a responsibility to intervene directly to ensure that this happens when the private market fails to provide affordable and appropriate housing for all Tasmanians.</w:t>
      </w:r>
    </w:p>
    <w:p w:rsidR="00A079D2" w:rsidRPr="00E836FB" w:rsidRDefault="00A079D2" w:rsidP="00456860">
      <w:r w:rsidRPr="00E836FB">
        <w:t>In particular, there is a need to rebalance supply and demand in the long-term rental market to reduce upward pressure on rents and the turnover of leases</w:t>
      </w:r>
      <w:r>
        <w:t>, and also increase social and affordable housing to address failure of supply by the private rental market.</w:t>
      </w:r>
    </w:p>
    <w:p w:rsidR="00A079D2" w:rsidRPr="00E70FF4" w:rsidRDefault="00A079D2" w:rsidP="00456860">
      <w:pPr>
        <w:pStyle w:val="BodyText"/>
        <w:shd w:val="clear" w:color="auto" w:fill="F2F2F2" w:themeFill="background1" w:themeFillShade="F2"/>
        <w:ind w:left="360"/>
        <w:rPr>
          <w:rStyle w:val="IntenseEmphasis"/>
        </w:rPr>
      </w:pPr>
      <w:r w:rsidRPr="00E70FF4">
        <w:rPr>
          <w:rStyle w:val="IntenseEmphasis"/>
        </w:rPr>
        <w:t>1.1 Providing enough social and affordable housing</w:t>
      </w:r>
    </w:p>
    <w:p w:rsidR="00A079D2" w:rsidRPr="00973DE2" w:rsidRDefault="00A079D2" w:rsidP="00456860">
      <w:pPr>
        <w:shd w:val="clear" w:color="auto" w:fill="F2F2F2" w:themeFill="background1" w:themeFillShade="F2"/>
        <w:spacing w:line="259" w:lineRule="auto"/>
        <w:ind w:left="360"/>
        <w:rPr>
          <w:color w:val="FFFFFF" w:themeColor="background1"/>
          <w:lang w:val="en-US"/>
        </w:rPr>
      </w:pPr>
      <w:r w:rsidRPr="00E836FB">
        <w:rPr>
          <w:lang w:val="en-US"/>
        </w:rPr>
        <w:t xml:space="preserve">Tasmanian </w:t>
      </w:r>
      <w:r>
        <w:rPr>
          <w:lang w:val="en-US"/>
        </w:rPr>
        <w:t xml:space="preserve">and Australian </w:t>
      </w:r>
      <w:r w:rsidRPr="00E836FB">
        <w:rPr>
          <w:lang w:val="en-US"/>
        </w:rPr>
        <w:t>Government</w:t>
      </w:r>
      <w:r>
        <w:rPr>
          <w:lang w:val="en-US"/>
        </w:rPr>
        <w:t>s</w:t>
      </w:r>
      <w:r w:rsidRPr="00E836FB">
        <w:rPr>
          <w:lang w:val="en-US"/>
        </w:rPr>
        <w:t xml:space="preserve"> </w:t>
      </w:r>
      <w:r>
        <w:rPr>
          <w:lang w:val="en-US"/>
        </w:rPr>
        <w:t>work proactively to ensure that</w:t>
      </w:r>
      <w:r w:rsidRPr="00E836FB">
        <w:rPr>
          <w:lang w:val="en-US"/>
        </w:rPr>
        <w:t xml:space="preserve"> </w:t>
      </w:r>
      <w:r>
        <w:rPr>
          <w:lang w:val="en-US"/>
        </w:rPr>
        <w:t xml:space="preserve">the supply of social and </w:t>
      </w:r>
      <w:r w:rsidRPr="00E836FB">
        <w:rPr>
          <w:lang w:val="en-US"/>
        </w:rPr>
        <w:t xml:space="preserve">affordable </w:t>
      </w:r>
      <w:r>
        <w:rPr>
          <w:lang w:val="en-US"/>
        </w:rPr>
        <w:t xml:space="preserve">housing for older Tasmanians meets demand </w:t>
      </w:r>
      <w:r w:rsidRPr="00E836FB">
        <w:rPr>
          <w:lang w:val="en-US"/>
        </w:rPr>
        <w:t xml:space="preserve">based </w:t>
      </w:r>
      <w:r>
        <w:rPr>
          <w:lang w:val="en-US"/>
        </w:rPr>
        <w:t xml:space="preserve">on current and projected population, </w:t>
      </w:r>
      <w:r w:rsidRPr="00E836FB">
        <w:rPr>
          <w:lang w:val="en-US"/>
        </w:rPr>
        <w:t>home ownership</w:t>
      </w:r>
      <w:r>
        <w:rPr>
          <w:lang w:val="en-US"/>
        </w:rPr>
        <w:t xml:space="preserve"> rates</w:t>
      </w:r>
      <w:r w:rsidRPr="00E836FB">
        <w:rPr>
          <w:lang w:val="en-US"/>
        </w:rPr>
        <w:t xml:space="preserve"> and income</w:t>
      </w:r>
      <w:r>
        <w:rPr>
          <w:lang w:val="en-US"/>
        </w:rPr>
        <w:t>s of older Tasmanians</w:t>
      </w:r>
      <w:r w:rsidRPr="00E836FB">
        <w:rPr>
          <w:lang w:val="en-US"/>
        </w:rPr>
        <w:t xml:space="preserve">. </w:t>
      </w:r>
    </w:p>
    <w:p w:rsidR="00A079D2" w:rsidRDefault="00A079D2" w:rsidP="00456860">
      <w:bookmarkStart w:id="19" w:name="_Hlk165448900"/>
      <w:r>
        <w:t>This research shows some of the diversity of housing needs among older Tasmanians. A diversity of accommodation options is needed to address current and future affordable housing needs.</w:t>
      </w:r>
    </w:p>
    <w:p w:rsidR="00A079D2" w:rsidRPr="00E70FF4" w:rsidRDefault="00A079D2" w:rsidP="00456860">
      <w:pPr>
        <w:shd w:val="clear" w:color="auto" w:fill="F2F2F2" w:themeFill="background1" w:themeFillShade="F2"/>
        <w:ind w:left="360"/>
        <w:rPr>
          <w:rStyle w:val="IntenseEmphasis"/>
          <w:rFonts w:eastAsia="AvenirNext LT Pro Bold" w:cs="AvenirNext LT Pro Bold"/>
          <w:sz w:val="24"/>
          <w:szCs w:val="24"/>
          <w:lang w:val="en-GB"/>
        </w:rPr>
      </w:pPr>
      <w:r w:rsidRPr="00E70FF4">
        <w:rPr>
          <w:rStyle w:val="IntenseEmphasis"/>
          <w:rFonts w:eastAsia="AvenirNext LT Pro Bold" w:cs="AvenirNext LT Pro Bold"/>
          <w:sz w:val="24"/>
          <w:szCs w:val="24"/>
          <w:lang w:val="en-GB"/>
        </w:rPr>
        <w:t>1.2 Innovating to enable alternative affordable housing models</w:t>
      </w:r>
    </w:p>
    <w:p w:rsidR="00A079D2" w:rsidRDefault="00A079D2" w:rsidP="00456860">
      <w:pPr>
        <w:shd w:val="clear" w:color="auto" w:fill="F2F2F2" w:themeFill="background1" w:themeFillShade="F2"/>
        <w:ind w:left="360"/>
      </w:pPr>
      <w:r>
        <w:t>The Tasmanian Government p</w:t>
      </w:r>
      <w:r w:rsidRPr="00A151C2">
        <w:t>romote</w:t>
      </w:r>
      <w:r>
        <w:t>s and supports the development of</w:t>
      </w:r>
      <w:r w:rsidRPr="00A151C2">
        <w:t xml:space="preserve"> alternative affordable housing models such as cooperative housing</w:t>
      </w:r>
      <w:r>
        <w:t>, co-housing</w:t>
      </w:r>
      <w:r w:rsidRPr="00A151C2">
        <w:t xml:space="preserve"> </w:t>
      </w:r>
      <w:r>
        <w:t>and</w:t>
      </w:r>
      <w:r w:rsidRPr="00A151C2">
        <w:t xml:space="preserve"> co-ownership models.</w:t>
      </w:r>
    </w:p>
    <w:p w:rsidR="00A079D2" w:rsidRPr="00093685" w:rsidRDefault="00A079D2" w:rsidP="00456860">
      <w:pPr>
        <w:shd w:val="clear" w:color="auto" w:fill="FFFFFF" w:themeFill="background1"/>
        <w:ind w:left="360"/>
      </w:pPr>
    </w:p>
    <w:p w:rsidR="00A079D2" w:rsidRPr="00E836FB" w:rsidRDefault="00A079D2" w:rsidP="00456860">
      <w:pPr>
        <w:pStyle w:val="Heading2"/>
        <w:numPr>
          <w:ilvl w:val="0"/>
          <w:numId w:val="7"/>
        </w:numPr>
      </w:pPr>
      <w:bookmarkStart w:id="20" w:name="_Toc166757726"/>
      <w:r w:rsidRPr="00E836FB">
        <w:t>Provid</w:t>
      </w:r>
      <w:r>
        <w:t>ing</w:t>
      </w:r>
      <w:r w:rsidRPr="00E836FB">
        <w:t xml:space="preserve"> appropriate homes and supports for people to age in place in their community</w:t>
      </w:r>
      <w:r>
        <w:t xml:space="preserve"> and reducing </w:t>
      </w:r>
      <w:r w:rsidRPr="00E836FB">
        <w:t>the necessity for older people to move</w:t>
      </w:r>
      <w:bookmarkEnd w:id="20"/>
    </w:p>
    <w:bookmarkEnd w:id="19"/>
    <w:p w:rsidR="00A079D2" w:rsidRDefault="00A079D2" w:rsidP="00456860">
      <w:r>
        <w:t>This research adds new qualitative and quantitative evidence of the need to facilitate ageing in place in Tasmania.</w:t>
      </w:r>
    </w:p>
    <w:p w:rsidR="00A079D2" w:rsidRPr="00E836FB" w:rsidRDefault="00A079D2" w:rsidP="00456860">
      <w:r w:rsidRPr="00E836FB">
        <w:t xml:space="preserve">The Tasmanian Housing Action Plan’s intention to build additional social housing suitable for older people and improve accessibility </w:t>
      </w:r>
      <w:r>
        <w:t>is</w:t>
      </w:r>
      <w:r w:rsidRPr="00E836FB">
        <w:t xml:space="preserve"> welcome. Retrofitting of existing homes would also support people to age in place and reduce their need to move to accommodation outside their known community.</w:t>
      </w:r>
    </w:p>
    <w:p w:rsidR="00A079D2" w:rsidRPr="00E70FF4" w:rsidRDefault="00A079D2" w:rsidP="00456860">
      <w:pPr>
        <w:pStyle w:val="BodyText"/>
        <w:shd w:val="clear" w:color="auto" w:fill="F2F2F2" w:themeFill="background1" w:themeFillShade="F2"/>
        <w:ind w:left="360"/>
        <w:rPr>
          <w:rStyle w:val="IntenseEmphasis"/>
        </w:rPr>
      </w:pPr>
      <w:r w:rsidRPr="00E70FF4">
        <w:rPr>
          <w:rStyle w:val="IntenseEmphasis"/>
        </w:rPr>
        <w:t>2.1 Accelerating retrofitting of homes</w:t>
      </w:r>
    </w:p>
    <w:p w:rsidR="00A079D2" w:rsidRDefault="00A079D2" w:rsidP="00456860">
      <w:pPr>
        <w:shd w:val="clear" w:color="auto" w:fill="F2F2F2" w:themeFill="background1" w:themeFillShade="F2"/>
        <w:spacing w:line="259" w:lineRule="auto"/>
        <w:ind w:left="360"/>
      </w:pPr>
      <w:r>
        <w:t>Tasmanian and Australian Governments implement policies and programs to</w:t>
      </w:r>
      <w:r w:rsidRPr="00E836FB">
        <w:t xml:space="preserve"> accelerat</w:t>
      </w:r>
      <w:r>
        <w:t xml:space="preserve">e </w:t>
      </w:r>
      <w:r w:rsidRPr="00E836FB">
        <w:t>retrofitting of existing houses, including incentives for landlords to upgrade properties let in the long-term residential rental market</w:t>
      </w:r>
      <w:r>
        <w:t>, ensuring that any subsidised costs are not passed on</w:t>
      </w:r>
      <w:r w:rsidR="00D524EF">
        <w:t xml:space="preserve"> </w:t>
      </w:r>
      <w:r>
        <w:t>to tenants.</w:t>
      </w:r>
    </w:p>
    <w:p w:rsidR="00A079D2" w:rsidRPr="00E836FB" w:rsidRDefault="00A079D2" w:rsidP="00456860">
      <w:r w:rsidRPr="00E836FB">
        <w:lastRenderedPageBreak/>
        <w:t>Ageing in place also requires that community and health support services are accessible where people are located. To create age-friendly communities, the World Health Organi</w:t>
      </w:r>
      <w:r w:rsidR="00735FA3">
        <w:t>z</w:t>
      </w:r>
      <w:r w:rsidRPr="00E836FB">
        <w:t xml:space="preserve">ation (WHO) has developed a framework recommending actions across eight domains: </w:t>
      </w:r>
    </w:p>
    <w:p w:rsidR="00A079D2" w:rsidRPr="00E836FB" w:rsidRDefault="00A079D2" w:rsidP="00456860">
      <w:pPr>
        <w:numPr>
          <w:ilvl w:val="0"/>
          <w:numId w:val="19"/>
        </w:numPr>
        <w:shd w:val="clear" w:color="auto" w:fill="FFFFFF"/>
        <w:spacing w:after="0" w:line="240" w:lineRule="auto"/>
      </w:pPr>
      <w:r w:rsidRPr="00E836FB">
        <w:t>Housing</w:t>
      </w:r>
    </w:p>
    <w:p w:rsidR="00A079D2" w:rsidRPr="00E836FB" w:rsidRDefault="00A079D2" w:rsidP="00456860">
      <w:pPr>
        <w:numPr>
          <w:ilvl w:val="0"/>
          <w:numId w:val="19"/>
        </w:numPr>
        <w:shd w:val="clear" w:color="auto" w:fill="FFFFFF"/>
        <w:spacing w:after="0" w:line="240" w:lineRule="auto"/>
      </w:pPr>
      <w:r w:rsidRPr="00E836FB">
        <w:t>Transportation</w:t>
      </w:r>
    </w:p>
    <w:p w:rsidR="00A079D2" w:rsidRPr="00E836FB" w:rsidRDefault="00A079D2" w:rsidP="00456860">
      <w:pPr>
        <w:numPr>
          <w:ilvl w:val="0"/>
          <w:numId w:val="19"/>
        </w:numPr>
        <w:shd w:val="clear" w:color="auto" w:fill="FFFFFF"/>
        <w:spacing w:before="100" w:beforeAutospacing="1" w:after="100" w:afterAutospacing="1" w:line="240" w:lineRule="auto"/>
      </w:pPr>
      <w:r w:rsidRPr="00E836FB">
        <w:t>Outdoor spaces and buildings</w:t>
      </w:r>
    </w:p>
    <w:p w:rsidR="00A079D2" w:rsidRPr="00E836FB" w:rsidRDefault="00A079D2" w:rsidP="00456860">
      <w:pPr>
        <w:numPr>
          <w:ilvl w:val="0"/>
          <w:numId w:val="19"/>
        </w:numPr>
        <w:shd w:val="clear" w:color="auto" w:fill="FFFFFF"/>
        <w:spacing w:before="100" w:beforeAutospacing="1" w:after="100" w:afterAutospacing="1" w:line="240" w:lineRule="auto"/>
      </w:pPr>
      <w:r w:rsidRPr="00E836FB">
        <w:t>Community support and health services</w:t>
      </w:r>
    </w:p>
    <w:p w:rsidR="00A079D2" w:rsidRPr="00E836FB" w:rsidRDefault="00A079D2" w:rsidP="00456860">
      <w:pPr>
        <w:numPr>
          <w:ilvl w:val="0"/>
          <w:numId w:val="19"/>
        </w:numPr>
        <w:shd w:val="clear" w:color="auto" w:fill="FFFFFF"/>
        <w:spacing w:before="100" w:beforeAutospacing="1" w:after="100" w:afterAutospacing="1" w:line="240" w:lineRule="auto"/>
      </w:pPr>
      <w:r w:rsidRPr="00E836FB">
        <w:t>Communication and information</w:t>
      </w:r>
    </w:p>
    <w:p w:rsidR="00A079D2" w:rsidRPr="00E836FB" w:rsidRDefault="00A079D2" w:rsidP="00456860">
      <w:pPr>
        <w:numPr>
          <w:ilvl w:val="0"/>
          <w:numId w:val="19"/>
        </w:numPr>
        <w:shd w:val="clear" w:color="auto" w:fill="FFFFFF"/>
        <w:spacing w:before="100" w:beforeAutospacing="1" w:after="100" w:afterAutospacing="1" w:line="240" w:lineRule="auto"/>
      </w:pPr>
      <w:r w:rsidRPr="00E836FB">
        <w:t>Social participation</w:t>
      </w:r>
    </w:p>
    <w:p w:rsidR="00A079D2" w:rsidRPr="00E836FB" w:rsidRDefault="00A079D2" w:rsidP="00456860">
      <w:pPr>
        <w:numPr>
          <w:ilvl w:val="0"/>
          <w:numId w:val="19"/>
        </w:numPr>
        <w:shd w:val="clear" w:color="auto" w:fill="FFFFFF"/>
        <w:spacing w:before="100" w:beforeAutospacing="1" w:after="100" w:afterAutospacing="1" w:line="240" w:lineRule="auto"/>
      </w:pPr>
      <w:r w:rsidRPr="00E836FB">
        <w:t>Respect and social inclusion</w:t>
      </w:r>
    </w:p>
    <w:p w:rsidR="00A079D2" w:rsidRPr="00FC36F2" w:rsidRDefault="00A079D2" w:rsidP="00456860">
      <w:pPr>
        <w:numPr>
          <w:ilvl w:val="0"/>
          <w:numId w:val="19"/>
        </w:numPr>
        <w:shd w:val="clear" w:color="auto" w:fill="FFFFFF"/>
        <w:spacing w:before="100" w:beforeAutospacing="1" w:after="100" w:afterAutospacing="1" w:line="240" w:lineRule="auto"/>
      </w:pPr>
      <w:r w:rsidRPr="00E836FB">
        <w:t>Civil participation and employment</w:t>
      </w:r>
    </w:p>
    <w:p w:rsidR="00A079D2" w:rsidRDefault="00A079D2" w:rsidP="00456860">
      <w:r>
        <w:t xml:space="preserve">Implementing </w:t>
      </w:r>
      <w:r w:rsidRPr="00E836FB">
        <w:t>COTA</w:t>
      </w:r>
      <w:r>
        <w:t xml:space="preserve">’s long-standing recommendation that </w:t>
      </w:r>
      <w:r w:rsidRPr="00E836FB">
        <w:t>the Tasmanian Government sign up to the WHO Age-Friendly Cities and Communities Network</w:t>
      </w:r>
      <w:r>
        <w:t xml:space="preserve"> would benefit Tasmanians of all ages and reduce long-term costs of providing services.</w:t>
      </w:r>
    </w:p>
    <w:p w:rsidR="00A079D2" w:rsidRPr="00E70FF4" w:rsidRDefault="00A079D2" w:rsidP="00456860">
      <w:pPr>
        <w:pStyle w:val="BodyText"/>
        <w:shd w:val="clear" w:color="auto" w:fill="F2F2F2" w:themeFill="background1" w:themeFillShade="F2"/>
        <w:ind w:left="360"/>
        <w:rPr>
          <w:rStyle w:val="IntenseEmphasis"/>
        </w:rPr>
      </w:pPr>
      <w:r w:rsidRPr="00E70FF4">
        <w:rPr>
          <w:rStyle w:val="IntenseEmphasis"/>
        </w:rPr>
        <w:t>2.2 Appointing a Tasmanian Minister for Ageing</w:t>
      </w:r>
    </w:p>
    <w:p w:rsidR="00A079D2" w:rsidRPr="00E836FB" w:rsidRDefault="00A079D2" w:rsidP="00456860">
      <w:pPr>
        <w:shd w:val="clear" w:color="auto" w:fill="F2F2F2" w:themeFill="background1" w:themeFillShade="F2"/>
        <w:spacing w:line="259" w:lineRule="auto"/>
        <w:ind w:left="360"/>
      </w:pPr>
      <w:r w:rsidRPr="00E836FB">
        <w:t>The Tasmanian Government appoints a Minister for Ageing, whose responsibilities include delivery of outcomes across the eight domains of WHO Age-</w:t>
      </w:r>
      <w:r w:rsidR="004E54B5">
        <w:t>F</w:t>
      </w:r>
      <w:r w:rsidRPr="00E836FB">
        <w:t>riendly Cities and Communities Framework.</w:t>
      </w:r>
    </w:p>
    <w:p w:rsidR="00A079D2" w:rsidRDefault="00A079D2" w:rsidP="00456860">
      <w:pPr>
        <w:shd w:val="clear" w:color="auto" w:fill="FFFFFF"/>
        <w:spacing w:before="100" w:beforeAutospacing="1" w:after="100" w:afterAutospacing="1" w:line="240" w:lineRule="auto"/>
        <w:ind w:left="360"/>
      </w:pPr>
    </w:p>
    <w:p w:rsidR="00A079D2" w:rsidRPr="00E836FB" w:rsidRDefault="00A079D2" w:rsidP="00456860">
      <w:pPr>
        <w:pStyle w:val="Heading2"/>
        <w:numPr>
          <w:ilvl w:val="0"/>
          <w:numId w:val="7"/>
        </w:numPr>
        <w:spacing w:before="360"/>
        <w:ind w:left="357" w:hanging="357"/>
      </w:pPr>
      <w:bookmarkStart w:id="21" w:name="_Toc165546168"/>
      <w:bookmarkStart w:id="22" w:name="_Toc165548876"/>
      <w:bookmarkStart w:id="23" w:name="_Toc165543068"/>
      <w:bookmarkStart w:id="24" w:name="_Toc165543405"/>
      <w:bookmarkStart w:id="25" w:name="_Toc165543476"/>
      <w:bookmarkStart w:id="26" w:name="_Toc165544017"/>
      <w:bookmarkStart w:id="27" w:name="_Toc165546170"/>
      <w:bookmarkStart w:id="28" w:name="_Toc165548878"/>
      <w:bookmarkStart w:id="29" w:name="_Toc166757727"/>
      <w:bookmarkEnd w:id="21"/>
      <w:bookmarkEnd w:id="22"/>
      <w:bookmarkEnd w:id="23"/>
      <w:bookmarkEnd w:id="24"/>
      <w:bookmarkEnd w:id="25"/>
      <w:bookmarkEnd w:id="26"/>
      <w:bookmarkEnd w:id="27"/>
      <w:bookmarkEnd w:id="28"/>
      <w:r>
        <w:t>Increasing</w:t>
      </w:r>
      <w:r w:rsidRPr="00E836FB">
        <w:t xml:space="preserve"> the housing security of older renters</w:t>
      </w:r>
      <w:bookmarkEnd w:id="29"/>
      <w:r w:rsidRPr="00E836FB">
        <w:t xml:space="preserve"> </w:t>
      </w:r>
    </w:p>
    <w:p w:rsidR="00A079D2" w:rsidRPr="00E836FB" w:rsidRDefault="00A079D2" w:rsidP="00456860">
      <w:pPr>
        <w:rPr>
          <w:lang w:val="en-US"/>
        </w:rPr>
      </w:pPr>
      <w:r w:rsidRPr="00E836FB">
        <w:rPr>
          <w:lang w:val="en-US"/>
        </w:rPr>
        <w:t>The</w:t>
      </w:r>
      <w:r>
        <w:rPr>
          <w:lang w:val="en-US"/>
        </w:rPr>
        <w:t xml:space="preserve"> findings of this project clearly show that renting in the private market is inherently insecure with participants experiencing </w:t>
      </w:r>
      <w:r>
        <w:t>forced moves, poor housing quality and uncertainty about security of tenure</w:t>
      </w:r>
      <w:r>
        <w:rPr>
          <w:lang w:val="en-US"/>
        </w:rPr>
        <w:t>.</w:t>
      </w:r>
      <w:r w:rsidRPr="00E836FB">
        <w:rPr>
          <w:lang w:val="en-US"/>
        </w:rPr>
        <w:t xml:space="preserve"> </w:t>
      </w:r>
      <w:r>
        <w:rPr>
          <w:lang w:val="en-US"/>
        </w:rPr>
        <w:t xml:space="preserve">The research also shows that for older renters, the housing insecurity experienced as tenants is particularly detrimental to their health and wellbeing. </w:t>
      </w:r>
      <w:r w:rsidRPr="00E836FB">
        <w:rPr>
          <w:lang w:val="en-US"/>
        </w:rPr>
        <w:t>The Tasmanian Housing Strategy acknowledges the ‘growing trend of lifelong renting’</w:t>
      </w:r>
      <w:r>
        <w:rPr>
          <w:lang w:val="en-US"/>
        </w:rPr>
        <w:t xml:space="preserve"> </w:t>
      </w:r>
      <w:r>
        <w:rPr>
          <w:noProof/>
          <w:lang w:val="en-US"/>
        </w:rPr>
        <w:t>(Homes Tasmania 2023a)</w:t>
      </w:r>
      <w:r w:rsidRPr="00E836FB">
        <w:rPr>
          <w:lang w:val="en-US"/>
        </w:rPr>
        <w:t>. Stable, long-term tenancies in the residential rental market should be facilitated by fit for purpose legislation that strengthens renters’ rights.</w:t>
      </w:r>
    </w:p>
    <w:p w:rsidR="00A079D2" w:rsidRPr="00E70FF4" w:rsidRDefault="00A079D2" w:rsidP="00456860">
      <w:pPr>
        <w:pStyle w:val="BodyText"/>
        <w:shd w:val="clear" w:color="auto" w:fill="F2F2F2" w:themeFill="background1" w:themeFillShade="F2"/>
        <w:ind w:left="360"/>
        <w:rPr>
          <w:rStyle w:val="IntenseEmphasis"/>
        </w:rPr>
      </w:pPr>
      <w:r w:rsidRPr="00E70FF4">
        <w:rPr>
          <w:rStyle w:val="IntenseEmphasis"/>
        </w:rPr>
        <w:t>3.1 Amending the Residential Tenancy Act to better protect renters</w:t>
      </w:r>
    </w:p>
    <w:p w:rsidR="00A079D2" w:rsidRDefault="00A079D2" w:rsidP="00456860">
      <w:pPr>
        <w:shd w:val="clear" w:color="auto" w:fill="F2F2F2" w:themeFill="background1" w:themeFillShade="F2"/>
        <w:spacing w:line="259" w:lineRule="auto"/>
        <w:ind w:left="360"/>
        <w:rPr>
          <w:lang w:val="en-US"/>
        </w:rPr>
      </w:pPr>
      <w:r>
        <w:rPr>
          <w:lang w:val="en-US"/>
        </w:rPr>
        <w:t>The Tasmanian Government brings forward</w:t>
      </w:r>
      <w:r w:rsidRPr="00E836FB">
        <w:rPr>
          <w:lang w:val="en-US"/>
        </w:rPr>
        <w:t xml:space="preserve"> the review of the </w:t>
      </w:r>
      <w:r w:rsidRPr="00973DE2">
        <w:rPr>
          <w:i/>
          <w:lang w:val="en-US"/>
        </w:rPr>
        <w:t>Residential Tenancy Act</w:t>
      </w:r>
      <w:r w:rsidRPr="00E836FB">
        <w:rPr>
          <w:lang w:val="en-US"/>
        </w:rPr>
        <w:t xml:space="preserve"> to provide minimum quality standards, rent stability, greater security of tenure and create an independent intermediary between landlords or their agents and tenants or potential tenants.</w:t>
      </w:r>
    </w:p>
    <w:p w:rsidR="00A079D2" w:rsidRPr="00E836FB" w:rsidRDefault="00A079D2" w:rsidP="00456860">
      <w:r w:rsidRPr="0045263D">
        <w:t>The Tasmanian Tenants</w:t>
      </w:r>
      <w:r w:rsidR="00735FA3">
        <w:t>’</w:t>
      </w:r>
      <w:r w:rsidRPr="0045263D">
        <w:t xml:space="preserve"> Union advocates on behalf of tenants and their call for additional funding to meet the needs of the growing number of renters must be implemented if appropriate supports are to be provided for older renters </w:t>
      </w:r>
      <w:r w:rsidRPr="0045263D">
        <w:rPr>
          <w:noProof/>
        </w:rPr>
        <w:t>(Tenants' Union of Tasmania 2023)</w:t>
      </w:r>
      <w:r w:rsidRPr="0045263D">
        <w:t>.</w:t>
      </w:r>
    </w:p>
    <w:p w:rsidR="00A079D2" w:rsidRPr="00E70FF4" w:rsidRDefault="00A079D2" w:rsidP="00456860">
      <w:pPr>
        <w:pStyle w:val="BodyText"/>
        <w:shd w:val="clear" w:color="auto" w:fill="F2F2F2" w:themeFill="background1" w:themeFillShade="F2"/>
        <w:ind w:left="360"/>
        <w:rPr>
          <w:rStyle w:val="IntenseEmphasis"/>
        </w:rPr>
      </w:pPr>
      <w:r w:rsidRPr="00E70FF4">
        <w:rPr>
          <w:rStyle w:val="IntenseEmphasis"/>
        </w:rPr>
        <w:t>3.2 Expanding support provided to renters by the Tasmanian Tenants</w:t>
      </w:r>
      <w:r w:rsidR="00735FA3">
        <w:rPr>
          <w:rStyle w:val="IntenseEmphasis"/>
        </w:rPr>
        <w:t>’</w:t>
      </w:r>
      <w:r w:rsidRPr="00E70FF4">
        <w:rPr>
          <w:rStyle w:val="IntenseEmphasis"/>
        </w:rPr>
        <w:t xml:space="preserve"> Union</w:t>
      </w:r>
    </w:p>
    <w:p w:rsidR="00A079D2" w:rsidRDefault="00A079D2" w:rsidP="00456860">
      <w:pPr>
        <w:pStyle w:val="CommentText"/>
        <w:shd w:val="clear" w:color="auto" w:fill="F2F2F2" w:themeFill="background1" w:themeFillShade="F2"/>
        <w:ind w:left="360"/>
        <w:rPr>
          <w:sz w:val="22"/>
          <w:szCs w:val="22"/>
        </w:rPr>
      </w:pPr>
      <w:r w:rsidRPr="00E836FB">
        <w:rPr>
          <w:sz w:val="22"/>
          <w:szCs w:val="22"/>
        </w:rPr>
        <w:t>The Tasmanian Government funds the Tenants</w:t>
      </w:r>
      <w:r w:rsidR="00735FA3">
        <w:rPr>
          <w:sz w:val="22"/>
          <w:szCs w:val="22"/>
        </w:rPr>
        <w:t>’</w:t>
      </w:r>
      <w:r w:rsidRPr="00E836FB">
        <w:rPr>
          <w:sz w:val="22"/>
          <w:szCs w:val="22"/>
        </w:rPr>
        <w:t xml:space="preserve"> Union of Tasmania to employ an additional solicitor to provide services in the </w:t>
      </w:r>
      <w:r>
        <w:rPr>
          <w:sz w:val="22"/>
          <w:szCs w:val="22"/>
        </w:rPr>
        <w:t>N</w:t>
      </w:r>
      <w:r w:rsidRPr="00E836FB">
        <w:rPr>
          <w:sz w:val="22"/>
          <w:szCs w:val="22"/>
        </w:rPr>
        <w:t xml:space="preserve">orth and </w:t>
      </w:r>
      <w:r>
        <w:rPr>
          <w:sz w:val="22"/>
          <w:szCs w:val="22"/>
        </w:rPr>
        <w:t>N</w:t>
      </w:r>
      <w:r w:rsidRPr="00E836FB">
        <w:rPr>
          <w:sz w:val="22"/>
          <w:szCs w:val="22"/>
        </w:rPr>
        <w:t xml:space="preserve">orth </w:t>
      </w:r>
      <w:r>
        <w:rPr>
          <w:sz w:val="22"/>
          <w:szCs w:val="22"/>
        </w:rPr>
        <w:t>W</w:t>
      </w:r>
      <w:r w:rsidRPr="00E836FB">
        <w:rPr>
          <w:sz w:val="22"/>
          <w:szCs w:val="22"/>
        </w:rPr>
        <w:t>est.</w:t>
      </w:r>
    </w:p>
    <w:p w:rsidR="00A079D2" w:rsidRPr="00E836FB" w:rsidRDefault="00A079D2" w:rsidP="00456860">
      <w:pPr>
        <w:pStyle w:val="Heading2"/>
        <w:numPr>
          <w:ilvl w:val="0"/>
          <w:numId w:val="7"/>
        </w:numPr>
      </w:pPr>
      <w:bookmarkStart w:id="30" w:name="_Toc165546172"/>
      <w:bookmarkStart w:id="31" w:name="_Toc165548880"/>
      <w:bookmarkStart w:id="32" w:name="_Toc166757728"/>
      <w:bookmarkEnd w:id="30"/>
      <w:bookmarkEnd w:id="31"/>
      <w:r w:rsidRPr="00E836FB">
        <w:lastRenderedPageBreak/>
        <w:t>Improv</w:t>
      </w:r>
      <w:r>
        <w:t>ing</w:t>
      </w:r>
      <w:r w:rsidRPr="00E836FB">
        <w:t xml:space="preserve"> housing security and equity for groups at higher risk</w:t>
      </w:r>
      <w:bookmarkEnd w:id="32"/>
    </w:p>
    <w:p w:rsidR="00A079D2" w:rsidRDefault="00A079D2" w:rsidP="00456860">
      <w:pPr>
        <w:rPr>
          <w:i/>
        </w:rPr>
      </w:pPr>
      <w:r>
        <w:t>The full range of actions</w:t>
      </w:r>
      <w:r w:rsidRPr="00E836FB">
        <w:t xml:space="preserve"> </w:t>
      </w:r>
      <w:r>
        <w:t>needed</w:t>
      </w:r>
      <w:r w:rsidRPr="00E836FB">
        <w:t xml:space="preserve"> to address the </w:t>
      </w:r>
      <w:r>
        <w:t xml:space="preserve">underlying </w:t>
      </w:r>
      <w:r w:rsidRPr="00E836FB">
        <w:t>social determinants of lifelong housing insecurity are beyond the scope of this paper</w:t>
      </w:r>
      <w:r>
        <w:t xml:space="preserve">. These </w:t>
      </w:r>
      <w:r w:rsidRPr="00E836FB">
        <w:t xml:space="preserve">include actions to improve mental health, </w:t>
      </w:r>
      <w:r>
        <w:t xml:space="preserve">address systemic sources of disadvantage, increase parenting support, prevent childhood trauma and abuse, </w:t>
      </w:r>
      <w:r w:rsidRPr="00E836FB">
        <w:t xml:space="preserve">and implement the recommendations in SARC’s research report </w:t>
      </w:r>
      <w:r w:rsidRPr="00E836FB">
        <w:rPr>
          <w:i/>
        </w:rPr>
        <w:t>Young, in love and in danger.</w:t>
      </w:r>
    </w:p>
    <w:p w:rsidR="00A079D2" w:rsidRPr="00093685" w:rsidRDefault="00A079D2" w:rsidP="00456860">
      <w:r>
        <w:t>However, this research identified particular groups of older Tasmanians at higher risk of housing insecurity and recommends actions to improve their housing security</w:t>
      </w:r>
    </w:p>
    <w:p w:rsidR="00A079D2" w:rsidRPr="00A151C2" w:rsidRDefault="00A079D2" w:rsidP="00456860">
      <w:pPr>
        <w:pStyle w:val="Heading3"/>
      </w:pPr>
      <w:bookmarkStart w:id="33" w:name="_Toc166757729"/>
      <w:r w:rsidRPr="00215859">
        <w:t>Aboriginal</w:t>
      </w:r>
      <w:r w:rsidRPr="00A151C2">
        <w:t xml:space="preserve"> Tasmanians</w:t>
      </w:r>
      <w:bookmarkEnd w:id="33"/>
    </w:p>
    <w:p w:rsidR="00A079D2" w:rsidRPr="00E836FB" w:rsidRDefault="00A079D2" w:rsidP="00456860">
      <w:r w:rsidRPr="00E836FB">
        <w:t>The Tasmanian Aboriginal Housing Strategy, due for release in December 2025</w:t>
      </w:r>
      <w:r>
        <w:t>,</w:t>
      </w:r>
      <w:r w:rsidRPr="00E836FB">
        <w:t xml:space="preserve"> is eagerly anticipated. However, a commitment to allocate a </w:t>
      </w:r>
      <w:r>
        <w:t xml:space="preserve">specific </w:t>
      </w:r>
      <w:r w:rsidRPr="00E836FB">
        <w:t>share of social housing to Aboriginal Tasmanians</w:t>
      </w:r>
      <w:r>
        <w:t>, as a minimum,</w:t>
      </w:r>
      <w:r w:rsidRPr="00E836FB">
        <w:t xml:space="preserve"> should not wait until then. </w:t>
      </w:r>
    </w:p>
    <w:p w:rsidR="00A079D2" w:rsidRPr="00E70FF4" w:rsidRDefault="00A079D2" w:rsidP="00456860">
      <w:pPr>
        <w:pStyle w:val="BodyText"/>
        <w:shd w:val="clear" w:color="auto" w:fill="F2F2F2" w:themeFill="background1" w:themeFillShade="F2"/>
        <w:ind w:left="360"/>
        <w:rPr>
          <w:rFonts w:ascii="Avenir Next LT Pro" w:hAnsi="Avenir Next LT Pro"/>
        </w:rPr>
      </w:pPr>
      <w:r w:rsidRPr="00E70FF4">
        <w:rPr>
          <w:rStyle w:val="IntenseEmphasis"/>
        </w:rPr>
        <w:t>4.1 Allocating a fair share of social housing to Aboriginal Tasmanians</w:t>
      </w:r>
    </w:p>
    <w:p w:rsidR="00A079D2" w:rsidRDefault="00A079D2" w:rsidP="00456860">
      <w:pPr>
        <w:shd w:val="clear" w:color="auto" w:fill="F2F2F2" w:themeFill="background1" w:themeFillShade="F2"/>
        <w:ind w:left="360"/>
      </w:pPr>
      <w:r w:rsidRPr="00A151C2">
        <w:t xml:space="preserve">The Tasmanian Government commits to allocating a percentage of social housing to Aboriginal Tasmanians </w:t>
      </w:r>
      <w:r>
        <w:t>that addresses their relative risk of housing insecurity</w:t>
      </w:r>
      <w:r w:rsidRPr="00A151C2">
        <w:t xml:space="preserve"> and, by default, is no less than the proportion of Aboriginal Tasmanians in the state population.</w:t>
      </w:r>
    </w:p>
    <w:p w:rsidR="00A079D2" w:rsidRPr="00E836FB" w:rsidRDefault="00A079D2" w:rsidP="00456860">
      <w:r w:rsidRPr="00E836FB">
        <w:t xml:space="preserve">The age at which Aboriginal </w:t>
      </w:r>
      <w:r>
        <w:t>people</w:t>
      </w:r>
      <w:r w:rsidRPr="00E836FB">
        <w:t xml:space="preserve"> are eligible for benefits provided to aged persons should be </w:t>
      </w:r>
      <w:r>
        <w:t>adjusted</w:t>
      </w:r>
      <w:r w:rsidRPr="00E836FB">
        <w:t xml:space="preserve"> to allow for differences in life expectancy.</w:t>
      </w:r>
      <w:r>
        <w:t xml:space="preserve"> </w:t>
      </w:r>
      <w:r w:rsidRPr="00E836FB">
        <w:t xml:space="preserve"> </w:t>
      </w:r>
    </w:p>
    <w:p w:rsidR="00A079D2" w:rsidRPr="00E70FF4" w:rsidRDefault="00A079D2" w:rsidP="00456860">
      <w:pPr>
        <w:pStyle w:val="BodyText"/>
        <w:shd w:val="clear" w:color="auto" w:fill="F2F2F2" w:themeFill="background1" w:themeFillShade="F2"/>
        <w:ind w:left="360"/>
        <w:rPr>
          <w:rStyle w:val="IntenseEmphasis"/>
        </w:rPr>
      </w:pPr>
      <w:r w:rsidRPr="00E70FF4">
        <w:rPr>
          <w:rStyle w:val="IntenseEmphasis"/>
        </w:rPr>
        <w:t>4.2 Lowering the pension age for Aboriginal Tasmanians</w:t>
      </w:r>
    </w:p>
    <w:p w:rsidR="00A079D2" w:rsidRDefault="00A079D2" w:rsidP="00456860">
      <w:pPr>
        <w:shd w:val="clear" w:color="auto" w:fill="F2F2F2" w:themeFill="background1" w:themeFillShade="F2"/>
        <w:spacing w:line="259" w:lineRule="auto"/>
        <w:ind w:left="360"/>
      </w:pPr>
      <w:r w:rsidRPr="00E836FB">
        <w:t>The Australian Government lowers Age Pension eligibility for Aboriginal and Torres Strait Islander</w:t>
      </w:r>
      <w:r w:rsidR="00735FA3">
        <w:t xml:space="preserve"> people</w:t>
      </w:r>
      <w:r w:rsidRPr="00E836FB">
        <w:t xml:space="preserve"> to align with eligibility for Commonwealth-funded aged care.</w:t>
      </w:r>
    </w:p>
    <w:p w:rsidR="00A079D2" w:rsidRPr="00E836FB" w:rsidRDefault="00A079D2" w:rsidP="00456860">
      <w:pPr>
        <w:pStyle w:val="Heading3"/>
      </w:pPr>
      <w:bookmarkStart w:id="34" w:name="_Toc166757730"/>
      <w:r w:rsidRPr="00215859">
        <w:t>Women</w:t>
      </w:r>
      <w:r>
        <w:t>, s</w:t>
      </w:r>
      <w:r w:rsidRPr="00E836FB">
        <w:t>ingle people and relationship breakdown</w:t>
      </w:r>
      <w:bookmarkEnd w:id="34"/>
    </w:p>
    <w:p w:rsidR="00A079D2" w:rsidRDefault="00A079D2" w:rsidP="00456860">
      <w:r w:rsidRPr="00E836FB">
        <w:t xml:space="preserve">Single people are at greater risk of housing insecurity due to the increased cost of housing for people living on their own. </w:t>
      </w:r>
    </w:p>
    <w:p w:rsidR="00A079D2" w:rsidRDefault="00A079D2" w:rsidP="00456860">
      <w:r>
        <w:t xml:space="preserve">Older women are unfairly at greater risk of housing insecurity, having on average lower superannuation balances than men </w:t>
      </w:r>
      <w:r>
        <w:rPr>
          <w:noProof/>
        </w:rPr>
        <w:t>(Clare 2023)</w:t>
      </w:r>
      <w:r>
        <w:t xml:space="preserve">. Reasons for this include the gender pay gap and superannuation not being accrued while undertaking unpaid parenting and caring responsibilities. </w:t>
      </w:r>
    </w:p>
    <w:p w:rsidR="00A079D2" w:rsidRDefault="00A079D2" w:rsidP="00456860">
      <w:r>
        <w:t xml:space="preserve">In the immediate term, </w:t>
      </w:r>
      <w:r w:rsidRPr="009E2A57">
        <w:t xml:space="preserve">older women experiencing housing insecurity </w:t>
      </w:r>
      <w:r>
        <w:t xml:space="preserve">need additional support. </w:t>
      </w:r>
    </w:p>
    <w:p w:rsidR="00A079D2" w:rsidRPr="00E70FF4" w:rsidRDefault="00A079D2" w:rsidP="00456860">
      <w:pPr>
        <w:pStyle w:val="CommentText"/>
        <w:shd w:val="clear" w:color="auto" w:fill="F2F2F2" w:themeFill="background1" w:themeFillShade="F2"/>
        <w:ind w:left="360"/>
        <w:rPr>
          <w:rStyle w:val="IntenseEmphasis"/>
        </w:rPr>
      </w:pPr>
      <w:r w:rsidRPr="00E70FF4">
        <w:rPr>
          <w:rStyle w:val="IntenseEmphasis"/>
        </w:rPr>
        <w:t>4.</w:t>
      </w:r>
      <w:r w:rsidR="004E54B5">
        <w:rPr>
          <w:rStyle w:val="IntenseEmphasis"/>
        </w:rPr>
        <w:t>3</w:t>
      </w:r>
      <w:r w:rsidRPr="00E70FF4">
        <w:rPr>
          <w:rStyle w:val="IntenseEmphasis"/>
        </w:rPr>
        <w:t xml:space="preserve"> Providing specific supports for older women</w:t>
      </w:r>
    </w:p>
    <w:p w:rsidR="00A079D2" w:rsidRDefault="00A079D2" w:rsidP="00456860">
      <w:pPr>
        <w:shd w:val="clear" w:color="auto" w:fill="F2F2F2" w:themeFill="background1" w:themeFillShade="F2"/>
        <w:ind w:left="360"/>
      </w:pPr>
      <w:r w:rsidRPr="00601872">
        <w:t xml:space="preserve">Provide additional </w:t>
      </w:r>
      <w:r>
        <w:t xml:space="preserve">housing </w:t>
      </w:r>
      <w:r w:rsidRPr="00601872">
        <w:t>support</w:t>
      </w:r>
      <w:r>
        <w:t xml:space="preserve"> services</w:t>
      </w:r>
      <w:r w:rsidRPr="00601872">
        <w:t xml:space="preserve"> for older single women and prioritise this group for housing</w:t>
      </w:r>
      <w:r>
        <w:t>.</w:t>
      </w:r>
    </w:p>
    <w:p w:rsidR="00A079D2" w:rsidRPr="00E836FB" w:rsidRDefault="00A079D2" w:rsidP="00456860">
      <w:r w:rsidRPr="00215859">
        <w:t xml:space="preserve">To address underlying disadvantage, </w:t>
      </w:r>
      <w:r w:rsidRPr="00AD3706">
        <w:t>w</w:t>
      </w:r>
      <w:r w:rsidRPr="00215859">
        <w:t>ork already underway to address Australia’s gender pay gap should be prioritised and fully resourced. This should be complemented by superannuation</w:t>
      </w:r>
      <w:r>
        <w:t xml:space="preserve"> reforms</w:t>
      </w:r>
      <w:r w:rsidRPr="00215859">
        <w:t xml:space="preserve"> </w:t>
      </w:r>
      <w:r w:rsidRPr="00AD3706">
        <w:t xml:space="preserve">to </w:t>
      </w:r>
      <w:r w:rsidRPr="00215859">
        <w:t xml:space="preserve">ensure that tax concessions are </w:t>
      </w:r>
      <w:r w:rsidRPr="00AD3706">
        <w:t xml:space="preserve">better </w:t>
      </w:r>
      <w:r w:rsidRPr="00215859">
        <w:t>targeted to improve</w:t>
      </w:r>
      <w:r w:rsidRPr="00AD3706">
        <w:t xml:space="preserve"> </w:t>
      </w:r>
      <w:r w:rsidRPr="00AD3706">
        <w:lastRenderedPageBreak/>
        <w:t>gender</w:t>
      </w:r>
      <w:r w:rsidRPr="00215859">
        <w:t xml:space="preserve"> equity and boost retirement incomes for low income earners</w:t>
      </w:r>
      <w:r>
        <w:t xml:space="preserve"> </w:t>
      </w:r>
      <w:r>
        <w:rPr>
          <w:noProof/>
        </w:rPr>
        <w:t>(Senate Economics Reference Committee 2016; Coates &amp; Moloney 2023)</w:t>
      </w:r>
      <w:r>
        <w:t>.</w:t>
      </w:r>
    </w:p>
    <w:p w:rsidR="00A079D2" w:rsidRPr="00E70FF4" w:rsidRDefault="00A079D2" w:rsidP="00456860">
      <w:pPr>
        <w:pStyle w:val="BodyText"/>
        <w:shd w:val="clear" w:color="auto" w:fill="F2F2F2" w:themeFill="background1" w:themeFillShade="F2"/>
        <w:ind w:left="360"/>
        <w:rPr>
          <w:rStyle w:val="IntenseEmphasis"/>
        </w:rPr>
      </w:pPr>
      <w:r w:rsidRPr="00E70FF4">
        <w:rPr>
          <w:rStyle w:val="IntenseEmphasis"/>
        </w:rPr>
        <w:t>4.</w:t>
      </w:r>
      <w:r w:rsidR="004E54B5">
        <w:rPr>
          <w:rStyle w:val="IntenseEmphasis"/>
        </w:rPr>
        <w:t>4</w:t>
      </w:r>
      <w:r w:rsidRPr="00E70FF4">
        <w:rPr>
          <w:rStyle w:val="IntenseEmphasis"/>
        </w:rPr>
        <w:t xml:space="preserve"> Making superannuation fairer</w:t>
      </w:r>
    </w:p>
    <w:p w:rsidR="00A079D2" w:rsidRPr="00E70FF4" w:rsidRDefault="00A079D2" w:rsidP="00456860">
      <w:pPr>
        <w:pStyle w:val="BodyText"/>
        <w:shd w:val="clear" w:color="auto" w:fill="F2F2F2" w:themeFill="background1" w:themeFillShade="F2"/>
        <w:ind w:left="360"/>
        <w:rPr>
          <w:rFonts w:ascii="Avenir Next LT Pro" w:eastAsiaTheme="minorHAnsi" w:hAnsi="Avenir Next LT Pro" w:cstheme="minorBidi"/>
          <w:color w:val="auto"/>
          <w:sz w:val="22"/>
          <w:szCs w:val="22"/>
          <w:lang w:val="en-AU"/>
        </w:rPr>
      </w:pPr>
      <w:r w:rsidRPr="00E70FF4">
        <w:rPr>
          <w:rFonts w:ascii="Avenir Next LT Pro" w:eastAsiaTheme="minorHAnsi" w:hAnsi="Avenir Next LT Pro" w:cstheme="minorBidi"/>
          <w:color w:val="auto"/>
          <w:sz w:val="22"/>
          <w:szCs w:val="22"/>
          <w:lang w:val="en-AU"/>
        </w:rPr>
        <w:t>The Australian Government implements recommendations to re-target superannuation tax concessions to ensure that they are more equitably distributed and assist people with lower superannuation balances to achieve a more financially secure retirement.</w:t>
      </w:r>
    </w:p>
    <w:p w:rsidR="00A079D2" w:rsidRPr="00061683" w:rsidRDefault="00A079D2" w:rsidP="00456860">
      <w:r w:rsidRPr="00061683">
        <w:t>Targeted increases in Commonwealth Rent Assistance will ensure that incomes are boosted for those most at risk of housing insecurity</w:t>
      </w:r>
      <w:r>
        <w:t>, including older women</w:t>
      </w:r>
      <w:r w:rsidRPr="00061683">
        <w:t>.</w:t>
      </w:r>
    </w:p>
    <w:p w:rsidR="00A079D2" w:rsidRPr="00E70FF4" w:rsidRDefault="00A079D2" w:rsidP="00456860">
      <w:pPr>
        <w:pStyle w:val="CommentText"/>
        <w:shd w:val="clear" w:color="auto" w:fill="F2F2F2" w:themeFill="background1" w:themeFillShade="F2"/>
        <w:ind w:left="360"/>
        <w:rPr>
          <w:rStyle w:val="IntenseEmphasis"/>
          <w:rFonts w:eastAsia="AvenirNext LT Pro Bold" w:cs="AvenirNext LT Pro Bold"/>
          <w:sz w:val="24"/>
          <w:szCs w:val="24"/>
          <w:lang w:val="en-GB"/>
        </w:rPr>
      </w:pPr>
      <w:r w:rsidRPr="00E70FF4">
        <w:rPr>
          <w:rStyle w:val="IntenseEmphasis"/>
          <w:rFonts w:eastAsia="AvenirNext LT Pro Bold" w:cs="AvenirNext LT Pro Bold"/>
          <w:sz w:val="24"/>
          <w:szCs w:val="24"/>
          <w:lang w:val="en-GB"/>
        </w:rPr>
        <w:t xml:space="preserve">4.5 </w:t>
      </w:r>
      <w:r w:rsidRPr="00E70FF4">
        <w:rPr>
          <w:rStyle w:val="IntenseEmphasis"/>
        </w:rPr>
        <w:t>Delivering</w:t>
      </w:r>
      <w:r w:rsidRPr="00E70FF4">
        <w:rPr>
          <w:rStyle w:val="IntenseEmphasis"/>
          <w:rFonts w:eastAsia="AvenirNext LT Pro Bold" w:cs="AvenirNext LT Pro Bold"/>
          <w:sz w:val="24"/>
          <w:szCs w:val="24"/>
          <w:lang w:val="en-GB"/>
        </w:rPr>
        <w:t xml:space="preserve"> targeted increases to Commonwealth Rental Assistance</w:t>
      </w:r>
    </w:p>
    <w:p w:rsidR="00A079D2" w:rsidRDefault="00A079D2" w:rsidP="00456860">
      <w:pPr>
        <w:pStyle w:val="CommentText"/>
        <w:shd w:val="clear" w:color="auto" w:fill="F2F2F2" w:themeFill="background1" w:themeFillShade="F2"/>
        <w:ind w:left="360"/>
        <w:rPr>
          <w:sz w:val="22"/>
          <w:szCs w:val="22"/>
        </w:rPr>
      </w:pPr>
      <w:r>
        <w:rPr>
          <w:sz w:val="22"/>
          <w:szCs w:val="22"/>
        </w:rPr>
        <w:t>T</w:t>
      </w:r>
      <w:r w:rsidRPr="00E836FB">
        <w:rPr>
          <w:sz w:val="22"/>
          <w:szCs w:val="22"/>
        </w:rPr>
        <w:t>he Australian Government increases Commonwealth Rental Assistance</w:t>
      </w:r>
      <w:r>
        <w:rPr>
          <w:sz w:val="22"/>
          <w:szCs w:val="22"/>
        </w:rPr>
        <w:t xml:space="preserve"> (CRA)</w:t>
      </w:r>
      <w:r w:rsidRPr="00E836FB">
        <w:rPr>
          <w:sz w:val="22"/>
          <w:szCs w:val="22"/>
        </w:rPr>
        <w:t xml:space="preserve"> for</w:t>
      </w:r>
      <w:r>
        <w:rPr>
          <w:sz w:val="22"/>
          <w:szCs w:val="22"/>
        </w:rPr>
        <w:t xml:space="preserve"> single people and for people receiving the Age Pension who do not own their own home, in addition to non-targeted indexation of CRA to median rents.</w:t>
      </w:r>
    </w:p>
    <w:p w:rsidR="00A079D2" w:rsidRPr="00A151C2" w:rsidRDefault="00A079D2" w:rsidP="00456860">
      <w:r w:rsidRPr="00A151C2">
        <w:t xml:space="preserve">This research </w:t>
      </w:r>
      <w:r>
        <w:t>reveals that unfair</w:t>
      </w:r>
      <w:r w:rsidRPr="009E2A57">
        <w:t xml:space="preserve"> property settlement</w:t>
      </w:r>
      <w:r w:rsidRPr="00A151C2">
        <w:t>s</w:t>
      </w:r>
      <w:r w:rsidRPr="009E2A57">
        <w:t xml:space="preserve"> following a relationship breakdown</w:t>
      </w:r>
      <w:r w:rsidRPr="00A151C2">
        <w:t xml:space="preserve"> ha</w:t>
      </w:r>
      <w:r w:rsidR="00735FA3">
        <w:t>ve</w:t>
      </w:r>
      <w:r w:rsidRPr="00A151C2">
        <w:t xml:space="preserve"> resulted women experiencing</w:t>
      </w:r>
      <w:r w:rsidRPr="009E2A57">
        <w:t xml:space="preserve"> additional disadvantage. Providing legal aid to vulnerable people during family law mediation has shown promise for delivering fairer property settlements</w:t>
      </w:r>
      <w:r>
        <w:t>.</w:t>
      </w:r>
    </w:p>
    <w:p w:rsidR="00A079D2" w:rsidRPr="00E70FF4" w:rsidRDefault="00A079D2" w:rsidP="00456860">
      <w:pPr>
        <w:pStyle w:val="BodyText"/>
        <w:shd w:val="clear" w:color="auto" w:fill="F2F2F2" w:themeFill="background1" w:themeFillShade="F2"/>
        <w:ind w:left="360"/>
        <w:rPr>
          <w:rStyle w:val="IntenseEmphasis"/>
        </w:rPr>
      </w:pPr>
      <w:r w:rsidRPr="00E70FF4">
        <w:rPr>
          <w:rStyle w:val="IntenseEmphasis"/>
        </w:rPr>
        <w:t>4.5 Facilitating fairer property settlements under family law</w:t>
      </w:r>
    </w:p>
    <w:p w:rsidR="00A079D2" w:rsidRDefault="00A079D2" w:rsidP="00456860">
      <w:pPr>
        <w:pStyle w:val="CommentText"/>
        <w:shd w:val="clear" w:color="auto" w:fill="F2F2F2" w:themeFill="background1" w:themeFillShade="F2"/>
        <w:ind w:left="360"/>
        <w:rPr>
          <w:sz w:val="22"/>
        </w:rPr>
      </w:pPr>
      <w:r w:rsidRPr="00E836FB">
        <w:rPr>
          <w:sz w:val="22"/>
        </w:rPr>
        <w:t>The Australian Government provides ongoing funding for Lawyer-assisted Family Law Property Mediation delivered through Tasmania Legal Aid.</w:t>
      </w:r>
    </w:p>
    <w:p w:rsidR="00A079D2" w:rsidRPr="00E836FB" w:rsidRDefault="00A079D2" w:rsidP="00456860">
      <w:pPr>
        <w:rPr>
          <w:lang w:val="en-US"/>
        </w:rPr>
      </w:pPr>
      <w:r>
        <w:rPr>
          <w:lang w:val="en-US"/>
        </w:rPr>
        <w:t xml:space="preserve">Recommendations to address the </w:t>
      </w:r>
      <w:r w:rsidRPr="00E836FB">
        <w:rPr>
          <w:lang w:val="en-US"/>
        </w:rPr>
        <w:t>early life factors that predispose people to housing insecurity</w:t>
      </w:r>
      <w:r>
        <w:rPr>
          <w:lang w:val="en-US"/>
        </w:rPr>
        <w:t xml:space="preserve"> are</w:t>
      </w:r>
      <w:r w:rsidRPr="00E836FB">
        <w:rPr>
          <w:lang w:val="en-US"/>
        </w:rPr>
        <w:t xml:space="preserve"> </w:t>
      </w:r>
      <w:r>
        <w:rPr>
          <w:lang w:val="en-US"/>
        </w:rPr>
        <w:t xml:space="preserve">not within the scope of this project, except to note that without addressing these factors, improvements in housing outcomes over the longer term will be limited. </w:t>
      </w:r>
    </w:p>
    <w:p w:rsidR="00A079D2" w:rsidRPr="001905D1" w:rsidRDefault="00A079D2" w:rsidP="00456860">
      <w:r>
        <w:t>E</w:t>
      </w:r>
      <w:r w:rsidRPr="009E2A57">
        <w:t xml:space="preserve">quipping young people to form and maintain </w:t>
      </w:r>
      <w:r w:rsidRPr="00A151C2">
        <w:t>healthy</w:t>
      </w:r>
      <w:r w:rsidRPr="009E2A57">
        <w:t xml:space="preserve"> relationships </w:t>
      </w:r>
      <w:r>
        <w:t>is a feasible action to address housing insecurity as a result of relationship breakdown and work toward achieving gender equity</w:t>
      </w:r>
      <w:r w:rsidRPr="009E2A57">
        <w:t>.</w:t>
      </w:r>
      <w:r w:rsidRPr="00A151C2">
        <w:t xml:space="preserve"> </w:t>
      </w:r>
      <w:r w:rsidRPr="007206EE">
        <w:t>Respectful Relationships Education</w:t>
      </w:r>
      <w:r w:rsidRPr="00A151C2">
        <w:t xml:space="preserve"> </w:t>
      </w:r>
      <w:r>
        <w:t xml:space="preserve">(RRE) is being rolled out </w:t>
      </w:r>
      <w:r w:rsidRPr="00A151C2">
        <w:t xml:space="preserve">in schools </w:t>
      </w:r>
      <w:r>
        <w:t xml:space="preserve">across Australia </w:t>
      </w:r>
      <w:r w:rsidRPr="00A151C2">
        <w:t xml:space="preserve">with states at various stages of implementation. Evaluation </w:t>
      </w:r>
      <w:r>
        <w:t xml:space="preserve">of </w:t>
      </w:r>
      <w:r w:rsidRPr="00A151C2">
        <w:t xml:space="preserve">and research </w:t>
      </w:r>
      <w:r>
        <w:t>into the impact of RRE is</w:t>
      </w:r>
      <w:r w:rsidRPr="00A151C2">
        <w:t xml:space="preserve"> ongoing and findings, such as the importance of school context, should </w:t>
      </w:r>
      <w:r>
        <w:t>shape</w:t>
      </w:r>
      <w:r w:rsidRPr="00A151C2">
        <w:t xml:space="preserve"> implementation.</w:t>
      </w:r>
    </w:p>
    <w:p w:rsidR="00A079D2" w:rsidRDefault="00A079D2" w:rsidP="00456860">
      <w:pPr>
        <w:pStyle w:val="BodyText"/>
        <w:shd w:val="clear" w:color="auto" w:fill="F2F2F2" w:themeFill="background1" w:themeFillShade="F2"/>
        <w:ind w:left="357"/>
        <w:rPr>
          <w:rFonts w:ascii="Avenir Next LT Pro" w:hAnsi="Avenir Next LT Pro"/>
        </w:rPr>
      </w:pPr>
      <w:r w:rsidRPr="00E70FF4">
        <w:rPr>
          <w:rStyle w:val="IntenseEmphasis"/>
          <w:shd w:val="clear" w:color="auto" w:fill="F2F2F2" w:themeFill="background1" w:themeFillShade="F2"/>
        </w:rPr>
        <w:t>4.6 Delivering evidence-based Respectful Relationship Education in Tasmanian schools</w:t>
      </w:r>
    </w:p>
    <w:p w:rsidR="00A079D2" w:rsidRDefault="00A079D2" w:rsidP="00456860">
      <w:pPr>
        <w:pStyle w:val="CommentText"/>
        <w:shd w:val="clear" w:color="auto" w:fill="F2F2F2" w:themeFill="background1" w:themeFillShade="F2"/>
        <w:ind w:left="360"/>
        <w:rPr>
          <w:sz w:val="22"/>
        </w:rPr>
      </w:pPr>
      <w:r w:rsidRPr="00E70FF4">
        <w:rPr>
          <w:sz w:val="22"/>
        </w:rPr>
        <w:t xml:space="preserve">The </w:t>
      </w:r>
      <w:r>
        <w:rPr>
          <w:sz w:val="22"/>
        </w:rPr>
        <w:t>Tasmanian G</w:t>
      </w:r>
      <w:r w:rsidRPr="00E70FF4">
        <w:rPr>
          <w:sz w:val="22"/>
        </w:rPr>
        <w:t>overnment mandates and funds the delivery</w:t>
      </w:r>
      <w:r>
        <w:rPr>
          <w:sz w:val="22"/>
        </w:rPr>
        <w:t xml:space="preserve"> of</w:t>
      </w:r>
      <w:r w:rsidRPr="00E70FF4">
        <w:rPr>
          <w:sz w:val="22"/>
        </w:rPr>
        <w:t xml:space="preserve"> evidence-based Respectful Relationships Education from K-12 in all Tasmanian schools and works with state and federal governments to implement best-practice recommendations.</w:t>
      </w:r>
    </w:p>
    <w:p w:rsidR="00A079D2" w:rsidRPr="00E70FF4" w:rsidRDefault="00A079D2" w:rsidP="00456860"/>
    <w:p w:rsidR="00A079D2" w:rsidRDefault="00A079D2" w:rsidP="00456860">
      <w:pPr>
        <w:pStyle w:val="Heading2"/>
        <w:numPr>
          <w:ilvl w:val="0"/>
          <w:numId w:val="7"/>
        </w:numPr>
      </w:pPr>
      <w:bookmarkStart w:id="35" w:name="_Toc165543073"/>
      <w:bookmarkStart w:id="36" w:name="_Toc165543410"/>
      <w:bookmarkStart w:id="37" w:name="_Toc165543481"/>
      <w:bookmarkStart w:id="38" w:name="_Toc165544022"/>
      <w:bookmarkStart w:id="39" w:name="_Toc165546176"/>
      <w:bookmarkStart w:id="40" w:name="_Toc165548884"/>
      <w:bookmarkStart w:id="41" w:name="_Toc165543074"/>
      <w:bookmarkStart w:id="42" w:name="_Toc165543411"/>
      <w:bookmarkStart w:id="43" w:name="_Toc165543482"/>
      <w:bookmarkStart w:id="44" w:name="_Toc165544023"/>
      <w:bookmarkStart w:id="45" w:name="_Toc165546177"/>
      <w:bookmarkStart w:id="46" w:name="_Toc165548885"/>
      <w:bookmarkStart w:id="47" w:name="_Toc166757731"/>
      <w:bookmarkStart w:id="48" w:name="_Hlk165449193"/>
      <w:bookmarkEnd w:id="35"/>
      <w:bookmarkEnd w:id="36"/>
      <w:bookmarkEnd w:id="37"/>
      <w:bookmarkEnd w:id="38"/>
      <w:bookmarkEnd w:id="39"/>
      <w:bookmarkEnd w:id="40"/>
      <w:bookmarkEnd w:id="41"/>
      <w:bookmarkEnd w:id="42"/>
      <w:bookmarkEnd w:id="43"/>
      <w:bookmarkEnd w:id="44"/>
      <w:bookmarkEnd w:id="45"/>
      <w:bookmarkEnd w:id="46"/>
      <w:r w:rsidRPr="00E836FB">
        <w:t>Provid</w:t>
      </w:r>
      <w:r w:rsidR="00CA6FD4">
        <w:t>ing</w:t>
      </w:r>
      <w:r w:rsidRPr="00E836FB">
        <w:t xml:space="preserve"> specific supports to older Tasmanians navigating the property market or moving house, to reduce the negative impacts on their health and wellbeing.</w:t>
      </w:r>
      <w:bookmarkEnd w:id="47"/>
    </w:p>
    <w:bookmarkEnd w:id="48"/>
    <w:p w:rsidR="00A079D2" w:rsidRPr="00B76F3D" w:rsidRDefault="00A079D2" w:rsidP="00456860">
      <w:r>
        <w:t>Moving house was found to have a negative impact on the health and wellbeing of older Tasmanians. Additional support should be provided to minimise adverse impacts for older people who wish or need to move.</w:t>
      </w:r>
    </w:p>
    <w:p w:rsidR="00A079D2" w:rsidRPr="00C050AF" w:rsidRDefault="00A079D2" w:rsidP="00456860">
      <w:pPr>
        <w:pStyle w:val="BodyText"/>
        <w:shd w:val="clear" w:color="auto" w:fill="F2F2F2" w:themeFill="background1" w:themeFillShade="F2"/>
        <w:ind w:left="360"/>
        <w:rPr>
          <w:rStyle w:val="IntenseEmphasis"/>
        </w:rPr>
      </w:pPr>
      <w:r w:rsidRPr="00C050AF">
        <w:rPr>
          <w:rStyle w:val="IntenseEmphasis"/>
        </w:rPr>
        <w:lastRenderedPageBreak/>
        <w:t xml:space="preserve">5.1 </w:t>
      </w:r>
      <w:r w:rsidRPr="00E70FF4">
        <w:rPr>
          <w:rStyle w:val="IntenseEmphasis"/>
        </w:rPr>
        <w:t>Assisting</w:t>
      </w:r>
      <w:r w:rsidRPr="00C050AF">
        <w:rPr>
          <w:rStyle w:val="IntenseEmphasis"/>
        </w:rPr>
        <w:t xml:space="preserve"> older people with moving</w:t>
      </w:r>
    </w:p>
    <w:p w:rsidR="00A079D2" w:rsidRDefault="00A079D2" w:rsidP="00456860">
      <w:pPr>
        <w:pStyle w:val="CommentText"/>
        <w:shd w:val="clear" w:color="auto" w:fill="F2F2F2" w:themeFill="background1" w:themeFillShade="F2"/>
        <w:ind w:left="360"/>
        <w:rPr>
          <w:sz w:val="22"/>
        </w:rPr>
      </w:pPr>
      <w:r w:rsidRPr="00E836FB">
        <w:rPr>
          <w:sz w:val="22"/>
        </w:rPr>
        <w:t>The Australian Government makes provision in Aged Care and National Disability Insurance Scheme packages for cleaning, packing, removal and re-establishing tenancies</w:t>
      </w:r>
      <w:r>
        <w:rPr>
          <w:sz w:val="22"/>
        </w:rPr>
        <w:t>, and extends eligibility to spouses of people with an Aged Care or NDIS package.</w:t>
      </w:r>
    </w:p>
    <w:p w:rsidR="00A079D2" w:rsidRPr="00C050AF" w:rsidRDefault="00A079D2" w:rsidP="00456860">
      <w:r w:rsidRPr="00C050AF">
        <w:t xml:space="preserve">Many older Tasmanians are experiencing disadvantage engaging with the property market as a result of digitalisation. A range of supports to overcome this exclusion are required and these should be shaped by the needs and preferences of older people. </w:t>
      </w:r>
    </w:p>
    <w:p w:rsidR="00A079D2" w:rsidRPr="00C050AF" w:rsidRDefault="00A079D2" w:rsidP="00456860">
      <w:pPr>
        <w:pStyle w:val="BodyText"/>
        <w:shd w:val="clear" w:color="auto" w:fill="F2F2F2" w:themeFill="background1" w:themeFillShade="F2"/>
        <w:ind w:left="360"/>
        <w:rPr>
          <w:rStyle w:val="IntenseEmphasis"/>
        </w:rPr>
      </w:pPr>
      <w:r w:rsidRPr="00C050AF">
        <w:rPr>
          <w:rStyle w:val="IntenseEmphasis"/>
        </w:rPr>
        <w:t>5.2 Invest</w:t>
      </w:r>
      <w:r w:rsidRPr="00E70FF4">
        <w:rPr>
          <w:rStyle w:val="IntenseEmphasis"/>
        </w:rPr>
        <w:t>ing</w:t>
      </w:r>
      <w:r w:rsidRPr="00C050AF">
        <w:rPr>
          <w:rStyle w:val="IntenseEmphasis"/>
        </w:rPr>
        <w:t xml:space="preserve"> to overcome digital exclusion of older Tasmanians</w:t>
      </w:r>
    </w:p>
    <w:p w:rsidR="00A079D2" w:rsidRDefault="00A079D2" w:rsidP="00456860">
      <w:pPr>
        <w:shd w:val="clear" w:color="auto" w:fill="F2F2F2" w:themeFill="background1" w:themeFillShade="F2"/>
        <w:spacing w:line="259" w:lineRule="auto"/>
        <w:ind w:left="360"/>
      </w:pPr>
      <w:r>
        <w:t>The Tasmanian Government bo</w:t>
      </w:r>
      <w:r w:rsidRPr="00E836FB">
        <w:t>ost</w:t>
      </w:r>
      <w:r>
        <w:t>s</w:t>
      </w:r>
      <w:r w:rsidRPr="00E836FB">
        <w:t xml:space="preserve"> the capacity of frontline housing and community support workers to assist older clients to access online services, including the property market, and invest to build older Tasmanians’ digital skills, confidence and access.</w:t>
      </w:r>
    </w:p>
    <w:p w:rsidR="00A079D2" w:rsidRPr="00E836FB" w:rsidRDefault="00A079D2" w:rsidP="00456860">
      <w:pPr>
        <w:shd w:val="clear" w:color="auto" w:fill="FFFFFF" w:themeFill="background1"/>
        <w:spacing w:line="259" w:lineRule="auto"/>
        <w:ind w:left="360"/>
      </w:pPr>
    </w:p>
    <w:p w:rsidR="00A079D2" w:rsidRDefault="00A079D2" w:rsidP="00456860">
      <w:r>
        <w:br w:type="page"/>
      </w:r>
    </w:p>
    <w:p w:rsidR="00A079D2" w:rsidRPr="007E16CD" w:rsidRDefault="00A079D2" w:rsidP="00456860">
      <w:pPr>
        <w:pStyle w:val="Heading1"/>
      </w:pPr>
      <w:bookmarkStart w:id="49" w:name="_Toc166757732"/>
      <w:bookmarkEnd w:id="18"/>
      <w:r w:rsidRPr="007E16CD">
        <w:lastRenderedPageBreak/>
        <w:t>Summary of recommendations</w:t>
      </w:r>
      <w:bookmarkEnd w:id="49"/>
    </w:p>
    <w:p w:rsidR="00A079D2" w:rsidRPr="00093685" w:rsidRDefault="00A079D2" w:rsidP="00456860">
      <w:pPr>
        <w:pStyle w:val="BodyText"/>
      </w:pPr>
      <w:r>
        <w:t>Anglicare Tasmania recommends</w:t>
      </w:r>
    </w:p>
    <w:tbl>
      <w:tblPr>
        <w:tblStyle w:val="ListTable3-Accent1"/>
        <w:tblW w:w="9209" w:type="dxa"/>
        <w:tblLook w:val="04A0" w:firstRow="1" w:lastRow="0" w:firstColumn="1" w:lastColumn="0" w:noHBand="0" w:noVBand="1"/>
      </w:tblPr>
      <w:tblGrid>
        <w:gridCol w:w="704"/>
        <w:gridCol w:w="8505"/>
      </w:tblGrid>
      <w:tr w:rsidR="00A079D2" w:rsidRPr="00C050AF" w:rsidTr="004568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09" w:type="dxa"/>
            <w:gridSpan w:val="2"/>
            <w:tcBorders>
              <w:bottom w:val="single" w:sz="4" w:space="0" w:color="4472C4" w:themeColor="accent1"/>
            </w:tcBorders>
            <w:shd w:val="clear" w:color="auto" w:fill="4472C4"/>
          </w:tcPr>
          <w:p w:rsidR="00A079D2" w:rsidRPr="00C050AF" w:rsidRDefault="00A079D2" w:rsidP="00456860">
            <w:pPr>
              <w:pStyle w:val="BodyText"/>
              <w:numPr>
                <w:ilvl w:val="0"/>
                <w:numId w:val="13"/>
              </w:numPr>
              <w:rPr>
                <w:b w:val="0"/>
              </w:rPr>
            </w:pPr>
            <w:r w:rsidRPr="00C050AF">
              <w:rPr>
                <w:color w:val="FFFFFF" w:themeColor="background1"/>
                <w:sz w:val="26"/>
              </w:rPr>
              <w:t>Ensuring the state’s housing supply meets the current and projected needs of older Tasmanians</w:t>
            </w:r>
          </w:p>
        </w:tc>
      </w:tr>
      <w:tr w:rsidR="00A079D2" w:rsidRPr="00C050AF" w:rsidTr="00456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left w:val="single" w:sz="4" w:space="0" w:color="4472C4" w:themeColor="accent1"/>
              <w:bottom w:val="nil"/>
            </w:tcBorders>
          </w:tcPr>
          <w:p w:rsidR="00A079D2" w:rsidRPr="00C050AF" w:rsidRDefault="00A079D2" w:rsidP="00456860">
            <w:pPr>
              <w:pStyle w:val="BodyText"/>
              <w:rPr>
                <w:rFonts w:ascii="Avenir Next LT Pro" w:hAnsi="Avenir Next LT Pro"/>
                <w:b w:val="0"/>
              </w:rPr>
            </w:pPr>
          </w:p>
        </w:tc>
        <w:tc>
          <w:tcPr>
            <w:tcW w:w="8505" w:type="dxa"/>
            <w:tcBorders>
              <w:bottom w:val="nil"/>
              <w:right w:val="single" w:sz="4" w:space="0" w:color="4472C4" w:themeColor="accent1"/>
            </w:tcBorders>
          </w:tcPr>
          <w:p w:rsidR="00A079D2" w:rsidRPr="00C050AF" w:rsidRDefault="00A079D2" w:rsidP="00456860">
            <w:pPr>
              <w:pStyle w:val="BodyText"/>
              <w:cnfStyle w:val="000000100000" w:firstRow="0" w:lastRow="0" w:firstColumn="0" w:lastColumn="0" w:oddVBand="0" w:evenVBand="0" w:oddHBand="1" w:evenHBand="0" w:firstRowFirstColumn="0" w:firstRowLastColumn="0" w:lastRowFirstColumn="0" w:lastRowLastColumn="0"/>
              <w:rPr>
                <w:rFonts w:ascii="Avenir Next LT Pro" w:hAnsi="Avenir Next LT Pro"/>
              </w:rPr>
            </w:pPr>
            <w:r w:rsidRPr="00C050AF">
              <w:rPr>
                <w:rStyle w:val="IntenseEmphasis"/>
                <w:i w:val="0"/>
                <w:iCs w:val="0"/>
                <w:color w:val="575F61"/>
              </w:rPr>
              <w:t>1.1 Providing e</w:t>
            </w:r>
            <w:r w:rsidRPr="00C050AF">
              <w:rPr>
                <w:rStyle w:val="IntenseEmphasis"/>
                <w:i w:val="0"/>
                <w:color w:val="575F61"/>
              </w:rPr>
              <w:t xml:space="preserve">nough </w:t>
            </w:r>
            <w:r w:rsidRPr="00C050AF">
              <w:rPr>
                <w:rStyle w:val="IntenseEmphasis"/>
                <w:i w:val="0"/>
                <w:iCs w:val="0"/>
                <w:color w:val="575F61"/>
              </w:rPr>
              <w:t xml:space="preserve">social and affordable housing </w:t>
            </w:r>
          </w:p>
        </w:tc>
      </w:tr>
      <w:tr w:rsidR="00A079D2" w:rsidRPr="00C050AF" w:rsidTr="00456860">
        <w:tc>
          <w:tcPr>
            <w:cnfStyle w:val="001000000000" w:firstRow="0" w:lastRow="0" w:firstColumn="1" w:lastColumn="0" w:oddVBand="0" w:evenVBand="0" w:oddHBand="0" w:evenHBand="0" w:firstRowFirstColumn="0" w:firstRowLastColumn="0" w:lastRowFirstColumn="0" w:lastRowLastColumn="0"/>
            <w:tcW w:w="704" w:type="dxa"/>
            <w:tcBorders>
              <w:top w:val="nil"/>
              <w:bottom w:val="single" w:sz="4" w:space="0" w:color="4472C4" w:themeColor="accent1"/>
            </w:tcBorders>
          </w:tcPr>
          <w:p w:rsidR="00A079D2" w:rsidRPr="00C050AF" w:rsidRDefault="00A079D2" w:rsidP="00456860">
            <w:pPr>
              <w:pStyle w:val="BodyText"/>
              <w:rPr>
                <w:rStyle w:val="IntenseEmphasis"/>
                <w:rFonts w:ascii="Avenir Next" w:hAnsi="Avenir Next"/>
                <w:i w:val="0"/>
                <w:iCs w:val="0"/>
                <w:color w:val="575F61"/>
                <w:sz w:val="24"/>
              </w:rPr>
            </w:pPr>
          </w:p>
        </w:tc>
        <w:tc>
          <w:tcPr>
            <w:tcW w:w="8505" w:type="dxa"/>
            <w:tcBorders>
              <w:top w:val="nil"/>
              <w:bottom w:val="single" w:sz="4" w:space="0" w:color="4472C4" w:themeColor="accent1"/>
            </w:tcBorders>
          </w:tcPr>
          <w:p w:rsidR="00A079D2" w:rsidRPr="00C050AF" w:rsidRDefault="00A079D2" w:rsidP="00456860">
            <w:pPr>
              <w:pStyle w:val="BodyText"/>
              <w:cnfStyle w:val="000000000000" w:firstRow="0" w:lastRow="0" w:firstColumn="0" w:lastColumn="0" w:oddVBand="0" w:evenVBand="0" w:oddHBand="0" w:evenHBand="0" w:firstRowFirstColumn="0" w:firstRowLastColumn="0" w:lastRowFirstColumn="0" w:lastRowLastColumn="0"/>
              <w:rPr>
                <w:rFonts w:ascii="Avenir Next LT Pro" w:hAnsi="Avenir Next LT Pro"/>
              </w:rPr>
            </w:pPr>
            <w:r w:rsidRPr="00C050AF">
              <w:rPr>
                <w:rStyle w:val="IntenseEmphasis"/>
                <w:i w:val="0"/>
                <w:iCs w:val="0"/>
                <w:color w:val="575F61"/>
              </w:rPr>
              <w:t>1.2 Innovating to enable alternative affordable housing models</w:t>
            </w:r>
          </w:p>
        </w:tc>
      </w:tr>
      <w:tr w:rsidR="00A079D2" w:rsidRPr="00C050AF" w:rsidTr="00456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4472C4"/>
          </w:tcPr>
          <w:p w:rsidR="00A079D2" w:rsidRPr="00C050AF" w:rsidRDefault="00A079D2" w:rsidP="00456860">
            <w:pPr>
              <w:pStyle w:val="BodyText"/>
              <w:numPr>
                <w:ilvl w:val="0"/>
                <w:numId w:val="13"/>
              </w:numPr>
              <w:rPr>
                <w:rStyle w:val="IntenseEmphasis"/>
                <w:rFonts w:ascii="Avenir Next" w:hAnsi="Avenir Next"/>
                <w:b w:val="0"/>
                <w:i w:val="0"/>
                <w:iCs w:val="0"/>
                <w:color w:val="2F5496" w:themeColor="accent1" w:themeShade="BF"/>
                <w:sz w:val="24"/>
              </w:rPr>
            </w:pPr>
            <w:r w:rsidRPr="00C050AF">
              <w:rPr>
                <w:color w:val="FFFFFF" w:themeColor="background1"/>
                <w:sz w:val="26"/>
              </w:rPr>
              <w:t>Providing appropriate homes and supports for people to age in place in their community and reducing the necessity for older people to move</w:t>
            </w:r>
          </w:p>
        </w:tc>
      </w:tr>
      <w:tr w:rsidR="00A079D2" w:rsidRPr="00C050AF" w:rsidTr="00456860">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4472C4" w:themeColor="accent1"/>
              <w:left w:val="single" w:sz="4" w:space="0" w:color="4472C4" w:themeColor="accent1"/>
              <w:bottom w:val="nil"/>
            </w:tcBorders>
          </w:tcPr>
          <w:p w:rsidR="00A079D2" w:rsidRPr="00C050AF" w:rsidRDefault="00A079D2" w:rsidP="00456860">
            <w:pPr>
              <w:pStyle w:val="BodyText"/>
              <w:rPr>
                <w:rStyle w:val="IntenseEmphasis"/>
                <w:b w:val="0"/>
                <w:i w:val="0"/>
                <w:iCs w:val="0"/>
              </w:rPr>
            </w:pPr>
          </w:p>
        </w:tc>
        <w:tc>
          <w:tcPr>
            <w:tcW w:w="8505" w:type="dxa"/>
            <w:tcBorders>
              <w:top w:val="single" w:sz="4" w:space="0" w:color="4472C4" w:themeColor="accent1"/>
              <w:left w:val="nil"/>
              <w:bottom w:val="nil"/>
              <w:right w:val="single" w:sz="4" w:space="0" w:color="4472C4" w:themeColor="accent1"/>
            </w:tcBorders>
          </w:tcPr>
          <w:p w:rsidR="00A079D2" w:rsidRPr="00C050AF" w:rsidRDefault="00A079D2" w:rsidP="00456860">
            <w:pPr>
              <w:pStyle w:val="BodyText"/>
              <w:cnfStyle w:val="000000000000" w:firstRow="0" w:lastRow="0" w:firstColumn="0" w:lastColumn="0" w:oddVBand="0" w:evenVBand="0" w:oddHBand="0" w:evenHBand="0" w:firstRowFirstColumn="0" w:firstRowLastColumn="0" w:lastRowFirstColumn="0" w:lastRowLastColumn="0"/>
              <w:rPr>
                <w:rStyle w:val="IntenseEmphasis"/>
                <w:i w:val="0"/>
                <w:iCs w:val="0"/>
              </w:rPr>
            </w:pPr>
            <w:r w:rsidRPr="00C050AF">
              <w:rPr>
                <w:rStyle w:val="IntenseEmphasis"/>
                <w:i w:val="0"/>
                <w:iCs w:val="0"/>
                <w:color w:val="575F61"/>
              </w:rPr>
              <w:t>2.1 Accelerating retrofitting of homes</w:t>
            </w:r>
          </w:p>
        </w:tc>
      </w:tr>
      <w:tr w:rsidR="00A079D2" w:rsidRPr="00C050AF" w:rsidTr="00456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il"/>
              <w:left w:val="single" w:sz="4" w:space="0" w:color="4472C4" w:themeColor="accent1"/>
            </w:tcBorders>
          </w:tcPr>
          <w:p w:rsidR="00A079D2" w:rsidRPr="00C050AF" w:rsidRDefault="00A079D2" w:rsidP="00456860">
            <w:pPr>
              <w:pStyle w:val="BodyText"/>
              <w:rPr>
                <w:rStyle w:val="IntenseEmphasis"/>
                <w:i w:val="0"/>
                <w:iCs w:val="0"/>
              </w:rPr>
            </w:pPr>
          </w:p>
        </w:tc>
        <w:tc>
          <w:tcPr>
            <w:tcW w:w="8505" w:type="dxa"/>
            <w:tcBorders>
              <w:top w:val="nil"/>
              <w:left w:val="nil"/>
              <w:right w:val="single" w:sz="4" w:space="0" w:color="4472C4" w:themeColor="accent1"/>
            </w:tcBorders>
          </w:tcPr>
          <w:p w:rsidR="00A079D2" w:rsidRPr="00C050AF" w:rsidRDefault="00A079D2" w:rsidP="00456860">
            <w:pPr>
              <w:pStyle w:val="BodyText"/>
              <w:cnfStyle w:val="000000100000" w:firstRow="0" w:lastRow="0" w:firstColumn="0" w:lastColumn="0" w:oddVBand="0" w:evenVBand="0" w:oddHBand="1" w:evenHBand="0" w:firstRowFirstColumn="0" w:firstRowLastColumn="0" w:lastRowFirstColumn="0" w:lastRowLastColumn="0"/>
              <w:rPr>
                <w:rStyle w:val="IntenseEmphasis"/>
                <w:i w:val="0"/>
                <w:iCs w:val="0"/>
              </w:rPr>
            </w:pPr>
            <w:r w:rsidRPr="00C050AF">
              <w:rPr>
                <w:rStyle w:val="IntenseEmphasis"/>
                <w:i w:val="0"/>
                <w:iCs w:val="0"/>
                <w:color w:val="575F61"/>
              </w:rPr>
              <w:t>2.2</w:t>
            </w:r>
            <w:r w:rsidRPr="00C050AF">
              <w:rPr>
                <w:rStyle w:val="IntenseEmphasis"/>
                <w:i w:val="0"/>
                <w:iCs w:val="0"/>
              </w:rPr>
              <w:t xml:space="preserve"> </w:t>
            </w:r>
            <w:r w:rsidRPr="00C050AF">
              <w:rPr>
                <w:rStyle w:val="IntenseEmphasis"/>
                <w:i w:val="0"/>
                <w:iCs w:val="0"/>
                <w:color w:val="575F61"/>
              </w:rPr>
              <w:t>Appointing a T</w:t>
            </w:r>
            <w:r w:rsidRPr="00C050AF">
              <w:rPr>
                <w:rStyle w:val="IntenseEmphasis"/>
                <w:i w:val="0"/>
                <w:color w:val="575F61"/>
              </w:rPr>
              <w:t xml:space="preserve">asmanian </w:t>
            </w:r>
            <w:r w:rsidRPr="00C050AF">
              <w:rPr>
                <w:rStyle w:val="IntenseEmphasis"/>
                <w:i w:val="0"/>
                <w:iCs w:val="0"/>
                <w:color w:val="575F61"/>
              </w:rPr>
              <w:t>Minister for Ageing</w:t>
            </w:r>
          </w:p>
        </w:tc>
      </w:tr>
      <w:tr w:rsidR="00A079D2" w:rsidRPr="00C050AF" w:rsidTr="00456860">
        <w:tc>
          <w:tcPr>
            <w:cnfStyle w:val="001000000000" w:firstRow="0" w:lastRow="0" w:firstColumn="1" w:lastColumn="0" w:oddVBand="0" w:evenVBand="0" w:oddHBand="0" w:evenHBand="0" w:firstRowFirstColumn="0" w:firstRowLastColumn="0" w:lastRowFirstColumn="0" w:lastRowLastColumn="0"/>
            <w:tcW w:w="9209" w:type="dxa"/>
            <w:gridSpan w:val="2"/>
            <w:tcBorders>
              <w:top w:val="single" w:sz="4" w:space="0" w:color="4472C4" w:themeColor="accent1"/>
              <w:bottom w:val="single" w:sz="4" w:space="0" w:color="4472C4" w:themeColor="accent1"/>
            </w:tcBorders>
            <w:shd w:val="clear" w:color="auto" w:fill="4472C4"/>
          </w:tcPr>
          <w:p w:rsidR="00A079D2" w:rsidRPr="00C050AF" w:rsidRDefault="00A079D2" w:rsidP="00456860">
            <w:pPr>
              <w:pStyle w:val="BodyText"/>
              <w:numPr>
                <w:ilvl w:val="0"/>
                <w:numId w:val="13"/>
              </w:numPr>
              <w:rPr>
                <w:rStyle w:val="IntenseEmphasis"/>
                <w:rFonts w:ascii="Avenir Next" w:hAnsi="Avenir Next"/>
                <w:b w:val="0"/>
                <w:i w:val="0"/>
                <w:color w:val="FFFFFF" w:themeColor="background1"/>
                <w:sz w:val="26"/>
              </w:rPr>
            </w:pPr>
            <w:r w:rsidRPr="00C050AF">
              <w:rPr>
                <w:color w:val="FFFFFF" w:themeColor="background1"/>
                <w:sz w:val="26"/>
              </w:rPr>
              <w:t>Increasing the housing security of older renters</w:t>
            </w:r>
          </w:p>
        </w:tc>
      </w:tr>
      <w:tr w:rsidR="00A079D2" w:rsidRPr="00C050AF" w:rsidTr="00456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left w:val="single" w:sz="4" w:space="0" w:color="4472C4" w:themeColor="accent1"/>
              <w:bottom w:val="nil"/>
            </w:tcBorders>
          </w:tcPr>
          <w:p w:rsidR="00A079D2" w:rsidRPr="00C050AF" w:rsidRDefault="00A079D2" w:rsidP="00456860">
            <w:pPr>
              <w:pStyle w:val="BodyText"/>
              <w:rPr>
                <w:rStyle w:val="IntenseEmphasis"/>
                <w:b w:val="0"/>
                <w:i w:val="0"/>
                <w:iCs w:val="0"/>
                <w:color w:val="575F61"/>
                <w:sz w:val="24"/>
              </w:rPr>
            </w:pPr>
          </w:p>
        </w:tc>
        <w:tc>
          <w:tcPr>
            <w:tcW w:w="8505" w:type="dxa"/>
            <w:tcBorders>
              <w:left w:val="nil"/>
              <w:bottom w:val="nil"/>
              <w:right w:val="single" w:sz="4" w:space="0" w:color="4472C4" w:themeColor="accent1"/>
            </w:tcBorders>
          </w:tcPr>
          <w:p w:rsidR="00A079D2" w:rsidRPr="00C050AF" w:rsidRDefault="00A079D2" w:rsidP="00456860">
            <w:pPr>
              <w:pStyle w:val="BodyText"/>
              <w:cnfStyle w:val="000000100000" w:firstRow="0" w:lastRow="0" w:firstColumn="0" w:lastColumn="0" w:oddVBand="0" w:evenVBand="0" w:oddHBand="1" w:evenHBand="0" w:firstRowFirstColumn="0" w:firstRowLastColumn="0" w:lastRowFirstColumn="0" w:lastRowLastColumn="0"/>
              <w:rPr>
                <w:rStyle w:val="IntenseEmphasis"/>
                <w:i w:val="0"/>
                <w:iCs w:val="0"/>
              </w:rPr>
            </w:pPr>
            <w:r w:rsidRPr="00C050AF">
              <w:rPr>
                <w:rStyle w:val="IntenseEmphasis"/>
                <w:i w:val="0"/>
                <w:iCs w:val="0"/>
                <w:color w:val="575F61"/>
              </w:rPr>
              <w:t>3.1 Amending the Residential Tenancy Act to better protect renters</w:t>
            </w:r>
          </w:p>
        </w:tc>
      </w:tr>
      <w:tr w:rsidR="00A079D2" w:rsidRPr="00C050AF" w:rsidTr="00456860">
        <w:tc>
          <w:tcPr>
            <w:cnfStyle w:val="001000000000" w:firstRow="0" w:lastRow="0" w:firstColumn="1" w:lastColumn="0" w:oddVBand="0" w:evenVBand="0" w:oddHBand="0" w:evenHBand="0" w:firstRowFirstColumn="0" w:firstRowLastColumn="0" w:lastRowFirstColumn="0" w:lastRowLastColumn="0"/>
            <w:tcW w:w="704" w:type="dxa"/>
            <w:tcBorders>
              <w:top w:val="nil"/>
              <w:left w:val="single" w:sz="4" w:space="0" w:color="4472C4" w:themeColor="accent1"/>
              <w:bottom w:val="single" w:sz="4" w:space="0" w:color="4472C4" w:themeColor="accent1"/>
            </w:tcBorders>
          </w:tcPr>
          <w:p w:rsidR="00A079D2" w:rsidRPr="00C050AF" w:rsidRDefault="00A079D2" w:rsidP="00456860">
            <w:pPr>
              <w:pStyle w:val="BodyText"/>
              <w:rPr>
                <w:rStyle w:val="IntenseEmphasis"/>
                <w:i w:val="0"/>
                <w:iCs w:val="0"/>
              </w:rPr>
            </w:pPr>
          </w:p>
        </w:tc>
        <w:tc>
          <w:tcPr>
            <w:tcW w:w="8505" w:type="dxa"/>
            <w:tcBorders>
              <w:top w:val="nil"/>
              <w:left w:val="nil"/>
              <w:bottom w:val="single" w:sz="4" w:space="0" w:color="4472C4" w:themeColor="accent1"/>
              <w:right w:val="single" w:sz="4" w:space="0" w:color="4472C4" w:themeColor="accent1"/>
            </w:tcBorders>
          </w:tcPr>
          <w:p w:rsidR="00A079D2" w:rsidRPr="00C050AF" w:rsidRDefault="00A079D2" w:rsidP="00456860">
            <w:pPr>
              <w:pStyle w:val="BodyText"/>
              <w:cnfStyle w:val="000000000000" w:firstRow="0" w:lastRow="0" w:firstColumn="0" w:lastColumn="0" w:oddVBand="0" w:evenVBand="0" w:oddHBand="0" w:evenHBand="0" w:firstRowFirstColumn="0" w:firstRowLastColumn="0" w:lastRowFirstColumn="0" w:lastRowLastColumn="0"/>
              <w:rPr>
                <w:rStyle w:val="IntenseEmphasis"/>
                <w:i w:val="0"/>
                <w:iCs w:val="0"/>
              </w:rPr>
            </w:pPr>
            <w:r w:rsidRPr="00C050AF">
              <w:rPr>
                <w:rStyle w:val="IntenseEmphasis"/>
                <w:i w:val="0"/>
                <w:iCs w:val="0"/>
                <w:color w:val="575F61"/>
              </w:rPr>
              <w:t>3.2 Expanding support provided to renters by the Tasmanian Tenants</w:t>
            </w:r>
            <w:r w:rsidR="00735FA3">
              <w:rPr>
                <w:rStyle w:val="IntenseEmphasis"/>
                <w:i w:val="0"/>
                <w:iCs w:val="0"/>
                <w:color w:val="575F61"/>
              </w:rPr>
              <w:t>’</w:t>
            </w:r>
            <w:r w:rsidRPr="00C050AF">
              <w:rPr>
                <w:rStyle w:val="IntenseEmphasis"/>
                <w:i w:val="0"/>
                <w:iCs w:val="0"/>
                <w:color w:val="575F61"/>
              </w:rPr>
              <w:t xml:space="preserve"> Union</w:t>
            </w:r>
          </w:p>
        </w:tc>
      </w:tr>
      <w:tr w:rsidR="00A079D2" w:rsidRPr="00C050AF" w:rsidTr="00456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4472C4"/>
          </w:tcPr>
          <w:p w:rsidR="00A079D2" w:rsidRPr="00C050AF" w:rsidRDefault="00A079D2" w:rsidP="00456860">
            <w:pPr>
              <w:pStyle w:val="BodyText"/>
              <w:numPr>
                <w:ilvl w:val="0"/>
                <w:numId w:val="13"/>
              </w:numPr>
              <w:rPr>
                <w:rStyle w:val="IntenseEmphasis"/>
                <w:rFonts w:ascii="Avenir Next" w:hAnsi="Avenir Next"/>
                <w:b w:val="0"/>
                <w:i w:val="0"/>
                <w:iCs w:val="0"/>
                <w:sz w:val="24"/>
              </w:rPr>
            </w:pPr>
            <w:r w:rsidRPr="00C050AF">
              <w:rPr>
                <w:color w:val="FFFFFF" w:themeColor="background1"/>
                <w:sz w:val="26"/>
                <w:lang w:val="en-AU"/>
              </w:rPr>
              <w:t>Improving housing security and equity for groups at higher risk</w:t>
            </w:r>
          </w:p>
        </w:tc>
      </w:tr>
      <w:tr w:rsidR="00A079D2" w:rsidRPr="00C050AF" w:rsidTr="00456860">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4472C4" w:themeColor="accent1"/>
              <w:left w:val="single" w:sz="4" w:space="0" w:color="4472C4" w:themeColor="accent1"/>
              <w:bottom w:val="nil"/>
            </w:tcBorders>
          </w:tcPr>
          <w:p w:rsidR="00A079D2" w:rsidRPr="00C050AF" w:rsidRDefault="00A079D2" w:rsidP="00456860">
            <w:pPr>
              <w:pStyle w:val="BodyText"/>
              <w:rPr>
                <w:rStyle w:val="IntenseEmphasis"/>
                <w:b w:val="0"/>
                <w:i w:val="0"/>
                <w:iCs w:val="0"/>
                <w:color w:val="575F61"/>
                <w:sz w:val="24"/>
              </w:rPr>
            </w:pPr>
          </w:p>
        </w:tc>
        <w:tc>
          <w:tcPr>
            <w:tcW w:w="8505" w:type="dxa"/>
            <w:tcBorders>
              <w:top w:val="single" w:sz="4" w:space="0" w:color="4472C4" w:themeColor="accent1"/>
              <w:left w:val="nil"/>
              <w:bottom w:val="nil"/>
              <w:right w:val="single" w:sz="4" w:space="0" w:color="4472C4" w:themeColor="accent1"/>
            </w:tcBorders>
          </w:tcPr>
          <w:p w:rsidR="00A079D2" w:rsidRPr="00C050AF" w:rsidRDefault="00A079D2" w:rsidP="00456860">
            <w:pPr>
              <w:pStyle w:val="BodyText"/>
              <w:cnfStyle w:val="000000000000" w:firstRow="0" w:lastRow="0" w:firstColumn="0" w:lastColumn="0" w:oddVBand="0" w:evenVBand="0" w:oddHBand="0" w:evenHBand="0" w:firstRowFirstColumn="0" w:firstRowLastColumn="0" w:lastRowFirstColumn="0" w:lastRowLastColumn="0"/>
              <w:rPr>
                <w:rStyle w:val="IntenseEmphasis"/>
                <w:i w:val="0"/>
                <w:iCs w:val="0"/>
                <w:color w:val="575F61"/>
              </w:rPr>
            </w:pPr>
            <w:r w:rsidRPr="00C050AF">
              <w:rPr>
                <w:rStyle w:val="IntenseEmphasis"/>
                <w:i w:val="0"/>
                <w:iCs w:val="0"/>
                <w:color w:val="575F61"/>
              </w:rPr>
              <w:t>4.1 Allocating a fair share of social housing to Aboriginal Tasmanians</w:t>
            </w:r>
          </w:p>
        </w:tc>
      </w:tr>
      <w:tr w:rsidR="00A079D2" w:rsidRPr="00C050AF" w:rsidTr="00456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il"/>
              <w:left w:val="single" w:sz="4" w:space="0" w:color="4472C4" w:themeColor="accent1"/>
              <w:bottom w:val="nil"/>
            </w:tcBorders>
          </w:tcPr>
          <w:p w:rsidR="00A079D2" w:rsidRPr="00C050AF" w:rsidRDefault="00A079D2" w:rsidP="00456860">
            <w:pPr>
              <w:pStyle w:val="BodyText"/>
              <w:rPr>
                <w:rStyle w:val="IntenseEmphasis"/>
                <w:rFonts w:ascii="Avenir Next" w:hAnsi="Avenir Next"/>
                <w:b w:val="0"/>
                <w:i w:val="0"/>
                <w:iCs w:val="0"/>
                <w:color w:val="auto"/>
                <w:sz w:val="24"/>
              </w:rPr>
            </w:pPr>
          </w:p>
        </w:tc>
        <w:tc>
          <w:tcPr>
            <w:tcW w:w="8505" w:type="dxa"/>
            <w:tcBorders>
              <w:top w:val="nil"/>
              <w:left w:val="nil"/>
              <w:bottom w:val="nil"/>
              <w:right w:val="single" w:sz="4" w:space="0" w:color="4472C4" w:themeColor="accent1"/>
            </w:tcBorders>
          </w:tcPr>
          <w:p w:rsidR="00A079D2" w:rsidRPr="00C050AF" w:rsidRDefault="00A079D2" w:rsidP="00456860">
            <w:pPr>
              <w:pStyle w:val="BodyText"/>
              <w:cnfStyle w:val="000000100000" w:firstRow="0" w:lastRow="0" w:firstColumn="0" w:lastColumn="0" w:oddVBand="0" w:evenVBand="0" w:oddHBand="1" w:evenHBand="0" w:firstRowFirstColumn="0" w:firstRowLastColumn="0" w:lastRowFirstColumn="0" w:lastRowLastColumn="0"/>
              <w:rPr>
                <w:rStyle w:val="IntenseEmphasis"/>
                <w:i w:val="0"/>
                <w:iCs w:val="0"/>
                <w:color w:val="575F61"/>
              </w:rPr>
            </w:pPr>
            <w:r w:rsidRPr="00C050AF">
              <w:rPr>
                <w:rStyle w:val="IntenseEmphasis"/>
                <w:i w:val="0"/>
                <w:iCs w:val="0"/>
                <w:color w:val="575F61"/>
              </w:rPr>
              <w:t>4.2 Lowering the pension age for Aboriginal Tasmanians</w:t>
            </w:r>
          </w:p>
        </w:tc>
      </w:tr>
      <w:tr w:rsidR="00A079D2" w:rsidRPr="00C050AF" w:rsidTr="00456860">
        <w:tc>
          <w:tcPr>
            <w:cnfStyle w:val="001000000000" w:firstRow="0" w:lastRow="0" w:firstColumn="1" w:lastColumn="0" w:oddVBand="0" w:evenVBand="0" w:oddHBand="0" w:evenHBand="0" w:firstRowFirstColumn="0" w:firstRowLastColumn="0" w:lastRowFirstColumn="0" w:lastRowLastColumn="0"/>
            <w:tcW w:w="704" w:type="dxa"/>
            <w:tcBorders>
              <w:top w:val="nil"/>
              <w:left w:val="single" w:sz="4" w:space="0" w:color="4472C4" w:themeColor="accent1"/>
              <w:bottom w:val="nil"/>
            </w:tcBorders>
          </w:tcPr>
          <w:p w:rsidR="00A079D2" w:rsidRPr="00C050AF" w:rsidRDefault="00A079D2" w:rsidP="00456860">
            <w:pPr>
              <w:pStyle w:val="BodyText"/>
              <w:rPr>
                <w:rStyle w:val="IntenseEmphasis"/>
                <w:rFonts w:ascii="Avenir Next" w:hAnsi="Avenir Next"/>
                <w:b w:val="0"/>
                <w:i w:val="0"/>
                <w:iCs w:val="0"/>
                <w:color w:val="auto"/>
                <w:sz w:val="24"/>
              </w:rPr>
            </w:pPr>
          </w:p>
        </w:tc>
        <w:tc>
          <w:tcPr>
            <w:tcW w:w="8505" w:type="dxa"/>
            <w:tcBorders>
              <w:top w:val="nil"/>
              <w:left w:val="nil"/>
              <w:bottom w:val="nil"/>
              <w:right w:val="single" w:sz="4" w:space="0" w:color="4472C4" w:themeColor="accent1"/>
            </w:tcBorders>
          </w:tcPr>
          <w:p w:rsidR="00A079D2" w:rsidRPr="00C050AF" w:rsidRDefault="00A079D2" w:rsidP="00456860">
            <w:pPr>
              <w:pStyle w:val="BodyText"/>
              <w:cnfStyle w:val="000000000000" w:firstRow="0" w:lastRow="0" w:firstColumn="0" w:lastColumn="0" w:oddVBand="0" w:evenVBand="0" w:oddHBand="0" w:evenHBand="0" w:firstRowFirstColumn="0" w:firstRowLastColumn="0" w:lastRowFirstColumn="0" w:lastRowLastColumn="0"/>
              <w:rPr>
                <w:rStyle w:val="IntenseEmphasis"/>
                <w:i w:val="0"/>
                <w:iCs w:val="0"/>
                <w:color w:val="575F61"/>
              </w:rPr>
            </w:pPr>
            <w:r w:rsidRPr="00C050AF">
              <w:rPr>
                <w:rStyle w:val="IntenseEmphasis"/>
                <w:i w:val="0"/>
                <w:iCs w:val="0"/>
                <w:color w:val="575F61"/>
              </w:rPr>
              <w:t>4.3 Providing specific supports for older women</w:t>
            </w:r>
          </w:p>
        </w:tc>
      </w:tr>
      <w:tr w:rsidR="00A079D2" w:rsidRPr="00C050AF" w:rsidTr="00456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il"/>
              <w:left w:val="single" w:sz="4" w:space="0" w:color="4472C4" w:themeColor="accent1"/>
              <w:bottom w:val="nil"/>
            </w:tcBorders>
          </w:tcPr>
          <w:p w:rsidR="00A079D2" w:rsidRPr="00C050AF" w:rsidRDefault="00A079D2" w:rsidP="00456860">
            <w:pPr>
              <w:pStyle w:val="BodyText"/>
              <w:rPr>
                <w:rStyle w:val="IntenseEmphasis"/>
                <w:rFonts w:ascii="Avenir Next" w:hAnsi="Avenir Next"/>
                <w:b w:val="0"/>
                <w:i w:val="0"/>
                <w:iCs w:val="0"/>
                <w:color w:val="auto"/>
                <w:sz w:val="24"/>
              </w:rPr>
            </w:pPr>
          </w:p>
        </w:tc>
        <w:tc>
          <w:tcPr>
            <w:tcW w:w="8505" w:type="dxa"/>
            <w:tcBorders>
              <w:top w:val="nil"/>
              <w:left w:val="nil"/>
              <w:bottom w:val="nil"/>
              <w:right w:val="single" w:sz="4" w:space="0" w:color="4472C4" w:themeColor="accent1"/>
            </w:tcBorders>
          </w:tcPr>
          <w:p w:rsidR="00A079D2" w:rsidRPr="00C050AF" w:rsidRDefault="00A079D2" w:rsidP="00456860">
            <w:pPr>
              <w:pStyle w:val="BodyText"/>
              <w:cnfStyle w:val="000000100000" w:firstRow="0" w:lastRow="0" w:firstColumn="0" w:lastColumn="0" w:oddVBand="0" w:evenVBand="0" w:oddHBand="1" w:evenHBand="0" w:firstRowFirstColumn="0" w:firstRowLastColumn="0" w:lastRowFirstColumn="0" w:lastRowLastColumn="0"/>
              <w:rPr>
                <w:rStyle w:val="IntenseEmphasis"/>
                <w:i w:val="0"/>
                <w:iCs w:val="0"/>
                <w:color w:val="575F61"/>
              </w:rPr>
            </w:pPr>
            <w:r w:rsidRPr="00C050AF">
              <w:rPr>
                <w:rStyle w:val="IntenseEmphasis"/>
                <w:i w:val="0"/>
                <w:iCs w:val="0"/>
                <w:color w:val="575F61"/>
              </w:rPr>
              <w:t>4.4 Making superannuation fairer</w:t>
            </w:r>
          </w:p>
        </w:tc>
      </w:tr>
      <w:tr w:rsidR="00A079D2" w:rsidRPr="00C050AF" w:rsidTr="00456860">
        <w:tc>
          <w:tcPr>
            <w:cnfStyle w:val="001000000000" w:firstRow="0" w:lastRow="0" w:firstColumn="1" w:lastColumn="0" w:oddVBand="0" w:evenVBand="0" w:oddHBand="0" w:evenHBand="0" w:firstRowFirstColumn="0" w:firstRowLastColumn="0" w:lastRowFirstColumn="0" w:lastRowLastColumn="0"/>
            <w:tcW w:w="704" w:type="dxa"/>
            <w:tcBorders>
              <w:top w:val="nil"/>
              <w:left w:val="single" w:sz="4" w:space="0" w:color="4472C4" w:themeColor="accent1"/>
              <w:bottom w:val="nil"/>
            </w:tcBorders>
          </w:tcPr>
          <w:p w:rsidR="00A079D2" w:rsidRPr="00C050AF" w:rsidRDefault="00A079D2" w:rsidP="00456860">
            <w:pPr>
              <w:pStyle w:val="BodyText"/>
              <w:rPr>
                <w:rStyle w:val="IntenseEmphasis"/>
                <w:rFonts w:ascii="Avenir Next" w:hAnsi="Avenir Next"/>
                <w:b w:val="0"/>
                <w:i w:val="0"/>
                <w:iCs w:val="0"/>
                <w:color w:val="auto"/>
                <w:sz w:val="24"/>
              </w:rPr>
            </w:pPr>
          </w:p>
        </w:tc>
        <w:tc>
          <w:tcPr>
            <w:tcW w:w="8505" w:type="dxa"/>
            <w:tcBorders>
              <w:top w:val="nil"/>
              <w:left w:val="nil"/>
              <w:bottom w:val="nil"/>
              <w:right w:val="single" w:sz="4" w:space="0" w:color="4472C4" w:themeColor="accent1"/>
            </w:tcBorders>
          </w:tcPr>
          <w:p w:rsidR="00A079D2" w:rsidRPr="00C050AF" w:rsidRDefault="00A079D2" w:rsidP="00456860">
            <w:pPr>
              <w:pStyle w:val="BodyText"/>
              <w:cnfStyle w:val="000000000000" w:firstRow="0" w:lastRow="0" w:firstColumn="0" w:lastColumn="0" w:oddVBand="0" w:evenVBand="0" w:oddHBand="0" w:evenHBand="0" w:firstRowFirstColumn="0" w:firstRowLastColumn="0" w:lastRowFirstColumn="0" w:lastRowLastColumn="0"/>
              <w:rPr>
                <w:rStyle w:val="IntenseEmphasis"/>
                <w:i w:val="0"/>
                <w:iCs w:val="0"/>
                <w:color w:val="575F61"/>
              </w:rPr>
            </w:pPr>
            <w:r w:rsidRPr="00C050AF">
              <w:rPr>
                <w:rStyle w:val="IntenseEmphasis"/>
                <w:i w:val="0"/>
                <w:iCs w:val="0"/>
                <w:color w:val="575F61"/>
              </w:rPr>
              <w:t>4.5 Delivering targeted increases to Commonwealth Rental Assistance</w:t>
            </w:r>
          </w:p>
        </w:tc>
      </w:tr>
      <w:tr w:rsidR="00A079D2" w:rsidRPr="00C050AF" w:rsidTr="00456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il"/>
              <w:left w:val="single" w:sz="4" w:space="0" w:color="4472C4" w:themeColor="accent1"/>
              <w:bottom w:val="nil"/>
            </w:tcBorders>
          </w:tcPr>
          <w:p w:rsidR="00A079D2" w:rsidRPr="00C050AF" w:rsidRDefault="00A079D2" w:rsidP="00456860">
            <w:pPr>
              <w:pStyle w:val="BodyText"/>
              <w:rPr>
                <w:rStyle w:val="IntenseEmphasis"/>
                <w:rFonts w:ascii="Avenir Next" w:hAnsi="Avenir Next"/>
                <w:b w:val="0"/>
                <w:i w:val="0"/>
                <w:iCs w:val="0"/>
                <w:color w:val="auto"/>
                <w:sz w:val="24"/>
              </w:rPr>
            </w:pPr>
          </w:p>
        </w:tc>
        <w:tc>
          <w:tcPr>
            <w:tcW w:w="8505" w:type="dxa"/>
            <w:tcBorders>
              <w:top w:val="nil"/>
              <w:left w:val="nil"/>
              <w:bottom w:val="nil"/>
              <w:right w:val="single" w:sz="4" w:space="0" w:color="4472C4" w:themeColor="accent1"/>
            </w:tcBorders>
          </w:tcPr>
          <w:p w:rsidR="00A079D2" w:rsidRPr="00C050AF" w:rsidRDefault="00A079D2" w:rsidP="00456860">
            <w:pPr>
              <w:pStyle w:val="BodyText"/>
              <w:cnfStyle w:val="000000100000" w:firstRow="0" w:lastRow="0" w:firstColumn="0" w:lastColumn="0" w:oddVBand="0" w:evenVBand="0" w:oddHBand="1" w:evenHBand="0" w:firstRowFirstColumn="0" w:firstRowLastColumn="0" w:lastRowFirstColumn="0" w:lastRowLastColumn="0"/>
              <w:rPr>
                <w:rStyle w:val="IntenseEmphasis"/>
                <w:i w:val="0"/>
                <w:iCs w:val="0"/>
                <w:color w:val="575F61"/>
              </w:rPr>
            </w:pPr>
            <w:r w:rsidRPr="00C050AF">
              <w:rPr>
                <w:rStyle w:val="IntenseEmphasis"/>
                <w:i w:val="0"/>
                <w:iCs w:val="0"/>
                <w:color w:val="575F61"/>
              </w:rPr>
              <w:t>4.6 Facilitating fairer property settlements under family law</w:t>
            </w:r>
          </w:p>
        </w:tc>
      </w:tr>
      <w:tr w:rsidR="00A079D2" w:rsidRPr="00C050AF" w:rsidTr="00456860">
        <w:tc>
          <w:tcPr>
            <w:cnfStyle w:val="001000000000" w:firstRow="0" w:lastRow="0" w:firstColumn="1" w:lastColumn="0" w:oddVBand="0" w:evenVBand="0" w:oddHBand="0" w:evenHBand="0" w:firstRowFirstColumn="0" w:firstRowLastColumn="0" w:lastRowFirstColumn="0" w:lastRowLastColumn="0"/>
            <w:tcW w:w="704" w:type="dxa"/>
            <w:tcBorders>
              <w:top w:val="nil"/>
              <w:left w:val="single" w:sz="4" w:space="0" w:color="4472C4" w:themeColor="accent1"/>
              <w:bottom w:val="single" w:sz="4" w:space="0" w:color="4472C4" w:themeColor="accent1"/>
            </w:tcBorders>
          </w:tcPr>
          <w:p w:rsidR="00A079D2" w:rsidRPr="00C050AF" w:rsidRDefault="00A079D2" w:rsidP="00456860">
            <w:pPr>
              <w:pStyle w:val="BodyText"/>
              <w:rPr>
                <w:rStyle w:val="IntenseEmphasis"/>
                <w:rFonts w:ascii="Avenir Next" w:hAnsi="Avenir Next"/>
                <w:b w:val="0"/>
                <w:i w:val="0"/>
                <w:iCs w:val="0"/>
                <w:color w:val="auto"/>
                <w:sz w:val="24"/>
              </w:rPr>
            </w:pPr>
          </w:p>
        </w:tc>
        <w:tc>
          <w:tcPr>
            <w:tcW w:w="8505" w:type="dxa"/>
            <w:tcBorders>
              <w:top w:val="nil"/>
              <w:left w:val="nil"/>
              <w:bottom w:val="single" w:sz="4" w:space="0" w:color="4472C4" w:themeColor="accent1"/>
              <w:right w:val="single" w:sz="4" w:space="0" w:color="4472C4" w:themeColor="accent1"/>
            </w:tcBorders>
          </w:tcPr>
          <w:p w:rsidR="00A079D2" w:rsidRPr="00C050AF" w:rsidRDefault="00A079D2" w:rsidP="00456860">
            <w:pPr>
              <w:pStyle w:val="BodyText"/>
              <w:cnfStyle w:val="000000000000" w:firstRow="0" w:lastRow="0" w:firstColumn="0" w:lastColumn="0" w:oddVBand="0" w:evenVBand="0" w:oddHBand="0" w:evenHBand="0" w:firstRowFirstColumn="0" w:firstRowLastColumn="0" w:lastRowFirstColumn="0" w:lastRowLastColumn="0"/>
              <w:rPr>
                <w:rStyle w:val="IntenseEmphasis"/>
                <w:i w:val="0"/>
                <w:iCs w:val="0"/>
                <w:color w:val="575F61"/>
              </w:rPr>
            </w:pPr>
            <w:r w:rsidRPr="00C050AF">
              <w:rPr>
                <w:rStyle w:val="IntenseEmphasis"/>
                <w:i w:val="0"/>
                <w:iCs w:val="0"/>
                <w:color w:val="575F61"/>
              </w:rPr>
              <w:t>4.7 Delivering evidence-based Respectful Relationship Education in Tasmanian schools</w:t>
            </w:r>
          </w:p>
        </w:tc>
      </w:tr>
      <w:tr w:rsidR="00A079D2" w:rsidRPr="00C050AF" w:rsidTr="00456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4472C4"/>
          </w:tcPr>
          <w:p w:rsidR="00A079D2" w:rsidRPr="00C050AF" w:rsidRDefault="00A079D2" w:rsidP="00456860">
            <w:pPr>
              <w:pStyle w:val="BodyText"/>
              <w:numPr>
                <w:ilvl w:val="0"/>
                <w:numId w:val="13"/>
              </w:numPr>
              <w:rPr>
                <w:rStyle w:val="IntenseEmphasis"/>
                <w:rFonts w:ascii="Palatino Linotype" w:eastAsiaTheme="minorHAnsi" w:hAnsi="Palatino Linotype" w:cstheme="minorBidi"/>
                <w:b w:val="0"/>
                <w:bCs w:val="0"/>
                <w:i w:val="0"/>
                <w:iCs w:val="0"/>
                <w:color w:val="2F5496" w:themeColor="accent1" w:themeShade="BF"/>
                <w:szCs w:val="22"/>
              </w:rPr>
            </w:pPr>
            <w:r w:rsidRPr="00C050AF">
              <w:rPr>
                <w:color w:val="FFFFFF" w:themeColor="background1"/>
                <w:sz w:val="26"/>
              </w:rPr>
              <w:t>Providing specific supports to older Tasmanians navigating the property market or moving house</w:t>
            </w:r>
          </w:p>
        </w:tc>
      </w:tr>
      <w:tr w:rsidR="00A079D2" w:rsidRPr="00C050AF" w:rsidTr="00456860">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4472C4" w:themeColor="accent1"/>
              <w:left w:val="single" w:sz="4" w:space="0" w:color="4472C4" w:themeColor="accent1"/>
              <w:bottom w:val="nil"/>
            </w:tcBorders>
          </w:tcPr>
          <w:p w:rsidR="00A079D2" w:rsidRPr="00C050AF" w:rsidRDefault="00A079D2" w:rsidP="00456860">
            <w:pPr>
              <w:pStyle w:val="BodyText"/>
              <w:rPr>
                <w:rStyle w:val="IntenseEmphasis"/>
                <w:b w:val="0"/>
                <w:i w:val="0"/>
                <w:iCs w:val="0"/>
                <w:color w:val="575F61"/>
                <w:sz w:val="24"/>
              </w:rPr>
            </w:pPr>
          </w:p>
        </w:tc>
        <w:tc>
          <w:tcPr>
            <w:tcW w:w="8505" w:type="dxa"/>
            <w:tcBorders>
              <w:top w:val="single" w:sz="4" w:space="0" w:color="4472C4" w:themeColor="accent1"/>
              <w:left w:val="nil"/>
              <w:bottom w:val="nil"/>
              <w:right w:val="single" w:sz="4" w:space="0" w:color="4472C4" w:themeColor="accent1"/>
            </w:tcBorders>
          </w:tcPr>
          <w:p w:rsidR="00A079D2" w:rsidRPr="00C050AF" w:rsidRDefault="00A079D2" w:rsidP="00456860">
            <w:pPr>
              <w:pStyle w:val="BodyText"/>
              <w:cnfStyle w:val="000000000000" w:firstRow="0" w:lastRow="0" w:firstColumn="0" w:lastColumn="0" w:oddVBand="0" w:evenVBand="0" w:oddHBand="0" w:evenHBand="0" w:firstRowFirstColumn="0" w:firstRowLastColumn="0" w:lastRowFirstColumn="0" w:lastRowLastColumn="0"/>
              <w:rPr>
                <w:rStyle w:val="IntenseEmphasis"/>
                <w:i w:val="0"/>
                <w:iCs w:val="0"/>
              </w:rPr>
            </w:pPr>
            <w:r w:rsidRPr="00C050AF">
              <w:rPr>
                <w:rStyle w:val="IntenseEmphasis"/>
                <w:i w:val="0"/>
                <w:iCs w:val="0"/>
                <w:color w:val="575F61"/>
              </w:rPr>
              <w:t>5.1 Assisting older people with moving</w:t>
            </w:r>
          </w:p>
        </w:tc>
      </w:tr>
      <w:tr w:rsidR="00A079D2" w:rsidRPr="00C050AF" w:rsidTr="00456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nil"/>
              <w:left w:val="single" w:sz="4" w:space="0" w:color="4472C4" w:themeColor="accent1"/>
            </w:tcBorders>
          </w:tcPr>
          <w:p w:rsidR="00A079D2" w:rsidRPr="00C050AF" w:rsidRDefault="00A079D2" w:rsidP="00456860">
            <w:pPr>
              <w:pStyle w:val="BodyText"/>
              <w:rPr>
                <w:rStyle w:val="IntenseEmphasis"/>
                <w:i w:val="0"/>
                <w:iCs w:val="0"/>
              </w:rPr>
            </w:pPr>
          </w:p>
        </w:tc>
        <w:tc>
          <w:tcPr>
            <w:tcW w:w="8505" w:type="dxa"/>
            <w:tcBorders>
              <w:top w:val="nil"/>
              <w:left w:val="nil"/>
              <w:right w:val="single" w:sz="4" w:space="0" w:color="4472C4" w:themeColor="accent1"/>
            </w:tcBorders>
          </w:tcPr>
          <w:p w:rsidR="00A079D2" w:rsidRPr="00C050AF" w:rsidRDefault="00A079D2" w:rsidP="00456860">
            <w:pPr>
              <w:pStyle w:val="BodyText"/>
              <w:cnfStyle w:val="000000100000" w:firstRow="0" w:lastRow="0" w:firstColumn="0" w:lastColumn="0" w:oddVBand="0" w:evenVBand="0" w:oddHBand="1" w:evenHBand="0" w:firstRowFirstColumn="0" w:firstRowLastColumn="0" w:lastRowFirstColumn="0" w:lastRowLastColumn="0"/>
              <w:rPr>
                <w:rStyle w:val="IntenseEmphasis"/>
                <w:i w:val="0"/>
                <w:iCs w:val="0"/>
              </w:rPr>
            </w:pPr>
            <w:r w:rsidRPr="00C050AF">
              <w:rPr>
                <w:rStyle w:val="IntenseEmphasis"/>
                <w:i w:val="0"/>
                <w:iCs w:val="0"/>
                <w:color w:val="575F61"/>
              </w:rPr>
              <w:t>5.2 Investing to overcome digital exclusion of older Tasmanians</w:t>
            </w:r>
          </w:p>
        </w:tc>
      </w:tr>
    </w:tbl>
    <w:p w:rsidR="00A079D2" w:rsidRPr="00E836FB" w:rsidRDefault="00A079D2" w:rsidP="00456860">
      <w:pPr>
        <w:ind w:left="360"/>
      </w:pPr>
    </w:p>
    <w:p w:rsidR="00A079D2" w:rsidRPr="00E836FB" w:rsidRDefault="00A079D2" w:rsidP="00456860">
      <w:pPr>
        <w:pStyle w:val="Heading1"/>
      </w:pPr>
      <w:bookmarkStart w:id="50" w:name="_Toc155254328"/>
      <w:bookmarkStart w:id="51" w:name="_Toc166757733"/>
      <w:bookmarkStart w:id="52" w:name="_Hlk134534026"/>
      <w:bookmarkEnd w:id="0"/>
      <w:bookmarkEnd w:id="1"/>
      <w:r w:rsidRPr="00E836FB">
        <w:rPr>
          <w:rStyle w:val="Heading1Char"/>
        </w:rPr>
        <w:lastRenderedPageBreak/>
        <w:t>Part 1: What older Tasmanians told us about their housing</w:t>
      </w:r>
      <w:r w:rsidRPr="00E836FB">
        <w:t xml:space="preserve"> experience</w:t>
      </w:r>
      <w:bookmarkEnd w:id="50"/>
      <w:r w:rsidRPr="00E836FB">
        <w:t>s</w:t>
      </w:r>
      <w:bookmarkEnd w:id="51"/>
    </w:p>
    <w:p w:rsidR="00A079D2" w:rsidRPr="00E836FB" w:rsidRDefault="00A079D2" w:rsidP="00456860">
      <w:pPr>
        <w:pStyle w:val="Heading2"/>
      </w:pPr>
      <w:bookmarkStart w:id="53" w:name="_Toc155254329"/>
      <w:bookmarkStart w:id="54" w:name="_Toc166757734"/>
      <w:r w:rsidRPr="00E836FB">
        <w:t>Walking interviews</w:t>
      </w:r>
      <w:bookmarkEnd w:id="53"/>
      <w:bookmarkEnd w:id="54"/>
    </w:p>
    <w:p w:rsidR="00A079D2" w:rsidRPr="00E836FB" w:rsidRDefault="00A079D2" w:rsidP="00456860">
      <w:r w:rsidRPr="00E836FB">
        <w:t>The walking interview</w:t>
      </w:r>
      <w:r w:rsidRPr="00E836FB">
        <w:rPr>
          <w:vertAlign w:val="superscript"/>
        </w:rPr>
        <w:footnoteReference w:id="2"/>
      </w:r>
      <w:r w:rsidRPr="00E836FB">
        <w:t xml:space="preserve"> is a qualitative method in which participant and researcher </w:t>
      </w:r>
      <w:r>
        <w:t>‘</w:t>
      </w:r>
      <w:r w:rsidRPr="00E836FB">
        <w:t>co-produce</w:t>
      </w:r>
      <w:r>
        <w:t>’</w:t>
      </w:r>
      <w:r w:rsidRPr="00E836FB">
        <w:t xml:space="preserve"> knowledge. It is conducted in a place where the participant has greater knowledge than the researcher and follows paths determined by the participant. Walking is particularly appropriate for an exploration of housing, since the setting (the participant</w:t>
      </w:r>
      <w:r>
        <w:t>’</w:t>
      </w:r>
      <w:r w:rsidRPr="00E836FB">
        <w:t xml:space="preserve">s house, garden, neighbourhood) can trigger memories thus unlocking biography </w:t>
      </w:r>
      <w:r>
        <w:rPr>
          <w:noProof/>
        </w:rPr>
        <w:t>(King &amp; Woodroffe 2019)</w:t>
      </w:r>
      <w:r w:rsidRPr="00E836FB">
        <w:t xml:space="preserve">. In this study, walking took both physical and virtual form, as participants walked with the researcher through their housing experiences, present and past. </w:t>
      </w:r>
    </w:p>
    <w:p w:rsidR="00A079D2" w:rsidRPr="00E836FB" w:rsidRDefault="00A079D2" w:rsidP="00456860">
      <w:pPr>
        <w:pStyle w:val="Heading3"/>
      </w:pPr>
      <w:bookmarkStart w:id="55" w:name="_Toc166757735"/>
      <w:r w:rsidRPr="00E836FB">
        <w:t>Recruitment</w:t>
      </w:r>
      <w:bookmarkEnd w:id="55"/>
    </w:p>
    <w:p w:rsidR="00A079D2" w:rsidRPr="00E836FB" w:rsidRDefault="00A079D2" w:rsidP="00456860">
      <w:r w:rsidRPr="00E836FB">
        <w:t xml:space="preserve">Anglicare Aged Care Services and Housing Services clients were provided with information about the project, either via a brochure or printed invitation or through the </w:t>
      </w:r>
      <w:r w:rsidRPr="00E836FB">
        <w:rPr>
          <w:i/>
        </w:rPr>
        <w:t>Connect</w:t>
      </w:r>
      <w:r w:rsidRPr="00E836FB">
        <w:t xml:space="preserve"> newsletter sent to Anglicare home care recipients. Most of this promotion took place in August and September 2023. Service users interested in participating were invited to contact the researcher directly. This initial recruitment strategy was later expanded to reach other Tasmanians in the target population cohort. Recruitment material was disseminated via social media, flyers, and direct approaches to organisations and venues with older clientele. </w:t>
      </w:r>
    </w:p>
    <w:p w:rsidR="00A079D2" w:rsidRPr="00E836FB" w:rsidRDefault="00A079D2" w:rsidP="00456860">
      <w:pPr>
        <w:pStyle w:val="Heading3"/>
      </w:pPr>
      <w:bookmarkStart w:id="56" w:name="_Toc155254330"/>
      <w:bookmarkStart w:id="57" w:name="_Toc166757736"/>
      <w:r w:rsidRPr="00E836FB">
        <w:t>Analysis</w:t>
      </w:r>
      <w:bookmarkEnd w:id="56"/>
      <w:bookmarkEnd w:id="57"/>
    </w:p>
    <w:p w:rsidR="00A079D2" w:rsidRPr="00E836FB" w:rsidRDefault="00A079D2" w:rsidP="00456860">
      <w:pPr>
        <w:rPr>
          <w:lang w:eastAsia="en-AU"/>
        </w:rPr>
      </w:pPr>
      <w:r w:rsidRPr="00E836FB">
        <w:t xml:space="preserve">To analyse the walking interviews, a life history narrative analysis approach was used </w:t>
      </w:r>
      <w:r w:rsidRPr="00E836FB">
        <w:rPr>
          <w:lang w:eastAsia="en-AU"/>
        </w:rPr>
        <w:t>to identify themes, drawing together shared elements in the participants’ stories and relevant de-identified excerpts</w:t>
      </w:r>
      <w:r w:rsidRPr="00E836FB">
        <w:t xml:space="preserve">. Life history approaches ask the participant to talk about their </w:t>
      </w:r>
      <w:r>
        <w:t>‘</w:t>
      </w:r>
      <w:r w:rsidRPr="00E836FB">
        <w:t>social life</w:t>
      </w:r>
      <w:r>
        <w:t xml:space="preserve">’ </w:t>
      </w:r>
      <w:r w:rsidRPr="00E836FB">
        <w:t>—</w:t>
      </w:r>
      <w:r>
        <w:t xml:space="preserve"> </w:t>
      </w:r>
      <w:r w:rsidRPr="00E836FB">
        <w:t xml:space="preserve">how they live and what shapes or affects that, including other people and places, and belonging. This method has been used in several studies of housing and belonging. </w:t>
      </w:r>
    </w:p>
    <w:p w:rsidR="00A079D2" w:rsidRPr="00E836FB" w:rsidRDefault="00A079D2" w:rsidP="00456860">
      <w:pPr>
        <w:pStyle w:val="Heading2"/>
      </w:pPr>
      <w:bookmarkStart w:id="58" w:name="_Toc155254331"/>
      <w:bookmarkStart w:id="59" w:name="_Toc166757737"/>
      <w:r w:rsidRPr="00E836FB">
        <w:t>Results</w:t>
      </w:r>
      <w:bookmarkEnd w:id="58"/>
      <w:bookmarkEnd w:id="59"/>
    </w:p>
    <w:p w:rsidR="00A079D2" w:rsidRPr="00E836FB" w:rsidRDefault="00A079D2" w:rsidP="00456860">
      <w:r w:rsidRPr="00E836FB">
        <w:t xml:space="preserve">Nineteen people were interviewed about their housing experiences and wellbeing. Three were Aboriginal, and </w:t>
      </w:r>
      <w:r>
        <w:t>13</w:t>
      </w:r>
      <w:r w:rsidRPr="00E836FB">
        <w:t xml:space="preserve"> were women. Participants came from all regions of the </w:t>
      </w:r>
      <w:r>
        <w:t>s</w:t>
      </w:r>
      <w:r w:rsidRPr="00E836FB">
        <w:t xml:space="preserve">tate, and lived in cities, other urban areas, and in rural and semi-rural locations. Data gathering included single person interviews, as well as group sessions. </w:t>
      </w:r>
    </w:p>
    <w:p w:rsidR="00A079D2" w:rsidRPr="00E836FB" w:rsidRDefault="00A079D2" w:rsidP="00456860">
      <w:r w:rsidRPr="00E836FB">
        <w:t xml:space="preserve">Some characteristics of participants are shown in Table 1. </w:t>
      </w:r>
    </w:p>
    <w:p w:rsidR="00A079D2" w:rsidRPr="00E836FB" w:rsidRDefault="00A079D2">
      <w:pPr>
        <w:spacing w:line="259" w:lineRule="auto"/>
        <w:rPr>
          <w:b/>
        </w:rPr>
      </w:pPr>
      <w:r w:rsidRPr="00E836FB">
        <w:rPr>
          <w:b/>
        </w:rPr>
        <w:br w:type="page"/>
      </w:r>
    </w:p>
    <w:p w:rsidR="00A079D2" w:rsidRPr="00E836FB" w:rsidRDefault="00A079D2" w:rsidP="00456860">
      <w:pPr>
        <w:pStyle w:val="Captions"/>
      </w:pPr>
      <w:r w:rsidRPr="00E836FB">
        <w:lastRenderedPageBreak/>
        <w:t>Table 1: Characteristics of interview participants</w:t>
      </w:r>
    </w:p>
    <w:tbl>
      <w:tblPr>
        <w:tblStyle w:val="PlainTable1"/>
        <w:tblW w:w="0" w:type="auto"/>
        <w:tblLayout w:type="fixed"/>
        <w:tblLook w:val="04A0" w:firstRow="1" w:lastRow="0" w:firstColumn="1" w:lastColumn="0" w:noHBand="0" w:noVBand="1"/>
      </w:tblPr>
      <w:tblGrid>
        <w:gridCol w:w="562"/>
        <w:gridCol w:w="1134"/>
        <w:gridCol w:w="709"/>
        <w:gridCol w:w="4536"/>
        <w:gridCol w:w="1701"/>
      </w:tblGrid>
      <w:tr w:rsidR="00A079D2" w:rsidRPr="00E836FB" w:rsidTr="004568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079D2" w:rsidRPr="00E836FB" w:rsidRDefault="00A079D2" w:rsidP="00456860">
            <w:pPr>
              <w:spacing w:before="40" w:afterLines="40" w:after="96"/>
              <w:rPr>
                <w:rFonts w:cstheme="minorHAnsi"/>
                <w:bCs w:val="0"/>
              </w:rPr>
            </w:pPr>
            <w:r w:rsidRPr="00E836FB">
              <w:rPr>
                <w:rFonts w:cstheme="minorHAnsi"/>
              </w:rPr>
              <w:t>ID</w:t>
            </w:r>
          </w:p>
        </w:tc>
        <w:tc>
          <w:tcPr>
            <w:tcW w:w="1134" w:type="dxa"/>
          </w:tcPr>
          <w:p w:rsidR="00A079D2" w:rsidRPr="00E836FB" w:rsidRDefault="00A079D2" w:rsidP="00456860">
            <w:pPr>
              <w:spacing w:before="40" w:afterLines="40" w:after="96"/>
              <w:cnfStyle w:val="100000000000" w:firstRow="1" w:lastRow="0" w:firstColumn="0" w:lastColumn="0" w:oddVBand="0" w:evenVBand="0" w:oddHBand="0" w:evenHBand="0" w:firstRowFirstColumn="0" w:firstRowLastColumn="0" w:lastRowFirstColumn="0" w:lastRowLastColumn="0"/>
              <w:rPr>
                <w:rFonts w:cstheme="minorHAnsi"/>
                <w:bCs w:val="0"/>
              </w:rPr>
            </w:pPr>
            <w:r w:rsidRPr="00E836FB">
              <w:rPr>
                <w:rFonts w:cstheme="minorHAnsi"/>
              </w:rPr>
              <w:t>Gender</w:t>
            </w:r>
          </w:p>
        </w:tc>
        <w:tc>
          <w:tcPr>
            <w:tcW w:w="709" w:type="dxa"/>
          </w:tcPr>
          <w:p w:rsidR="00A079D2" w:rsidRPr="00E836FB" w:rsidRDefault="00A079D2" w:rsidP="00456860">
            <w:pPr>
              <w:spacing w:before="40" w:afterLines="40" w:after="96"/>
              <w:cnfStyle w:val="100000000000" w:firstRow="1" w:lastRow="0" w:firstColumn="0" w:lastColumn="0" w:oddVBand="0" w:evenVBand="0" w:oddHBand="0" w:evenHBand="0" w:firstRowFirstColumn="0" w:firstRowLastColumn="0" w:lastRowFirstColumn="0" w:lastRowLastColumn="0"/>
              <w:rPr>
                <w:rFonts w:cstheme="minorHAnsi"/>
                <w:bCs w:val="0"/>
              </w:rPr>
            </w:pPr>
            <w:r w:rsidRPr="00E836FB">
              <w:rPr>
                <w:rFonts w:cstheme="minorHAnsi"/>
              </w:rPr>
              <w:t>Age</w:t>
            </w:r>
          </w:p>
        </w:tc>
        <w:tc>
          <w:tcPr>
            <w:tcW w:w="4536" w:type="dxa"/>
          </w:tcPr>
          <w:p w:rsidR="00A079D2" w:rsidRPr="00E836FB" w:rsidRDefault="00A079D2" w:rsidP="00456860">
            <w:pPr>
              <w:spacing w:before="40" w:afterLines="40" w:after="96"/>
              <w:cnfStyle w:val="100000000000" w:firstRow="1" w:lastRow="0" w:firstColumn="0" w:lastColumn="0" w:oddVBand="0" w:evenVBand="0" w:oddHBand="0" w:evenHBand="0" w:firstRowFirstColumn="0" w:firstRowLastColumn="0" w:lastRowFirstColumn="0" w:lastRowLastColumn="0"/>
              <w:rPr>
                <w:rFonts w:cstheme="minorHAnsi"/>
                <w:bCs w:val="0"/>
              </w:rPr>
            </w:pPr>
            <w:r w:rsidRPr="00E836FB">
              <w:rPr>
                <w:rFonts w:cstheme="minorHAnsi"/>
              </w:rPr>
              <w:t>Current housing</w:t>
            </w:r>
          </w:p>
        </w:tc>
        <w:tc>
          <w:tcPr>
            <w:tcW w:w="1701" w:type="dxa"/>
          </w:tcPr>
          <w:p w:rsidR="00A079D2" w:rsidRPr="00E836FB" w:rsidRDefault="00A079D2" w:rsidP="00456860">
            <w:pPr>
              <w:spacing w:before="40" w:afterLines="40" w:after="96"/>
              <w:cnfStyle w:val="100000000000" w:firstRow="1" w:lastRow="0" w:firstColumn="0" w:lastColumn="0" w:oddVBand="0" w:evenVBand="0" w:oddHBand="0" w:evenHBand="0" w:firstRowFirstColumn="0" w:firstRowLastColumn="0" w:lastRowFirstColumn="0" w:lastRowLastColumn="0"/>
              <w:rPr>
                <w:rFonts w:cstheme="minorHAnsi"/>
                <w:bCs w:val="0"/>
              </w:rPr>
            </w:pPr>
            <w:r w:rsidRPr="00E836FB">
              <w:rPr>
                <w:rFonts w:cstheme="minorHAnsi"/>
              </w:rPr>
              <w:t>Marital status</w:t>
            </w:r>
          </w:p>
        </w:tc>
      </w:tr>
      <w:tr w:rsidR="00A079D2" w:rsidRPr="00E836FB" w:rsidTr="00456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079D2" w:rsidRPr="00E836FB" w:rsidRDefault="00A079D2" w:rsidP="00456860">
            <w:pPr>
              <w:spacing w:before="40" w:afterLines="40" w:after="96"/>
              <w:rPr>
                <w:rFonts w:cstheme="minorHAnsi"/>
                <w:b w:val="0"/>
                <w:bCs w:val="0"/>
              </w:rPr>
            </w:pPr>
            <w:r w:rsidRPr="00E836FB">
              <w:rPr>
                <w:rFonts w:cstheme="minorHAnsi"/>
              </w:rPr>
              <w:t>1</w:t>
            </w:r>
          </w:p>
        </w:tc>
        <w:tc>
          <w:tcPr>
            <w:tcW w:w="1134"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Male</w:t>
            </w:r>
          </w:p>
        </w:tc>
        <w:tc>
          <w:tcPr>
            <w:tcW w:w="709"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59</w:t>
            </w:r>
          </w:p>
        </w:tc>
        <w:tc>
          <w:tcPr>
            <w:tcW w:w="4536"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Couch</w:t>
            </w:r>
            <w:r>
              <w:rPr>
                <w:rFonts w:cstheme="minorHAnsi"/>
              </w:rPr>
              <w:t>-</w:t>
            </w:r>
            <w:r w:rsidRPr="00E836FB">
              <w:rPr>
                <w:rFonts w:cstheme="minorHAnsi"/>
              </w:rPr>
              <w:t>surfing</w:t>
            </w:r>
          </w:p>
        </w:tc>
        <w:tc>
          <w:tcPr>
            <w:tcW w:w="1701"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Separated</w:t>
            </w:r>
          </w:p>
        </w:tc>
      </w:tr>
      <w:tr w:rsidR="00A079D2" w:rsidRPr="00E836FB" w:rsidTr="00456860">
        <w:tc>
          <w:tcPr>
            <w:cnfStyle w:val="001000000000" w:firstRow="0" w:lastRow="0" w:firstColumn="1" w:lastColumn="0" w:oddVBand="0" w:evenVBand="0" w:oddHBand="0" w:evenHBand="0" w:firstRowFirstColumn="0" w:firstRowLastColumn="0" w:lastRowFirstColumn="0" w:lastRowLastColumn="0"/>
            <w:tcW w:w="562" w:type="dxa"/>
          </w:tcPr>
          <w:p w:rsidR="00A079D2" w:rsidRPr="00E836FB" w:rsidRDefault="00A079D2" w:rsidP="00456860">
            <w:pPr>
              <w:spacing w:before="40" w:afterLines="40" w:after="96"/>
              <w:rPr>
                <w:rFonts w:cstheme="minorHAnsi"/>
                <w:b w:val="0"/>
                <w:bCs w:val="0"/>
              </w:rPr>
            </w:pPr>
            <w:r w:rsidRPr="00E836FB">
              <w:rPr>
                <w:rFonts w:cstheme="minorHAnsi"/>
              </w:rPr>
              <w:t>2</w:t>
            </w:r>
          </w:p>
        </w:tc>
        <w:tc>
          <w:tcPr>
            <w:tcW w:w="1134"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Male</w:t>
            </w:r>
          </w:p>
        </w:tc>
        <w:tc>
          <w:tcPr>
            <w:tcW w:w="709"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66</w:t>
            </w:r>
          </w:p>
        </w:tc>
        <w:tc>
          <w:tcPr>
            <w:tcW w:w="4536"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 xml:space="preserve">Communal supported </w:t>
            </w:r>
          </w:p>
        </w:tc>
        <w:tc>
          <w:tcPr>
            <w:tcW w:w="1701"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Divorced</w:t>
            </w:r>
          </w:p>
        </w:tc>
      </w:tr>
      <w:tr w:rsidR="00A079D2" w:rsidRPr="00E836FB" w:rsidTr="00456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079D2" w:rsidRPr="00E836FB" w:rsidRDefault="00A079D2" w:rsidP="00456860">
            <w:pPr>
              <w:spacing w:before="40" w:afterLines="40" w:after="96"/>
              <w:rPr>
                <w:rFonts w:cstheme="minorHAnsi"/>
                <w:b w:val="0"/>
                <w:bCs w:val="0"/>
              </w:rPr>
            </w:pPr>
            <w:r w:rsidRPr="00E836FB">
              <w:rPr>
                <w:rFonts w:cstheme="minorHAnsi"/>
              </w:rPr>
              <w:t>3</w:t>
            </w:r>
          </w:p>
        </w:tc>
        <w:tc>
          <w:tcPr>
            <w:tcW w:w="1134"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Female</w:t>
            </w:r>
          </w:p>
        </w:tc>
        <w:tc>
          <w:tcPr>
            <w:tcW w:w="709"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78</w:t>
            </w:r>
          </w:p>
        </w:tc>
        <w:tc>
          <w:tcPr>
            <w:tcW w:w="4536"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Individual supported</w:t>
            </w:r>
          </w:p>
        </w:tc>
        <w:tc>
          <w:tcPr>
            <w:tcW w:w="1701"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Divorced</w:t>
            </w:r>
          </w:p>
        </w:tc>
      </w:tr>
      <w:tr w:rsidR="00A079D2" w:rsidRPr="00E836FB" w:rsidTr="00456860">
        <w:tc>
          <w:tcPr>
            <w:cnfStyle w:val="001000000000" w:firstRow="0" w:lastRow="0" w:firstColumn="1" w:lastColumn="0" w:oddVBand="0" w:evenVBand="0" w:oddHBand="0" w:evenHBand="0" w:firstRowFirstColumn="0" w:firstRowLastColumn="0" w:lastRowFirstColumn="0" w:lastRowLastColumn="0"/>
            <w:tcW w:w="562" w:type="dxa"/>
          </w:tcPr>
          <w:p w:rsidR="00A079D2" w:rsidRPr="00E836FB" w:rsidRDefault="00A079D2" w:rsidP="00456860">
            <w:pPr>
              <w:spacing w:before="40" w:afterLines="40" w:after="96"/>
              <w:rPr>
                <w:rFonts w:cstheme="minorHAnsi"/>
                <w:b w:val="0"/>
                <w:bCs w:val="0"/>
              </w:rPr>
            </w:pPr>
            <w:r w:rsidRPr="00E836FB">
              <w:rPr>
                <w:rFonts w:cstheme="minorHAnsi"/>
              </w:rPr>
              <w:t>4</w:t>
            </w:r>
          </w:p>
        </w:tc>
        <w:tc>
          <w:tcPr>
            <w:tcW w:w="1134"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Female</w:t>
            </w:r>
          </w:p>
        </w:tc>
        <w:tc>
          <w:tcPr>
            <w:tcW w:w="709"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68</w:t>
            </w:r>
          </w:p>
        </w:tc>
        <w:tc>
          <w:tcPr>
            <w:tcW w:w="4536"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Individual supported</w:t>
            </w:r>
          </w:p>
        </w:tc>
        <w:tc>
          <w:tcPr>
            <w:tcW w:w="1701"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Divorced</w:t>
            </w:r>
          </w:p>
        </w:tc>
      </w:tr>
      <w:tr w:rsidR="00A079D2" w:rsidRPr="00E836FB" w:rsidTr="00456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079D2" w:rsidRPr="00E836FB" w:rsidRDefault="00A079D2" w:rsidP="00456860">
            <w:pPr>
              <w:spacing w:before="40" w:afterLines="40" w:after="96"/>
              <w:rPr>
                <w:rFonts w:cstheme="minorHAnsi"/>
                <w:b w:val="0"/>
                <w:bCs w:val="0"/>
              </w:rPr>
            </w:pPr>
            <w:r w:rsidRPr="00E836FB">
              <w:rPr>
                <w:rFonts w:cstheme="minorHAnsi"/>
              </w:rPr>
              <w:t>5–8</w:t>
            </w:r>
          </w:p>
        </w:tc>
        <w:tc>
          <w:tcPr>
            <w:tcW w:w="1134"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Females (n = 4)</w:t>
            </w:r>
          </w:p>
        </w:tc>
        <w:tc>
          <w:tcPr>
            <w:tcW w:w="709"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&gt;60</w:t>
            </w:r>
          </w:p>
        </w:tc>
        <w:tc>
          <w:tcPr>
            <w:tcW w:w="4536"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Mixture, including a landlord, private owner, and renters in private and public housing</w:t>
            </w:r>
          </w:p>
        </w:tc>
        <w:tc>
          <w:tcPr>
            <w:tcW w:w="1701"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Not discussed</w:t>
            </w:r>
          </w:p>
        </w:tc>
      </w:tr>
      <w:tr w:rsidR="00A079D2" w:rsidRPr="00E836FB" w:rsidTr="00456860">
        <w:tc>
          <w:tcPr>
            <w:cnfStyle w:val="001000000000" w:firstRow="0" w:lastRow="0" w:firstColumn="1" w:lastColumn="0" w:oddVBand="0" w:evenVBand="0" w:oddHBand="0" w:evenHBand="0" w:firstRowFirstColumn="0" w:firstRowLastColumn="0" w:lastRowFirstColumn="0" w:lastRowLastColumn="0"/>
            <w:tcW w:w="562" w:type="dxa"/>
          </w:tcPr>
          <w:p w:rsidR="00A079D2" w:rsidRPr="00E836FB" w:rsidRDefault="00A079D2" w:rsidP="00456860">
            <w:pPr>
              <w:spacing w:before="40" w:afterLines="40" w:after="96"/>
              <w:rPr>
                <w:rFonts w:cstheme="minorHAnsi"/>
                <w:b w:val="0"/>
                <w:bCs w:val="0"/>
              </w:rPr>
            </w:pPr>
            <w:r w:rsidRPr="00E836FB">
              <w:rPr>
                <w:rFonts w:cstheme="minorHAnsi"/>
              </w:rPr>
              <w:t>9</w:t>
            </w:r>
          </w:p>
        </w:tc>
        <w:tc>
          <w:tcPr>
            <w:tcW w:w="1134"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 xml:space="preserve">Male </w:t>
            </w:r>
          </w:p>
        </w:tc>
        <w:tc>
          <w:tcPr>
            <w:tcW w:w="709"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71</w:t>
            </w:r>
          </w:p>
        </w:tc>
        <w:tc>
          <w:tcPr>
            <w:tcW w:w="4536"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 xml:space="preserve">Private rental </w:t>
            </w:r>
          </w:p>
        </w:tc>
        <w:tc>
          <w:tcPr>
            <w:tcW w:w="1701"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Divorced</w:t>
            </w:r>
          </w:p>
        </w:tc>
      </w:tr>
      <w:tr w:rsidR="00A079D2" w:rsidRPr="00E836FB" w:rsidTr="00456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079D2" w:rsidRPr="00E836FB" w:rsidRDefault="00A079D2" w:rsidP="00456860">
            <w:pPr>
              <w:spacing w:before="40" w:afterLines="40" w:after="96"/>
              <w:rPr>
                <w:rFonts w:cstheme="minorHAnsi"/>
                <w:b w:val="0"/>
                <w:bCs w:val="0"/>
              </w:rPr>
            </w:pPr>
            <w:r w:rsidRPr="00E836FB">
              <w:rPr>
                <w:rFonts w:cstheme="minorHAnsi"/>
              </w:rPr>
              <w:t>10</w:t>
            </w:r>
          </w:p>
        </w:tc>
        <w:tc>
          <w:tcPr>
            <w:tcW w:w="1134"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Male</w:t>
            </w:r>
          </w:p>
        </w:tc>
        <w:tc>
          <w:tcPr>
            <w:tcW w:w="709"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56</w:t>
            </w:r>
          </w:p>
        </w:tc>
        <w:tc>
          <w:tcPr>
            <w:tcW w:w="4536"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Community housing rental</w:t>
            </w:r>
          </w:p>
        </w:tc>
        <w:tc>
          <w:tcPr>
            <w:tcW w:w="1701"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Married</w:t>
            </w:r>
          </w:p>
        </w:tc>
      </w:tr>
      <w:tr w:rsidR="00A079D2" w:rsidRPr="00E836FB" w:rsidTr="00456860">
        <w:tc>
          <w:tcPr>
            <w:cnfStyle w:val="001000000000" w:firstRow="0" w:lastRow="0" w:firstColumn="1" w:lastColumn="0" w:oddVBand="0" w:evenVBand="0" w:oddHBand="0" w:evenHBand="0" w:firstRowFirstColumn="0" w:firstRowLastColumn="0" w:lastRowFirstColumn="0" w:lastRowLastColumn="0"/>
            <w:tcW w:w="562" w:type="dxa"/>
          </w:tcPr>
          <w:p w:rsidR="00A079D2" w:rsidRPr="00E836FB" w:rsidRDefault="00A079D2" w:rsidP="00456860">
            <w:pPr>
              <w:spacing w:before="40" w:afterLines="40" w:after="96"/>
              <w:rPr>
                <w:rFonts w:cstheme="minorHAnsi"/>
                <w:b w:val="0"/>
                <w:bCs w:val="0"/>
              </w:rPr>
            </w:pPr>
            <w:r w:rsidRPr="00E836FB">
              <w:rPr>
                <w:rFonts w:cstheme="minorHAnsi"/>
              </w:rPr>
              <w:t>11</w:t>
            </w:r>
          </w:p>
        </w:tc>
        <w:tc>
          <w:tcPr>
            <w:tcW w:w="1134"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Female</w:t>
            </w:r>
          </w:p>
        </w:tc>
        <w:tc>
          <w:tcPr>
            <w:tcW w:w="709"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68</w:t>
            </w:r>
          </w:p>
        </w:tc>
        <w:tc>
          <w:tcPr>
            <w:tcW w:w="4536"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Social housing rental</w:t>
            </w:r>
          </w:p>
        </w:tc>
        <w:tc>
          <w:tcPr>
            <w:tcW w:w="1701"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Divorced</w:t>
            </w:r>
          </w:p>
        </w:tc>
      </w:tr>
      <w:tr w:rsidR="00A079D2" w:rsidRPr="00E836FB" w:rsidTr="00456860">
        <w:trPr>
          <w:cnfStyle w:val="000000100000" w:firstRow="0" w:lastRow="0" w:firstColumn="0" w:lastColumn="0" w:oddVBand="0" w:evenVBand="0" w:oddHBand="1"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562" w:type="dxa"/>
          </w:tcPr>
          <w:p w:rsidR="00A079D2" w:rsidRPr="00E836FB" w:rsidRDefault="00A079D2" w:rsidP="00456860">
            <w:pPr>
              <w:spacing w:before="40" w:afterLines="40" w:after="96"/>
              <w:rPr>
                <w:rFonts w:cstheme="minorHAnsi"/>
                <w:b w:val="0"/>
                <w:bCs w:val="0"/>
              </w:rPr>
            </w:pPr>
            <w:r w:rsidRPr="00E836FB">
              <w:rPr>
                <w:rFonts w:cstheme="minorHAnsi"/>
              </w:rPr>
              <w:t>12</w:t>
            </w:r>
          </w:p>
        </w:tc>
        <w:tc>
          <w:tcPr>
            <w:tcW w:w="1134"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Female</w:t>
            </w:r>
          </w:p>
        </w:tc>
        <w:tc>
          <w:tcPr>
            <w:tcW w:w="709"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73</w:t>
            </w:r>
          </w:p>
        </w:tc>
        <w:tc>
          <w:tcPr>
            <w:tcW w:w="4536"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Private owner</w:t>
            </w:r>
          </w:p>
        </w:tc>
        <w:tc>
          <w:tcPr>
            <w:tcW w:w="1701"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Divorced</w:t>
            </w:r>
          </w:p>
        </w:tc>
      </w:tr>
      <w:tr w:rsidR="00A079D2" w:rsidRPr="00E836FB" w:rsidTr="00456860">
        <w:tc>
          <w:tcPr>
            <w:cnfStyle w:val="001000000000" w:firstRow="0" w:lastRow="0" w:firstColumn="1" w:lastColumn="0" w:oddVBand="0" w:evenVBand="0" w:oddHBand="0" w:evenHBand="0" w:firstRowFirstColumn="0" w:firstRowLastColumn="0" w:lastRowFirstColumn="0" w:lastRowLastColumn="0"/>
            <w:tcW w:w="562" w:type="dxa"/>
          </w:tcPr>
          <w:p w:rsidR="00A079D2" w:rsidRPr="00E836FB" w:rsidRDefault="00A079D2" w:rsidP="00456860">
            <w:pPr>
              <w:spacing w:before="40" w:afterLines="40" w:after="96"/>
              <w:rPr>
                <w:rFonts w:cstheme="minorHAnsi"/>
                <w:b w:val="0"/>
                <w:bCs w:val="0"/>
              </w:rPr>
            </w:pPr>
            <w:r w:rsidRPr="00E836FB">
              <w:rPr>
                <w:rFonts w:cstheme="minorHAnsi"/>
              </w:rPr>
              <w:t>13</w:t>
            </w:r>
          </w:p>
        </w:tc>
        <w:tc>
          <w:tcPr>
            <w:tcW w:w="1134"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 xml:space="preserve">Female </w:t>
            </w:r>
          </w:p>
        </w:tc>
        <w:tc>
          <w:tcPr>
            <w:tcW w:w="709"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69</w:t>
            </w:r>
          </w:p>
        </w:tc>
        <w:tc>
          <w:tcPr>
            <w:tcW w:w="4536"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Private owner</w:t>
            </w:r>
          </w:p>
        </w:tc>
        <w:tc>
          <w:tcPr>
            <w:tcW w:w="1701"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Divorced</w:t>
            </w:r>
          </w:p>
        </w:tc>
      </w:tr>
      <w:tr w:rsidR="00A079D2" w:rsidRPr="00E836FB" w:rsidTr="00456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079D2" w:rsidRPr="00E836FB" w:rsidRDefault="00A079D2" w:rsidP="00456860">
            <w:pPr>
              <w:spacing w:before="40" w:afterLines="40" w:after="96"/>
              <w:rPr>
                <w:rFonts w:cstheme="minorHAnsi"/>
                <w:b w:val="0"/>
                <w:bCs w:val="0"/>
              </w:rPr>
            </w:pPr>
            <w:r w:rsidRPr="00E836FB">
              <w:rPr>
                <w:rFonts w:cstheme="minorHAnsi"/>
              </w:rPr>
              <w:t>14</w:t>
            </w:r>
          </w:p>
        </w:tc>
        <w:tc>
          <w:tcPr>
            <w:tcW w:w="1134"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Male</w:t>
            </w:r>
          </w:p>
        </w:tc>
        <w:tc>
          <w:tcPr>
            <w:tcW w:w="709"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75</w:t>
            </w:r>
          </w:p>
        </w:tc>
        <w:tc>
          <w:tcPr>
            <w:tcW w:w="4536"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Private owner</w:t>
            </w:r>
          </w:p>
        </w:tc>
        <w:tc>
          <w:tcPr>
            <w:tcW w:w="1701"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Widowed</w:t>
            </w:r>
          </w:p>
        </w:tc>
      </w:tr>
      <w:tr w:rsidR="00A079D2" w:rsidRPr="00E836FB" w:rsidTr="00456860">
        <w:tc>
          <w:tcPr>
            <w:cnfStyle w:val="001000000000" w:firstRow="0" w:lastRow="0" w:firstColumn="1" w:lastColumn="0" w:oddVBand="0" w:evenVBand="0" w:oddHBand="0" w:evenHBand="0" w:firstRowFirstColumn="0" w:firstRowLastColumn="0" w:lastRowFirstColumn="0" w:lastRowLastColumn="0"/>
            <w:tcW w:w="562" w:type="dxa"/>
          </w:tcPr>
          <w:p w:rsidR="00A079D2" w:rsidRPr="00E836FB" w:rsidRDefault="00A079D2" w:rsidP="00456860">
            <w:pPr>
              <w:spacing w:before="40" w:afterLines="40" w:after="96"/>
              <w:rPr>
                <w:rFonts w:cstheme="minorHAnsi"/>
                <w:b w:val="0"/>
                <w:bCs w:val="0"/>
              </w:rPr>
            </w:pPr>
            <w:r w:rsidRPr="00E836FB">
              <w:rPr>
                <w:rFonts w:cstheme="minorHAnsi"/>
              </w:rPr>
              <w:t>15</w:t>
            </w:r>
          </w:p>
        </w:tc>
        <w:tc>
          <w:tcPr>
            <w:tcW w:w="1134"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Female</w:t>
            </w:r>
          </w:p>
        </w:tc>
        <w:tc>
          <w:tcPr>
            <w:tcW w:w="709"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70</w:t>
            </w:r>
          </w:p>
        </w:tc>
        <w:tc>
          <w:tcPr>
            <w:tcW w:w="4536" w:type="dxa"/>
            <w:vMerge w:val="restart"/>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Private owner</w:t>
            </w:r>
            <w:r w:rsidR="002A6C64">
              <w:rPr>
                <w:rFonts w:cstheme="minorHAnsi"/>
              </w:rPr>
              <w:t>s</w:t>
            </w:r>
          </w:p>
        </w:tc>
        <w:tc>
          <w:tcPr>
            <w:tcW w:w="1701" w:type="dxa"/>
            <w:vMerge w:val="restart"/>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Married</w:t>
            </w:r>
          </w:p>
        </w:tc>
      </w:tr>
      <w:tr w:rsidR="00A079D2" w:rsidRPr="00E836FB" w:rsidTr="00456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079D2" w:rsidRPr="00E836FB" w:rsidRDefault="00A079D2" w:rsidP="00456860">
            <w:pPr>
              <w:spacing w:before="40" w:afterLines="40" w:after="96"/>
              <w:rPr>
                <w:rFonts w:cstheme="minorHAnsi"/>
                <w:b w:val="0"/>
                <w:bCs w:val="0"/>
              </w:rPr>
            </w:pPr>
            <w:r w:rsidRPr="00E836FB">
              <w:rPr>
                <w:rFonts w:cstheme="minorHAnsi"/>
              </w:rPr>
              <w:t>16</w:t>
            </w:r>
          </w:p>
        </w:tc>
        <w:tc>
          <w:tcPr>
            <w:tcW w:w="1134"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Male</w:t>
            </w:r>
          </w:p>
        </w:tc>
        <w:tc>
          <w:tcPr>
            <w:tcW w:w="709"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70</w:t>
            </w:r>
          </w:p>
        </w:tc>
        <w:tc>
          <w:tcPr>
            <w:tcW w:w="4536" w:type="dxa"/>
            <w:vMerge/>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p>
        </w:tc>
        <w:tc>
          <w:tcPr>
            <w:tcW w:w="1701" w:type="dxa"/>
            <w:vMerge/>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p>
        </w:tc>
      </w:tr>
      <w:tr w:rsidR="00A079D2" w:rsidRPr="00E836FB" w:rsidTr="00456860">
        <w:tc>
          <w:tcPr>
            <w:cnfStyle w:val="001000000000" w:firstRow="0" w:lastRow="0" w:firstColumn="1" w:lastColumn="0" w:oddVBand="0" w:evenVBand="0" w:oddHBand="0" w:evenHBand="0" w:firstRowFirstColumn="0" w:firstRowLastColumn="0" w:lastRowFirstColumn="0" w:lastRowLastColumn="0"/>
            <w:tcW w:w="562" w:type="dxa"/>
          </w:tcPr>
          <w:p w:rsidR="00A079D2" w:rsidRPr="00E836FB" w:rsidRDefault="00A079D2" w:rsidP="00456860">
            <w:pPr>
              <w:spacing w:before="40" w:afterLines="40" w:after="96"/>
              <w:rPr>
                <w:rFonts w:cstheme="minorHAnsi"/>
                <w:b w:val="0"/>
                <w:bCs w:val="0"/>
              </w:rPr>
            </w:pPr>
            <w:r w:rsidRPr="00E836FB">
              <w:rPr>
                <w:rFonts w:cstheme="minorHAnsi"/>
              </w:rPr>
              <w:t>17</w:t>
            </w:r>
          </w:p>
        </w:tc>
        <w:tc>
          <w:tcPr>
            <w:tcW w:w="1134"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Female</w:t>
            </w:r>
          </w:p>
        </w:tc>
        <w:tc>
          <w:tcPr>
            <w:tcW w:w="709"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82</w:t>
            </w:r>
          </w:p>
        </w:tc>
        <w:tc>
          <w:tcPr>
            <w:tcW w:w="4536"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Accommodated by adult child; awaiting social housing</w:t>
            </w:r>
          </w:p>
        </w:tc>
        <w:tc>
          <w:tcPr>
            <w:tcW w:w="1701"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Married</w:t>
            </w:r>
          </w:p>
        </w:tc>
      </w:tr>
      <w:tr w:rsidR="00A079D2" w:rsidRPr="00E836FB" w:rsidTr="00456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A079D2" w:rsidRPr="00E836FB" w:rsidRDefault="00A079D2" w:rsidP="00456860">
            <w:pPr>
              <w:spacing w:before="40" w:afterLines="40" w:after="96"/>
              <w:rPr>
                <w:rFonts w:cstheme="minorHAnsi"/>
                <w:b w:val="0"/>
                <w:bCs w:val="0"/>
              </w:rPr>
            </w:pPr>
            <w:r w:rsidRPr="00E836FB">
              <w:rPr>
                <w:rFonts w:cstheme="minorHAnsi"/>
              </w:rPr>
              <w:t>18</w:t>
            </w:r>
          </w:p>
        </w:tc>
        <w:tc>
          <w:tcPr>
            <w:tcW w:w="1134"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Female</w:t>
            </w:r>
          </w:p>
        </w:tc>
        <w:tc>
          <w:tcPr>
            <w:tcW w:w="709"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50</w:t>
            </w:r>
          </w:p>
        </w:tc>
        <w:tc>
          <w:tcPr>
            <w:tcW w:w="4536"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Private rental</w:t>
            </w:r>
          </w:p>
        </w:tc>
        <w:tc>
          <w:tcPr>
            <w:tcW w:w="1701" w:type="dxa"/>
          </w:tcPr>
          <w:p w:rsidR="00A079D2" w:rsidRPr="00E836FB" w:rsidRDefault="00A079D2" w:rsidP="00456860">
            <w:pPr>
              <w:spacing w:before="40" w:afterLines="40" w:after="96"/>
              <w:cnfStyle w:val="000000100000" w:firstRow="0" w:lastRow="0" w:firstColumn="0" w:lastColumn="0" w:oddVBand="0" w:evenVBand="0" w:oddHBand="1" w:evenHBand="0" w:firstRowFirstColumn="0" w:firstRowLastColumn="0" w:lastRowFirstColumn="0" w:lastRowLastColumn="0"/>
              <w:rPr>
                <w:rFonts w:cstheme="minorHAnsi"/>
              </w:rPr>
            </w:pPr>
            <w:r w:rsidRPr="00E836FB">
              <w:rPr>
                <w:rFonts w:cstheme="minorHAnsi"/>
              </w:rPr>
              <w:t>Divorced</w:t>
            </w:r>
          </w:p>
        </w:tc>
      </w:tr>
      <w:tr w:rsidR="00A079D2" w:rsidRPr="00E836FB" w:rsidTr="00456860">
        <w:tc>
          <w:tcPr>
            <w:cnfStyle w:val="001000000000" w:firstRow="0" w:lastRow="0" w:firstColumn="1" w:lastColumn="0" w:oddVBand="0" w:evenVBand="0" w:oddHBand="0" w:evenHBand="0" w:firstRowFirstColumn="0" w:firstRowLastColumn="0" w:lastRowFirstColumn="0" w:lastRowLastColumn="0"/>
            <w:tcW w:w="562" w:type="dxa"/>
          </w:tcPr>
          <w:p w:rsidR="00A079D2" w:rsidRPr="00E836FB" w:rsidRDefault="00A079D2" w:rsidP="00456860">
            <w:pPr>
              <w:spacing w:before="40" w:afterLines="40" w:after="96"/>
              <w:rPr>
                <w:rFonts w:cstheme="minorHAnsi"/>
                <w:b w:val="0"/>
                <w:bCs w:val="0"/>
              </w:rPr>
            </w:pPr>
            <w:r w:rsidRPr="00E836FB">
              <w:rPr>
                <w:rFonts w:cstheme="minorHAnsi"/>
              </w:rPr>
              <w:t>19</w:t>
            </w:r>
          </w:p>
        </w:tc>
        <w:tc>
          <w:tcPr>
            <w:tcW w:w="1134"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Female</w:t>
            </w:r>
          </w:p>
        </w:tc>
        <w:tc>
          <w:tcPr>
            <w:tcW w:w="709"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63</w:t>
            </w:r>
          </w:p>
        </w:tc>
        <w:tc>
          <w:tcPr>
            <w:tcW w:w="4536"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Individual supported accommodation</w:t>
            </w:r>
          </w:p>
        </w:tc>
        <w:tc>
          <w:tcPr>
            <w:tcW w:w="1701" w:type="dxa"/>
          </w:tcPr>
          <w:p w:rsidR="00A079D2" w:rsidRPr="00E836FB" w:rsidRDefault="00A079D2" w:rsidP="00456860">
            <w:pPr>
              <w:spacing w:before="40" w:afterLines="40" w:after="96"/>
              <w:cnfStyle w:val="000000000000" w:firstRow="0" w:lastRow="0" w:firstColumn="0" w:lastColumn="0" w:oddVBand="0" w:evenVBand="0" w:oddHBand="0" w:evenHBand="0" w:firstRowFirstColumn="0" w:firstRowLastColumn="0" w:lastRowFirstColumn="0" w:lastRowLastColumn="0"/>
              <w:rPr>
                <w:rFonts w:cstheme="minorHAnsi"/>
              </w:rPr>
            </w:pPr>
            <w:r w:rsidRPr="00E836FB">
              <w:rPr>
                <w:rFonts w:cstheme="minorHAnsi"/>
              </w:rPr>
              <w:t>Separated</w:t>
            </w:r>
          </w:p>
        </w:tc>
      </w:tr>
    </w:tbl>
    <w:p w:rsidR="00A079D2" w:rsidRPr="00E836FB" w:rsidRDefault="00A079D2" w:rsidP="00456860">
      <w:pPr>
        <w:rPr>
          <w:rFonts w:cstheme="minorHAnsi"/>
          <w:b/>
          <w:sz w:val="20"/>
          <w:szCs w:val="20"/>
        </w:rPr>
      </w:pPr>
      <w:r w:rsidRPr="00E836FB">
        <w:rPr>
          <w:rFonts w:cstheme="minorHAnsi"/>
          <w:sz w:val="20"/>
          <w:szCs w:val="20"/>
        </w:rPr>
        <w:t xml:space="preserve"> </w:t>
      </w:r>
    </w:p>
    <w:p w:rsidR="00A079D2" w:rsidRPr="00E836FB" w:rsidRDefault="00A079D2" w:rsidP="00456860">
      <w:r w:rsidRPr="00E836FB">
        <w:t>Most participants were not married or in spousal relationships and they lived in a range of housing circumstances, from couch</w:t>
      </w:r>
      <w:r>
        <w:t>-</w:t>
      </w:r>
      <w:r w:rsidRPr="00E836FB">
        <w:t xml:space="preserve">surfing to being landlords of one or more properties. Age appeared to provide little protection from housing insecurity. Indeed, the oldest </w:t>
      </w:r>
      <w:r>
        <w:t xml:space="preserve">person </w:t>
      </w:r>
      <w:r w:rsidRPr="00E836FB">
        <w:t xml:space="preserve">in the study had been recently rendered homeless after being evicted from long-term housing by a new landlord. </w:t>
      </w:r>
    </w:p>
    <w:p w:rsidR="00A079D2" w:rsidRPr="00E836FB" w:rsidRDefault="00A079D2" w:rsidP="00456860">
      <w:r w:rsidRPr="00E836FB">
        <w:t xml:space="preserve">Those interviewed self-selected to be part of this study. This means they are people with a particular interest in the research topic and with a story they feel strongly enough about to want to share with a researcher. The important limitation created by this sort of sampling is that there is a high potential for sample bias </w:t>
      </w:r>
      <w:r>
        <w:rPr>
          <w:noProof/>
        </w:rPr>
        <w:t>(Tranter 2019)</w:t>
      </w:r>
      <w:r w:rsidRPr="00E836FB">
        <w:t>.</w:t>
      </w:r>
    </w:p>
    <w:p w:rsidR="00A079D2" w:rsidRDefault="00A079D2">
      <w:pPr>
        <w:spacing w:line="259" w:lineRule="auto"/>
        <w:rPr>
          <w:rFonts w:eastAsiaTheme="majorEastAsia" w:cstheme="majorBidi"/>
          <w:color w:val="2F5496" w:themeColor="accent1" w:themeShade="BF"/>
          <w:sz w:val="26"/>
          <w:szCs w:val="26"/>
        </w:rPr>
      </w:pPr>
      <w:bookmarkStart w:id="60" w:name="_Toc155254332"/>
      <w:r>
        <w:br w:type="page"/>
      </w:r>
    </w:p>
    <w:p w:rsidR="00A079D2" w:rsidRPr="00E836FB" w:rsidRDefault="00A079D2" w:rsidP="00456860">
      <w:pPr>
        <w:pStyle w:val="Heading2"/>
      </w:pPr>
      <w:bookmarkStart w:id="61" w:name="_Toc166757738"/>
      <w:r w:rsidRPr="00E836FB">
        <w:lastRenderedPageBreak/>
        <w:t>Themes in the narratives</w:t>
      </w:r>
      <w:bookmarkEnd w:id="60"/>
      <w:bookmarkEnd w:id="61"/>
    </w:p>
    <w:p w:rsidR="00A079D2" w:rsidRPr="00E836FB" w:rsidRDefault="00A079D2" w:rsidP="00456860">
      <w:r w:rsidRPr="00E836FB">
        <w:t>Key themes identified in the participants’ stories were:</w:t>
      </w:r>
    </w:p>
    <w:p w:rsidR="00A079D2" w:rsidRPr="00E836FB" w:rsidRDefault="00A079D2" w:rsidP="00456860">
      <w:pPr>
        <w:numPr>
          <w:ilvl w:val="0"/>
          <w:numId w:val="1"/>
        </w:numPr>
        <w:contextualSpacing/>
      </w:pPr>
      <w:r>
        <w:t>F</w:t>
      </w:r>
      <w:r w:rsidRPr="00E836FB">
        <w:t>amily and community play an important role in people’s housing experiences</w:t>
      </w:r>
    </w:p>
    <w:p w:rsidR="00A079D2" w:rsidRPr="00E836FB" w:rsidRDefault="00A079D2" w:rsidP="00456860">
      <w:pPr>
        <w:numPr>
          <w:ilvl w:val="0"/>
          <w:numId w:val="1"/>
        </w:numPr>
        <w:contextualSpacing/>
      </w:pPr>
      <w:r>
        <w:t>P</w:t>
      </w:r>
      <w:r w:rsidRPr="00E836FB">
        <w:t>eople seeking housing support f</w:t>
      </w:r>
      <w:r>
        <w:t>a</w:t>
      </w:r>
      <w:r w:rsidRPr="00E836FB">
        <w:t>ll into two broad groups</w:t>
      </w:r>
      <w:r>
        <w:t xml:space="preserve"> </w:t>
      </w:r>
      <w:r w:rsidRPr="00E836FB">
        <w:t>—</w:t>
      </w:r>
      <w:r>
        <w:t xml:space="preserve"> </w:t>
      </w:r>
      <w:r w:rsidRPr="00E836FB">
        <w:t>those for whom their need for housing was an unexpected and new experience, and others for whom housing insecurity was a long-term condition</w:t>
      </w:r>
    </w:p>
    <w:p w:rsidR="00A079D2" w:rsidRPr="00E836FB" w:rsidRDefault="00A079D2" w:rsidP="00456860">
      <w:pPr>
        <w:numPr>
          <w:ilvl w:val="0"/>
          <w:numId w:val="1"/>
        </w:numPr>
        <w:contextualSpacing/>
      </w:pPr>
      <w:r>
        <w:t>D</w:t>
      </w:r>
      <w:r w:rsidRPr="00E836FB">
        <w:t>isability and mental distress are factors affecting those seeking housing support</w:t>
      </w:r>
    </w:p>
    <w:p w:rsidR="00A079D2" w:rsidRPr="00E836FB" w:rsidRDefault="00A079D2" w:rsidP="00456860">
      <w:pPr>
        <w:numPr>
          <w:ilvl w:val="0"/>
          <w:numId w:val="1"/>
        </w:numPr>
        <w:contextualSpacing/>
      </w:pPr>
      <w:r>
        <w:t>T</w:t>
      </w:r>
      <w:r w:rsidRPr="00E836FB">
        <w:t>here are gendered patterns in housing insecurity.</w:t>
      </w:r>
    </w:p>
    <w:p w:rsidR="00A079D2" w:rsidRPr="00E836FB" w:rsidRDefault="00A079D2" w:rsidP="00456860"/>
    <w:p w:rsidR="00A079D2" w:rsidRPr="00E836FB" w:rsidRDefault="00A079D2" w:rsidP="00456860">
      <w:r w:rsidRPr="00E836FB">
        <w:t xml:space="preserve">Six of the </w:t>
      </w:r>
      <w:r>
        <w:t>19</w:t>
      </w:r>
      <w:r w:rsidRPr="00E836FB">
        <w:t xml:space="preserve"> people interviewed fully owned the homes they live</w:t>
      </w:r>
      <w:r>
        <w:t>d</w:t>
      </w:r>
      <w:r w:rsidRPr="00E836FB">
        <w:t xml:space="preserve"> in. They had no mortgages and were in dwellings that were appropriate for their present and imagined future needs. Two of this group, living in a house the family had owned for two generations, which now housed them and members of the next two generations, had also been landlords. One woman owned her home and rented out a room to students as a </w:t>
      </w:r>
      <w:r>
        <w:t>way</w:t>
      </w:r>
      <w:r w:rsidRPr="00E836FB">
        <w:t xml:space="preserve"> to afford living costs and remain there as she aged, while another had managed to hold onto her house by living very frugally for more than a decade. Two had ‘fallen on their feet’ after decades veering between living on the streets, couch-surfing, vagrancy, prison, and renting. Luck had played a big part in where each of these people found themselves: inheriting property and/or money</w:t>
      </w:r>
      <w:r>
        <w:t>;</w:t>
      </w:r>
      <w:r w:rsidRPr="00E836FB">
        <w:t xml:space="preserve"> buying decades ago when houses were more affordable and having sufficient steady income to pay off the mortgage</w:t>
      </w:r>
      <w:r>
        <w:t>;</w:t>
      </w:r>
      <w:r w:rsidRPr="00E836FB">
        <w:t xml:space="preserve"> and for one person, finding that the “</w:t>
      </w:r>
      <w:r w:rsidRPr="00E836FB">
        <w:rPr>
          <w:i/>
        </w:rPr>
        <w:t>pretty dilapidated</w:t>
      </w:r>
      <w:r w:rsidRPr="00E836FB">
        <w:t>” house set in a rough paddock that they had shared with their now deceased spouse had turned out to be a fortunate choice: “</w:t>
      </w:r>
      <w:r w:rsidRPr="00E836FB">
        <w:rPr>
          <w:rFonts w:eastAsia="Calibri" w:cs="Calibri"/>
          <w:i/>
          <w:color w:val="000000"/>
        </w:rPr>
        <w:t>because the land was subdivided, I ended up getting quite a bit of money for it</w:t>
      </w:r>
      <w:r w:rsidRPr="00E836FB">
        <w:rPr>
          <w:rFonts w:eastAsia="Calibri" w:cs="Calibri"/>
          <w:color w:val="000000"/>
        </w:rPr>
        <w:t xml:space="preserve"> …</w:t>
      </w:r>
      <w:r w:rsidRPr="00E836FB">
        <w:rPr>
          <w:rFonts w:eastAsia="Calibri" w:cs="Calibri"/>
          <w:i/>
          <w:color w:val="000000"/>
        </w:rPr>
        <w:t xml:space="preserve"> I never ever thought that I'd be a millionaire”.</w:t>
      </w:r>
      <w:r w:rsidRPr="00E836FB">
        <w:t xml:space="preserve"> </w:t>
      </w:r>
    </w:p>
    <w:p w:rsidR="00A079D2" w:rsidRDefault="00A079D2" w:rsidP="00456860">
      <w:r w:rsidRPr="00E836FB">
        <w:t>Each of these people was grateful for their circumstances. They spoke of the security they felt and of the comfort in knowing that they would likely be able to remain where they were as they aged, surrounded by familiar gardens, landscapes, and communities.</w:t>
      </w:r>
    </w:p>
    <w:p w:rsidR="00A079D2" w:rsidRPr="00E836FB" w:rsidRDefault="00A079D2" w:rsidP="00456860">
      <w:r>
        <w:t>The 13 other people interviewed had been less fortunate.</w:t>
      </w:r>
    </w:p>
    <w:p w:rsidR="00A079D2" w:rsidRPr="00E836FB" w:rsidRDefault="00A079D2" w:rsidP="00456860">
      <w:pPr>
        <w:pStyle w:val="Heading3"/>
      </w:pPr>
      <w:bookmarkStart w:id="62" w:name="_Toc166757739"/>
      <w:r w:rsidRPr="00E836FB">
        <w:t>Loss</w:t>
      </w:r>
      <w:r>
        <w:t xml:space="preserve"> </w:t>
      </w:r>
      <w:r w:rsidRPr="00E836FB">
        <w:t>—</w:t>
      </w:r>
      <w:r>
        <w:t xml:space="preserve"> </w:t>
      </w:r>
      <w:r w:rsidRPr="00E836FB">
        <w:t>recent and historical</w:t>
      </w:r>
      <w:bookmarkEnd w:id="62"/>
    </w:p>
    <w:p w:rsidR="00A079D2" w:rsidRPr="007B719F" w:rsidRDefault="00A079D2" w:rsidP="00456860">
      <w:pPr>
        <w:pStyle w:val="Quote"/>
      </w:pPr>
      <w:r w:rsidRPr="007B719F">
        <w:t>“[We’ve] learnt not to get attached to anything, because you never [know] when you’ll lose it”.</w:t>
      </w:r>
    </w:p>
    <w:p w:rsidR="00A079D2" w:rsidRPr="00E836FB" w:rsidRDefault="00A079D2" w:rsidP="00456860">
      <w:r w:rsidRPr="00E836FB">
        <w:t>Loss plays a big part in the narratives. Perhaps the most powerful loss spoken about was of relationships that were linked with home</w:t>
      </w:r>
      <w:r>
        <w:t>s</w:t>
      </w:r>
      <w:r w:rsidRPr="00E836FB">
        <w:t xml:space="preserve">, including loss of family safety (through abusive adults) and loss of adult spousal relationships. For those who had experienced either or both of these losses, housing security was an additional casualty. </w:t>
      </w:r>
    </w:p>
    <w:p w:rsidR="00A079D2" w:rsidRPr="00E836FB" w:rsidRDefault="00A079D2" w:rsidP="00456860">
      <w:r w:rsidRPr="00E836FB">
        <w:t>Women and men spoke about childhood or adolescent experiences of abuse</w:t>
      </w:r>
      <w:r>
        <w:t xml:space="preserve"> </w:t>
      </w:r>
      <w:r w:rsidRPr="00E836FB">
        <w:t>—</w:t>
      </w:r>
      <w:r>
        <w:t xml:space="preserve"> </w:t>
      </w:r>
      <w:r w:rsidRPr="00E836FB">
        <w:t>parental neglect, or psychological, physical or sexual abuse</w:t>
      </w:r>
      <w:r>
        <w:t xml:space="preserve"> </w:t>
      </w:r>
      <w:r w:rsidRPr="00E836FB">
        <w:t>—</w:t>
      </w:r>
      <w:r>
        <w:t xml:space="preserve"> </w:t>
      </w:r>
      <w:r w:rsidRPr="00E836FB">
        <w:t>that had driven their early experiences of homelessness:</w:t>
      </w:r>
    </w:p>
    <w:p w:rsidR="00A079D2" w:rsidRPr="00E836FB" w:rsidRDefault="00A079D2" w:rsidP="00456860">
      <w:pPr>
        <w:pStyle w:val="Quote"/>
      </w:pPr>
      <w:r>
        <w:t>“</w:t>
      </w:r>
      <w:r w:rsidRPr="00E836FB">
        <w:t xml:space="preserve">… that's when I started to go and live on the streets and things like that. I was a pretty regular client of [shelter]. Spent quite a few weeks sleeping </w:t>
      </w:r>
      <w:r w:rsidRPr="00E836FB">
        <w:lastRenderedPageBreak/>
        <w:t>in a broken-down car in someone's backyard. I would sleep in toilets. I slept in the toilet at the [park]. I would do stuff for a place to stay.</w:t>
      </w:r>
      <w:r>
        <w:t>”</w:t>
      </w:r>
      <w:r w:rsidRPr="00E836FB">
        <w:t xml:space="preserve"> </w:t>
      </w:r>
    </w:p>
    <w:p w:rsidR="00A079D2" w:rsidRPr="00E836FB" w:rsidRDefault="00A079D2" w:rsidP="00456860">
      <w:r w:rsidRPr="00E836FB">
        <w:t>They had escaped unsafe family settings for living rough</w:t>
      </w:r>
      <w:r>
        <w:t>,</w:t>
      </w:r>
      <w:r w:rsidRPr="00E836FB">
        <w:t xml:space="preserve"> sleeping on the streets (“</w:t>
      </w:r>
      <w:r w:rsidRPr="00E836FB">
        <w:rPr>
          <w:i/>
        </w:rPr>
        <w:t>I'd be on the streets at 2 o'clock, 3 o'clock in the morning …</w:t>
      </w:r>
      <w:r w:rsidR="00FC3716">
        <w:rPr>
          <w:i/>
        </w:rPr>
        <w:t xml:space="preserve"> </w:t>
      </w:r>
      <w:r w:rsidRPr="00E836FB">
        <w:rPr>
          <w:i/>
        </w:rPr>
        <w:t>you're a target for the police at that hour of the night</w:t>
      </w:r>
      <w:r w:rsidRPr="00E836FB">
        <w:t>”), couch-</w:t>
      </w:r>
      <w:r w:rsidRPr="00184F01">
        <w:t xml:space="preserve">surfing in exchange for sex or illicit substances, or falling into sexually coercive and abusive relationships </w:t>
      </w:r>
      <w:r>
        <w:rPr>
          <w:noProof/>
        </w:rPr>
        <w:t>(and see Hobbs 2022)</w:t>
      </w:r>
      <w:r w:rsidRPr="00184F01">
        <w:t>. These experiences were not universally reviled. Participants spoke of the ‘family’ they developed on the street, and remained in touch with those family members who were still alive. As one person put it, “</w:t>
      </w:r>
      <w:r w:rsidRPr="00184F01">
        <w:rPr>
          <w:rFonts w:eastAsia="Calibri" w:cs="Calibri"/>
          <w:i/>
          <w:color w:val="000000"/>
        </w:rPr>
        <w:t>Well, I must admit, all the people that I met and used drugs with, we were a family</w:t>
      </w:r>
      <w:r w:rsidRPr="00E836FB">
        <w:rPr>
          <w:rFonts w:eastAsia="Calibri" w:cs="Calibri"/>
          <w:i/>
          <w:color w:val="000000"/>
        </w:rPr>
        <w:t xml:space="preserve"> because no one else looked out for us, but we looked out for each other</w:t>
      </w:r>
      <w:r w:rsidRPr="00E836FB">
        <w:rPr>
          <w:rFonts w:eastAsia="Calibri" w:cs="Calibri"/>
          <w:color w:val="000000"/>
        </w:rPr>
        <w:t xml:space="preserve">”. </w:t>
      </w:r>
    </w:p>
    <w:p w:rsidR="00A079D2" w:rsidRPr="00E836FB" w:rsidRDefault="00A079D2" w:rsidP="00456860">
      <w:r w:rsidRPr="00E836FB">
        <w:t xml:space="preserve">Another loss was of adult romantic or spousal relationships. Eleven of the 16 people who spoke about marital status had been divorced or had their major intimate relationship(s) break down. In all cases, it had wrought havoc with their housing. While men and women were equally devastated by this loss, for women it was often compounded by a lack of superannuation or a stake in any property, and by inequities in financial settlements. For example, one woman had left her marriage of two decades with </w:t>
      </w:r>
      <w:r w:rsidRPr="00E836FB">
        <w:rPr>
          <w:i/>
        </w:rPr>
        <w:t>“$4000 in the bank [and] an old car that only just got me</w:t>
      </w:r>
      <w:r w:rsidRPr="00E836FB">
        <w:t xml:space="preserve"> </w:t>
      </w:r>
      <w:r w:rsidRPr="00E836FB">
        <w:rPr>
          <w:i/>
        </w:rPr>
        <w:t>[to a different city</w:t>
      </w:r>
      <w:r w:rsidRPr="00E836FB">
        <w:rPr>
          <w:i/>
          <w:u w:val="single"/>
        </w:rPr>
        <w:t>]</w:t>
      </w:r>
      <w:r w:rsidRPr="00E836FB">
        <w:t>”. For another, despite starting with a shared mortgage of $12,000 and making years of repayments, “</w:t>
      </w:r>
      <w:r w:rsidRPr="00E836FB">
        <w:rPr>
          <w:i/>
        </w:rPr>
        <w:t>when we divorced, [the mortgage was] $320,000. Winner, winner</w:t>
      </w:r>
      <w:r w:rsidRPr="00E836FB">
        <w:rPr>
          <w:b/>
          <w:i/>
        </w:rPr>
        <w:t xml:space="preserve">. </w:t>
      </w:r>
      <w:r w:rsidRPr="00E836FB">
        <w:rPr>
          <w:i/>
        </w:rPr>
        <w:t>I had no say in it. God, he was in control of the money. I had no money of my own</w:t>
      </w:r>
      <w:r w:rsidRPr="00E836FB">
        <w:t>”. For one woman, provision had been made for her husband’s future in the form of a property portfolio, but she was left with a house and substantial mortgage when her husband “</w:t>
      </w:r>
      <w:r w:rsidRPr="00E836FB">
        <w:rPr>
          <w:i/>
        </w:rPr>
        <w:t>replaced”</w:t>
      </w:r>
      <w:r w:rsidRPr="00E836FB">
        <w:t xml:space="preserve"> her with “</w:t>
      </w:r>
      <w:r w:rsidRPr="00E836FB">
        <w:rPr>
          <w:i/>
        </w:rPr>
        <w:t>a younger model</w:t>
      </w:r>
      <w:r w:rsidRPr="00E836FB">
        <w:t xml:space="preserve">”: </w:t>
      </w:r>
    </w:p>
    <w:p w:rsidR="00A079D2" w:rsidRPr="00E836FB" w:rsidRDefault="00A079D2" w:rsidP="00456860">
      <w:pPr>
        <w:pStyle w:val="Quote"/>
      </w:pPr>
      <w:r>
        <w:t>“</w:t>
      </w:r>
      <w:r w:rsidRPr="00E836FB">
        <w:t>So, he went off and he had all the other properties and I had the house because they were</w:t>
      </w:r>
      <w:r>
        <w:t xml:space="preserve"> </w:t>
      </w:r>
      <w:r w:rsidRPr="00E836FB">
        <w:t>—</w:t>
      </w:r>
      <w:r>
        <w:t xml:space="preserve"> </w:t>
      </w:r>
      <w:r w:rsidRPr="00E836FB">
        <w:t>on paper</w:t>
      </w:r>
      <w:r>
        <w:t xml:space="preserve"> </w:t>
      </w:r>
      <w:r w:rsidRPr="00E836FB">
        <w:t>—</w:t>
      </w:r>
      <w:r>
        <w:t xml:space="preserve"> </w:t>
      </w:r>
      <w:r w:rsidRPr="00E836FB">
        <w:t>[of] equal value. So yes, very different. Well, his would've been income earning and negatively gear-able, mine was neither.</w:t>
      </w:r>
      <w:r>
        <w:t>”</w:t>
      </w:r>
      <w:r w:rsidRPr="00E836FB">
        <w:t xml:space="preserve"> </w:t>
      </w:r>
    </w:p>
    <w:p w:rsidR="00A079D2" w:rsidRPr="00E836FB" w:rsidRDefault="00A079D2" w:rsidP="00456860">
      <w:r w:rsidRPr="00E836FB">
        <w:t>This meant digging into her superannuation, with the result that “</w:t>
      </w:r>
      <w:r w:rsidRPr="00E836FB">
        <w:rPr>
          <w:i/>
        </w:rPr>
        <w:t>I've got to die about six years earlier</w:t>
      </w:r>
      <w:r w:rsidRPr="00E836FB">
        <w:t xml:space="preserve">”. </w:t>
      </w:r>
    </w:p>
    <w:p w:rsidR="00A079D2" w:rsidRPr="00E836FB" w:rsidRDefault="00A079D2" w:rsidP="00456860">
      <w:r w:rsidRPr="00E836FB">
        <w:t>Some participants had already exhausted their superannuation trying to maintain secure housing</w:t>
      </w:r>
      <w:r>
        <w:t xml:space="preserve"> </w:t>
      </w:r>
      <w:r w:rsidRPr="00E836FB">
        <w:t>—</w:t>
      </w:r>
      <w:r>
        <w:t xml:space="preserve"> </w:t>
      </w:r>
      <w:r w:rsidRPr="00E836FB">
        <w:t>the youngest person in the study, who now lives on a Disability Support Pension, was “</w:t>
      </w:r>
      <w:r w:rsidRPr="00E836FB">
        <w:rPr>
          <w:i/>
        </w:rPr>
        <w:t xml:space="preserve">out of super. </w:t>
      </w:r>
      <w:r w:rsidRPr="00E836FB">
        <w:rPr>
          <w:rFonts w:eastAsia="Palatino Linotype" w:cs="Palatino Linotype"/>
          <w:i/>
          <w:color w:val="000000"/>
        </w:rPr>
        <w:t>I just had to, especially since I stopped working, I've had to access it every year</w:t>
      </w:r>
      <w:r w:rsidRPr="00E836FB">
        <w:t>”. Some had been previously assisted by the National Rental Affordability Scheme, “</w:t>
      </w:r>
      <w:r w:rsidRPr="00E836FB">
        <w:rPr>
          <w:i/>
        </w:rPr>
        <w:t>But it only went for 10 years. Yeah, for me, it finished two years before I left [private rental]. So that's when I started to struggle</w:t>
      </w:r>
      <w:r w:rsidRPr="00E836FB">
        <w:t xml:space="preserve">”. Others had never accumulated superannuation, and </w:t>
      </w:r>
      <w:r>
        <w:t>were</w:t>
      </w:r>
      <w:r w:rsidRPr="00E836FB">
        <w:t xml:space="preserve"> reliant solely on government pensions. </w:t>
      </w:r>
    </w:p>
    <w:p w:rsidR="00A079D2" w:rsidRPr="00E836FB" w:rsidRDefault="00A079D2" w:rsidP="00456860">
      <w:r w:rsidRPr="00E836FB">
        <w:t xml:space="preserve">Loss of housing security resulted in further forms of loss: </w:t>
      </w:r>
      <w:r>
        <w:t xml:space="preserve">loss </w:t>
      </w:r>
      <w:r w:rsidRPr="00E836FB">
        <w:t>of possessions that had meaning and loss of connection with places, family members, friends and the wider community. For several, the shared home they had worked hard for had offered sanctuary, with spaces “</w:t>
      </w:r>
      <w:r w:rsidRPr="00E836FB">
        <w:rPr>
          <w:i/>
        </w:rPr>
        <w:t>where I could go in to do whatever I wanted to do and close the door</w:t>
      </w:r>
      <w:r w:rsidRPr="00E836FB">
        <w:t xml:space="preserve">”. </w:t>
      </w:r>
      <w:r>
        <w:t>After broken relationships, t</w:t>
      </w:r>
      <w:r w:rsidRPr="00E836FB">
        <w:t>hose rooms or houses “</w:t>
      </w:r>
      <w:r w:rsidRPr="00E836FB">
        <w:rPr>
          <w:i/>
        </w:rPr>
        <w:t>no longer felt the same</w:t>
      </w:r>
      <w:r w:rsidRPr="00E836FB">
        <w:t>”. When they moved, driven out by changed circumstances, their sense of belonging and connection with community was disrupted or lost altogether</w:t>
      </w:r>
      <w:r>
        <w:t>:</w:t>
      </w:r>
    </w:p>
    <w:p w:rsidR="00A079D2" w:rsidRPr="00E836FB" w:rsidRDefault="00A079D2" w:rsidP="00456860">
      <w:pPr>
        <w:pStyle w:val="Quote"/>
      </w:pPr>
      <w:r>
        <w:lastRenderedPageBreak/>
        <w:t>“</w:t>
      </w:r>
      <w:r w:rsidRPr="00E836FB">
        <w:t>Having moved [to] such a remote [place], I had to leave all my friends. I really had nobody; I've got no family here. I've got no close friends. So, it's certainly isolating … it's friends that you've had for a very long time and that you're close to. I haven't been able to establish that again.</w:t>
      </w:r>
      <w:r>
        <w:t>”</w:t>
      </w:r>
      <w:r w:rsidRPr="00E836FB">
        <w:t xml:space="preserve"> </w:t>
      </w:r>
    </w:p>
    <w:p w:rsidR="00A079D2" w:rsidRPr="00E836FB" w:rsidRDefault="00A079D2" w:rsidP="00456860">
      <w:pPr>
        <w:pStyle w:val="Heading3"/>
      </w:pPr>
      <w:bookmarkStart w:id="63" w:name="_Toc166757740"/>
      <w:r w:rsidRPr="007B719F">
        <w:t>Living</w:t>
      </w:r>
      <w:r w:rsidRPr="00E836FB">
        <w:t xml:space="preserve"> with insecure housing requires constant work</w:t>
      </w:r>
      <w:bookmarkEnd w:id="63"/>
    </w:p>
    <w:p w:rsidR="00A079D2" w:rsidRPr="00E836FB" w:rsidRDefault="00A079D2" w:rsidP="00456860">
      <w:pPr>
        <w:pStyle w:val="Quote"/>
      </w:pPr>
      <w:r>
        <w:t>“</w:t>
      </w:r>
      <w:r w:rsidRPr="00E836FB">
        <w:t>I had this overwhelming thought</w:t>
      </w:r>
      <w:r w:rsidR="00FC3716">
        <w:t>:</w:t>
      </w:r>
      <w:r w:rsidRPr="00E836FB">
        <w:t xml:space="preserve"> I can’t do this. And I’ve never felt like that before and then I started to panic.</w:t>
      </w:r>
      <w:r>
        <w:t>”</w:t>
      </w:r>
      <w:r w:rsidRPr="00E836FB">
        <w:t xml:space="preserve"> </w:t>
      </w:r>
    </w:p>
    <w:p w:rsidR="00A079D2" w:rsidRPr="00E836FB" w:rsidRDefault="00A079D2" w:rsidP="00456860">
      <w:r w:rsidRPr="00E836FB">
        <w:t>For the participants who live</w:t>
      </w:r>
      <w:r>
        <w:t>d</w:t>
      </w:r>
      <w:r w:rsidRPr="00E836FB">
        <w:t xml:space="preserve"> in houses they own, maintenance and small improvements take effort (and money), so their income or other assets must cover these running costs. For renters and others facing insecurity or homelessness, the work required is of a different ilk, and its scheduling is set by others. This is most striking for those who couch</w:t>
      </w:r>
      <w:r>
        <w:t>-</w:t>
      </w:r>
      <w:r w:rsidRPr="00E836FB">
        <w:t>surfed or live</w:t>
      </w:r>
      <w:r>
        <w:t>d</w:t>
      </w:r>
      <w:r w:rsidRPr="00E836FB">
        <w:t xml:space="preserve"> in vans or other temporary accommodation which requires fitting in with the arrangements of others:</w:t>
      </w:r>
    </w:p>
    <w:p w:rsidR="00A079D2" w:rsidRPr="00E836FB" w:rsidRDefault="00A079D2" w:rsidP="00456860">
      <w:pPr>
        <w:pStyle w:val="Quote"/>
      </w:pPr>
      <w:r>
        <w:t>“</w:t>
      </w:r>
      <w:r w:rsidRPr="00E836FB">
        <w:t xml:space="preserve">I couldn't plan a week in advance. So I couldn't say, oh, </w:t>
      </w:r>
      <w:r>
        <w:t xml:space="preserve">[have] </w:t>
      </w:r>
      <w:r w:rsidRPr="00E836FB">
        <w:t xml:space="preserve">my friends come over. I couldn't cook a meal. I'm in someone else's house. I'm invading their privacy. And, when I'm saying I'm sleeping on lounges, I am sleeping on lounges … you’re always ducking and diving because I didn't want to be encroaching on someone else's personal space. … And you've got your bag of clothes lined up in a hallway or someone else's bedroom and … </w:t>
      </w:r>
      <w:r>
        <w:t>l</w:t>
      </w:r>
      <w:r w:rsidRPr="00E836FB">
        <w:t>ike, is it all right if I come in and grab some clothes? And then you go in the bathroom and another one's in there. … I was dodging other people. And I was grateful for them, but very, very conscious of their space. I didn't have a space.</w:t>
      </w:r>
      <w:r>
        <w:t>”</w:t>
      </w:r>
      <w:r w:rsidRPr="00E836FB">
        <w:t xml:space="preserve"> </w:t>
      </w:r>
    </w:p>
    <w:p w:rsidR="00A079D2" w:rsidRPr="00E836FB" w:rsidRDefault="00A079D2" w:rsidP="00456860">
      <w:r w:rsidRPr="00E836FB">
        <w:t xml:space="preserve">The same was true for those who had lived in short-term shelters, and for some in communal or individual supported accommodation. </w:t>
      </w:r>
    </w:p>
    <w:p w:rsidR="00A079D2" w:rsidRPr="00E836FB" w:rsidRDefault="00A079D2" w:rsidP="00456860">
      <w:r w:rsidRPr="00E836FB">
        <w:t>Almost everyone had faced poverty, scraping back their expenditure to the barest of bones in order to pay housing costs. They were creative and courageous about their circumstances, sometimes concealing the truth of their homelessness from others. One person leaving a destructive relationship worked hard to hide their situation: “</w:t>
      </w:r>
      <w:r w:rsidRPr="00E836FB">
        <w:rPr>
          <w:i/>
        </w:rPr>
        <w:t xml:space="preserve">my son and I were basically homeless. He </w:t>
      </w:r>
      <w:r w:rsidRPr="00E836FB">
        <w:rPr>
          <w:rFonts w:eastAsia="Palatino Linotype" w:cs="Palatino Linotype"/>
          <w:i/>
          <w:color w:val="000000"/>
        </w:rPr>
        <w:t>actually says now he didn't know. He thought we were having just a good time. An adventure</w:t>
      </w:r>
      <w:r w:rsidRPr="00E836FB">
        <w:rPr>
          <w:rFonts w:eastAsia="Palatino Linotype" w:cs="Palatino Linotype"/>
          <w:color w:val="000000"/>
        </w:rPr>
        <w:t xml:space="preserve">”. Interviewees who were or had been homelessness or in insecure housing needed to plan, learn new systems, and remain highly alert to risks and opportunities. Time and money were consumed by the work </w:t>
      </w:r>
      <w:r w:rsidRPr="00E836FB">
        <w:t>of reporting to Centrelink or other institutions, of battling to overturn incorrect decisions made by landlords (public and private), of ensuring that they would ‘pass’ the regular rental inspections, of finding somewhere new</w:t>
      </w:r>
      <w:r>
        <w:t>,</w:t>
      </w:r>
      <w:r w:rsidRPr="00E836FB">
        <w:t xml:space="preserve"> and of moving and re-establishing themselves. </w:t>
      </w:r>
    </w:p>
    <w:p w:rsidR="00A079D2" w:rsidRPr="00E836FB" w:rsidRDefault="00A079D2" w:rsidP="00456860">
      <w:r w:rsidRPr="00E836FB">
        <w:t>Obtaining and maintaining a tenancy can be difficult, fraught, alarming and distressing work:</w:t>
      </w:r>
    </w:p>
    <w:p w:rsidR="00A079D2" w:rsidRPr="00E836FB" w:rsidRDefault="00A079D2" w:rsidP="00456860">
      <w:pPr>
        <w:pStyle w:val="Quote"/>
      </w:pPr>
      <w:r>
        <w:t>“</w:t>
      </w:r>
      <w:r w:rsidRPr="00E836FB">
        <w:t>… it's a bit daunting to me. And then you've got to get electricity on there. I understand what you got to do to set the place up. Furniture to fill the house up in there. I wouldn't want to have that challenge right now.</w:t>
      </w:r>
      <w:r>
        <w:t>”</w:t>
      </w:r>
      <w:r w:rsidRPr="00E836FB">
        <w:t xml:space="preserve"> </w:t>
      </w:r>
    </w:p>
    <w:p w:rsidR="00A079D2" w:rsidRPr="00E836FB" w:rsidRDefault="00A079D2" w:rsidP="00456860">
      <w:pPr>
        <w:pStyle w:val="Heading3"/>
      </w:pPr>
      <w:bookmarkStart w:id="64" w:name="_Toc166757741"/>
      <w:r w:rsidRPr="00E836FB">
        <w:lastRenderedPageBreak/>
        <w:t>Insecure housing carries other hidden costs</w:t>
      </w:r>
      <w:bookmarkEnd w:id="64"/>
      <w:r w:rsidRPr="00E836FB">
        <w:t xml:space="preserve"> </w:t>
      </w:r>
    </w:p>
    <w:p w:rsidR="00A079D2" w:rsidRPr="00E836FB" w:rsidRDefault="00A079D2" w:rsidP="00456860">
      <w:r w:rsidRPr="00E836FB">
        <w:t>All interviewees who had experience of renting a place to live had dealt with invasions of privacy</w:t>
      </w:r>
      <w:r>
        <w:t xml:space="preserve"> </w:t>
      </w:r>
      <w:r w:rsidRPr="00E836FB">
        <w:t>—</w:t>
      </w:r>
      <w:r>
        <w:t xml:space="preserve"> </w:t>
      </w:r>
      <w:r w:rsidRPr="00E836FB">
        <w:t>both when applying for the property and as tenants. Detailed information was required by real estate agents and there were unscheduled intrusions, including by landlords who let themselves in for ‘a cuppa’ or to have a look around, and tradespeople coming in as though “</w:t>
      </w:r>
      <w:r w:rsidRPr="00E836FB">
        <w:rPr>
          <w:i/>
        </w:rPr>
        <w:t>You’re not even there, even though you’re cleaning the cupboards, and packing, you’re not in there, you know? People come up and measure for all sorts of things</w:t>
      </w:r>
      <w:r>
        <w:rPr>
          <w:i/>
        </w:rPr>
        <w:t>”.</w:t>
      </w:r>
      <w:r w:rsidRPr="00E836FB">
        <w:t xml:space="preserve"> </w:t>
      </w:r>
    </w:p>
    <w:p w:rsidR="00A079D2" w:rsidRPr="00E836FB" w:rsidRDefault="00A079D2" w:rsidP="00456860">
      <w:r w:rsidRPr="00E836FB">
        <w:t>There were also seemingly arbitrary changes to lease conditions, additional costs created by living in poorly-maintained housing, and a disregard for renters’ rights. Landlords and real estate agents have a great deal of power and not all of them exercise it appropriately. There was evidence of discrimination against older people, with landlords not “</w:t>
      </w:r>
      <w:r w:rsidRPr="00E836FB">
        <w:rPr>
          <w:i/>
        </w:rPr>
        <w:t>renting to pensioners, because if the rent goes up, they can’t raise the money</w:t>
      </w:r>
      <w:r w:rsidRPr="00E836FB">
        <w:t>”. One person had to “</w:t>
      </w:r>
      <w:r w:rsidRPr="00E836FB">
        <w:rPr>
          <w:i/>
        </w:rPr>
        <w:t>re-sign the lease three months early so that I could agree to the rent increase</w:t>
      </w:r>
      <w:r w:rsidRPr="00E836FB">
        <w:t>”. Earlier, they had:</w:t>
      </w:r>
    </w:p>
    <w:p w:rsidR="00A079D2" w:rsidRPr="00E836FB" w:rsidRDefault="00A079D2" w:rsidP="00456860">
      <w:pPr>
        <w:pStyle w:val="Quote"/>
      </w:pPr>
      <w:r>
        <w:t>“</w:t>
      </w:r>
      <w:r w:rsidRPr="00E836FB">
        <w:t xml:space="preserve">… moved to another place, $500 a week. I might have been paying about </w:t>
      </w:r>
      <w:r>
        <w:t>$</w:t>
      </w:r>
      <w:r w:rsidRPr="00E836FB">
        <w:t>480 or something a week at the end. Moved to another one, I had to lie about my previous, I couldn't give them as a reference because they were horrible. They wanted all of my bond; they wanted everything. We went to court and it was sorted out. It was okay. But it was horrible to go through.</w:t>
      </w:r>
      <w:r>
        <w:t>”</w:t>
      </w:r>
      <w:r w:rsidRPr="00E836FB">
        <w:t xml:space="preserve"> </w:t>
      </w:r>
    </w:p>
    <w:p w:rsidR="00A079D2" w:rsidRPr="00E836FB" w:rsidRDefault="00A079D2" w:rsidP="00456860">
      <w:r w:rsidRPr="00E836FB">
        <w:t>Older people are taking rental properties unseen, and accepting the poor conditions or unsuitability. The oldest people in the study had gratefully accepted a new-build unit with promises of accessibility and a gentle walk to the shops, but the reality of this site was that it was at the top of a fairly steep rise, and shops and services could only be accessed by driving. Nonetheless, everyone who had found accommodation said they felt “</w:t>
      </w:r>
      <w:r w:rsidRPr="00E836FB">
        <w:rPr>
          <w:i/>
        </w:rPr>
        <w:t>very lucky to find this place</w:t>
      </w:r>
      <w:r w:rsidRPr="00E836FB">
        <w:t>”. Several participants were living in rented social or private housing with a leaking roof, including one where there was “</w:t>
      </w:r>
      <w:r w:rsidRPr="00E836FB">
        <w:rPr>
          <w:rFonts w:eastAsia="Calibri" w:cs="Calibri"/>
          <w:i/>
          <w:color w:val="000000"/>
        </w:rPr>
        <w:t>a hole in the living room ceiling caused by the roof being loose and the water's come in and rotted through the ceiling</w:t>
      </w:r>
      <w:r w:rsidRPr="00E836FB">
        <w:t xml:space="preserve">”. This was just one of many problems, as this interviewee spelled out: </w:t>
      </w:r>
    </w:p>
    <w:p w:rsidR="00A079D2" w:rsidRPr="00E836FB" w:rsidRDefault="00A079D2" w:rsidP="00456860">
      <w:pPr>
        <w:pStyle w:val="Quote"/>
      </w:pPr>
      <w:r>
        <w:t>“</w:t>
      </w:r>
      <w:r w:rsidRPr="00E836FB">
        <w:t>… the bathroom's mouldy and you could see outside through the door jambs and the heating's very expensive. $1400 power bill. It's a little fan heater thing. And there's another one, a panel heater in the passage there, but there's no point using it because of the wind that's blowing through. I have a door snake against the front door. But the back one, I haven't really worried too much about it because you could see [wide gap] up the side of [it]</w:t>
      </w:r>
      <w:r>
        <w:t>,</w:t>
      </w:r>
      <w:r w:rsidRPr="00E836FB">
        <w:t xml:space="preserve"> yeah. The plumbing was blocked to buggery. The shower drain is broken. It's just been sort of bodgied.</w:t>
      </w:r>
      <w:r>
        <w:t>”</w:t>
      </w:r>
      <w:r w:rsidRPr="00E836FB">
        <w:t xml:space="preserve"> </w:t>
      </w:r>
    </w:p>
    <w:p w:rsidR="00A079D2" w:rsidRPr="00E836FB" w:rsidRDefault="00A079D2" w:rsidP="00456860">
      <w:r w:rsidRPr="00E836FB">
        <w:t>Poor living conditions add to the tenants’ financial burden. One older woman with caring responsibilities was living with “</w:t>
      </w:r>
      <w:r w:rsidRPr="00E836FB">
        <w:rPr>
          <w:i/>
        </w:rPr>
        <w:t>very little insulation because the ceilings have collapsed</w:t>
      </w:r>
      <w:r w:rsidRPr="00E836FB">
        <w:t>” compounding the high cost of heating. Interviewees felt that too often landlords were doing “</w:t>
      </w:r>
      <w:r w:rsidRPr="00E836FB">
        <w:rPr>
          <w:i/>
        </w:rPr>
        <w:t>the cheapest and nastiest maintenance they can get away with</w:t>
      </w:r>
      <w:r w:rsidRPr="00E836FB">
        <w:t xml:space="preserve">”. While there are building standards and tenants are supposed to report maintenance needs, they were </w:t>
      </w:r>
      <w:r w:rsidRPr="00E836FB">
        <w:lastRenderedPageBreak/>
        <w:t>reluctant to do so for fear of rent increases (“</w:t>
      </w:r>
      <w:r w:rsidRPr="00E836FB">
        <w:rPr>
          <w:rFonts w:eastAsia="Calibri" w:cs="Calibri"/>
          <w:i/>
          <w:color w:val="000000"/>
        </w:rPr>
        <w:t xml:space="preserve">The guy said, well, if we go fix that, we'll put your rent up another </w:t>
      </w:r>
      <w:r>
        <w:rPr>
          <w:rFonts w:eastAsia="Calibri" w:cs="Calibri"/>
          <w:i/>
          <w:color w:val="000000"/>
        </w:rPr>
        <w:t>$</w:t>
      </w:r>
      <w:r w:rsidRPr="00E836FB">
        <w:rPr>
          <w:rFonts w:eastAsia="Calibri" w:cs="Calibri"/>
          <w:i/>
          <w:color w:val="000000"/>
        </w:rPr>
        <w:t xml:space="preserve">80 or </w:t>
      </w:r>
      <w:r>
        <w:rPr>
          <w:rFonts w:eastAsia="Calibri" w:cs="Calibri"/>
          <w:i/>
          <w:color w:val="000000"/>
        </w:rPr>
        <w:t>$</w:t>
      </w:r>
      <w:r w:rsidRPr="00E836FB">
        <w:rPr>
          <w:rFonts w:eastAsia="Calibri" w:cs="Calibri"/>
          <w:i/>
          <w:color w:val="000000"/>
        </w:rPr>
        <w:t>90</w:t>
      </w:r>
      <w:r w:rsidRPr="00E836FB">
        <w:rPr>
          <w:rFonts w:eastAsia="Calibri" w:cs="Calibri"/>
          <w:color w:val="000000"/>
        </w:rPr>
        <w:t>”)</w:t>
      </w:r>
      <w:r w:rsidRPr="00E836FB">
        <w:t>, eviction, or being ‘blacklisted’ and getting poor references from agents. Yet the conditions tenants live with</w:t>
      </w:r>
      <w:r>
        <w:t xml:space="preserve"> </w:t>
      </w:r>
      <w:r w:rsidRPr="00E836FB">
        <w:t>—</w:t>
      </w:r>
      <w:r>
        <w:t xml:space="preserve"> </w:t>
      </w:r>
      <w:r w:rsidRPr="00E836FB">
        <w:t>the cold, dampness and mould, and dust from roads and decaying ceilings and floors</w:t>
      </w:r>
      <w:r>
        <w:t xml:space="preserve"> </w:t>
      </w:r>
      <w:r w:rsidRPr="00E836FB">
        <w:t>—</w:t>
      </w:r>
      <w:r>
        <w:t xml:space="preserve"> </w:t>
      </w:r>
      <w:r w:rsidRPr="00E836FB">
        <w:t xml:space="preserve">cause or exacerbate ill-health, including asthma and other conditions. </w:t>
      </w:r>
    </w:p>
    <w:p w:rsidR="00A079D2" w:rsidRPr="00E836FB" w:rsidRDefault="00A079D2" w:rsidP="00456860">
      <w:r w:rsidRPr="00E836FB">
        <w:t xml:space="preserve">As confirmed by the data analysis in Part II of this research, older clients were more likely than younger people to report medical issues as part of their circumstances. Age is often accompanied by chronic illness, a decline in physical capacity or other conditions which make some locations and housing types unsuitable </w:t>
      </w:r>
      <w:r>
        <w:rPr>
          <w:noProof/>
        </w:rPr>
        <w:t>(Strother Ratcliff 2017)</w:t>
      </w:r>
      <w:r w:rsidRPr="00E836FB">
        <w:t>. Housing needs to be appropriate to older people’s particular needs: accessible, readily cleaned, and within a reasonable distance of transport, medical and allied health services, pharmacies, shops and social hubs. Yet only a few of the private and social housing properties in which participants were living ticked these boxes: “</w:t>
      </w:r>
      <w:r w:rsidRPr="00E836FB">
        <w:rPr>
          <w:i/>
        </w:rPr>
        <w:t>No, nothing like that</w:t>
      </w:r>
      <w:r w:rsidRPr="00E836FB">
        <w:t>”, “</w:t>
      </w:r>
      <w:r w:rsidRPr="00E836FB">
        <w:rPr>
          <w:i/>
        </w:rPr>
        <w:t>There’s no supermarket</w:t>
      </w:r>
      <w:r w:rsidRPr="00E836FB">
        <w:t>”, “</w:t>
      </w:r>
      <w:r w:rsidRPr="00E836FB">
        <w:rPr>
          <w:i/>
        </w:rPr>
        <w:t>the bus service only comes three or four times a day</w:t>
      </w:r>
      <w:r w:rsidRPr="00E836FB">
        <w:t>” (or there was no bus at all), “</w:t>
      </w:r>
      <w:r w:rsidRPr="00E836FB">
        <w:rPr>
          <w:rFonts w:eastAsia="Calibri" w:cs="Calibri"/>
          <w:i/>
          <w:color w:val="000000"/>
        </w:rPr>
        <w:t>No church. No, there's no hall, there's no common ground</w:t>
      </w:r>
      <w:r w:rsidRPr="00E836FB">
        <w:rPr>
          <w:rFonts w:eastAsia="Calibri" w:cs="Calibri"/>
          <w:color w:val="000000"/>
        </w:rPr>
        <w:t>”. Other i</w:t>
      </w:r>
      <w:r w:rsidRPr="00E836FB">
        <w:t>nterviewees faced with homelessness had been offered social housing that was a long way from services, or was inaccessible</w:t>
      </w:r>
      <w:r w:rsidR="00FC3716">
        <w:t>.</w:t>
      </w:r>
      <w:r w:rsidRPr="00E836FB">
        <w:t xml:space="preserve"> </w:t>
      </w:r>
      <w:r w:rsidRPr="00E836FB">
        <w:rPr>
          <w:rFonts w:eastAsia="Palatino Linotype" w:cs="Palatino Linotype"/>
          <w:color w:val="000000"/>
        </w:rPr>
        <w:t>Those who felt safest were living close to a range of needed services and supports.</w:t>
      </w:r>
    </w:p>
    <w:p w:rsidR="00A079D2" w:rsidRPr="00E836FB" w:rsidRDefault="00A079D2" w:rsidP="00456860">
      <w:r w:rsidRPr="00E836FB">
        <w:t>Finally, physically moving location was a daunting task for many older people. There were interview participants who were “</w:t>
      </w:r>
      <w:r w:rsidRPr="00E836FB">
        <w:rPr>
          <w:i/>
        </w:rPr>
        <w:t>in a lot of debt from the move</w:t>
      </w:r>
      <w:r w:rsidRPr="00E836FB">
        <w:t>”, and the sheer physical work coupled with trying to find somewhere to live could be overwhelming: “</w:t>
      </w:r>
      <w:r w:rsidRPr="00E836FB">
        <w:rPr>
          <w:i/>
        </w:rPr>
        <w:t>Went to a couple more places and then I couldn’t</w:t>
      </w:r>
      <w:r>
        <w:rPr>
          <w:i/>
        </w:rPr>
        <w:t xml:space="preserve"> </w:t>
      </w:r>
      <w:r w:rsidRPr="00E836FB">
        <w:rPr>
          <w:i/>
        </w:rPr>
        <w:t>drag [unwell spouse] around anymore and all this packing I had to do. It just got on top of me</w:t>
      </w:r>
      <w:r w:rsidRPr="00E836FB">
        <w:t>”</w:t>
      </w:r>
      <w:r w:rsidRPr="00E836FB">
        <w:rPr>
          <w:i/>
        </w:rPr>
        <w:t>.</w:t>
      </w:r>
      <w:r w:rsidRPr="00E836FB">
        <w:t xml:space="preserve"> What hit people hard was the absence of supports</w:t>
      </w:r>
      <w:r>
        <w:t>:</w:t>
      </w:r>
      <w:r w:rsidRPr="00E836FB">
        <w:t xml:space="preserve"> “</w:t>
      </w:r>
      <w:r w:rsidRPr="00E836FB">
        <w:rPr>
          <w:i/>
        </w:rPr>
        <w:t xml:space="preserve">there’s nothing there </w:t>
      </w:r>
      <w:r>
        <w:rPr>
          <w:i/>
        </w:rPr>
        <w:t>—</w:t>
      </w:r>
      <w:r w:rsidRPr="00E836FB">
        <w:rPr>
          <w:i/>
        </w:rPr>
        <w:t xml:space="preserve"> we didn’t have anything and I don’t think there is anything there to help</w:t>
      </w:r>
      <w:r w:rsidRPr="00E836FB">
        <w:t>”. Tenants worked hard to make sure they would pass a final rental inspection with flying colours, knowing that any ‘black mark’ would reduce their chances in the rental market. Real estate agents “</w:t>
      </w:r>
      <w:r w:rsidRPr="00E836FB">
        <w:rPr>
          <w:i/>
        </w:rPr>
        <w:t>sent this big list of things they wanted done. And you had to abide by those lists</w:t>
      </w:r>
      <w:r w:rsidRPr="00E836FB">
        <w:t>”. This included cleaning light fittings, tops of cupboards, walls, floors, kitchens, bathrooms, even when the tenancy was ending so the house could be renovated or demolished. Older renters were “</w:t>
      </w:r>
      <w:r w:rsidRPr="00E836FB">
        <w:rPr>
          <w:i/>
        </w:rPr>
        <w:t>climbing up ladders</w:t>
      </w:r>
      <w:r w:rsidRPr="00E836FB">
        <w:t>”, and “</w:t>
      </w:r>
      <w:r w:rsidRPr="00E836FB">
        <w:rPr>
          <w:i/>
        </w:rPr>
        <w:t>trying to scrub the shower floor</w:t>
      </w:r>
      <w:r w:rsidRPr="00E836FB">
        <w:t>”; “</w:t>
      </w:r>
      <w:r w:rsidRPr="00E836FB">
        <w:rPr>
          <w:i/>
        </w:rPr>
        <w:t>I just used every bit of strength I had and it was for somebody else’s pleasure, I suppose. I don’t know. Probably pulled up all the lino I just cleaned”</w:t>
      </w:r>
      <w:r>
        <w:rPr>
          <w:i/>
        </w:rPr>
        <w:t>;</w:t>
      </w:r>
      <w:r w:rsidRPr="00E836FB">
        <w:rPr>
          <w:i/>
        </w:rPr>
        <w:t xml:space="preserve"> “It’s all churned me up to think of what we had to go through, with no extra help from professional people</w:t>
      </w:r>
      <w:r w:rsidRPr="00E836FB">
        <w:t xml:space="preserve">”. </w:t>
      </w:r>
    </w:p>
    <w:p w:rsidR="00A079D2" w:rsidRPr="00E836FB" w:rsidRDefault="00A079D2" w:rsidP="00456860">
      <w:pPr>
        <w:pStyle w:val="Heading3"/>
      </w:pPr>
      <w:bookmarkStart w:id="65" w:name="_Toc166757742"/>
      <w:r w:rsidRPr="00E836FB">
        <w:t>Prevailing and belonging</w:t>
      </w:r>
      <w:bookmarkEnd w:id="65"/>
    </w:p>
    <w:p w:rsidR="00A079D2" w:rsidRPr="00E836FB" w:rsidRDefault="00A079D2" w:rsidP="00456860">
      <w:pPr>
        <w:pStyle w:val="Quote"/>
      </w:pPr>
      <w:r w:rsidRPr="00E836FB">
        <w:t xml:space="preserve">“I got off kilter for a while but, yeah, I feel myself building up”. </w:t>
      </w:r>
    </w:p>
    <w:p w:rsidR="00A079D2" w:rsidRPr="00E836FB" w:rsidRDefault="00A079D2" w:rsidP="00456860">
      <w:r w:rsidRPr="00E836FB">
        <w:t>Some people had ‘landed on their feet’. Along with the few interview participants who were living in houses they owned, a small number had independently or with the help of housing services found places for which they had permanent tenure. The security this enabled was significant:</w:t>
      </w:r>
    </w:p>
    <w:p w:rsidR="00A079D2" w:rsidRPr="00E836FB" w:rsidRDefault="00A079D2" w:rsidP="00456860">
      <w:pPr>
        <w:pStyle w:val="Quote"/>
      </w:pPr>
      <w:r w:rsidRPr="00E836FB">
        <w:t xml:space="preserve">“I love it because I have my own energy in here. … I realised that my internal happiness is with myself, where I can let people into my life and then release them back out into </w:t>
      </w:r>
      <w:r w:rsidR="00FC3716">
        <w:t xml:space="preserve">the </w:t>
      </w:r>
      <w:r w:rsidRPr="00E836FB">
        <w:t xml:space="preserve">universe at my discretion … and I'm </w:t>
      </w:r>
      <w:r w:rsidRPr="00E836FB">
        <w:lastRenderedPageBreak/>
        <w:t>not putting all my energies into someone else's four walls that belong to someone else as well. It's my safe haven, it has my energy in it.</w:t>
      </w:r>
      <w:r>
        <w:t>”</w:t>
      </w:r>
    </w:p>
    <w:p w:rsidR="00A079D2" w:rsidRPr="00E836FB" w:rsidRDefault="00A079D2" w:rsidP="00456860">
      <w:r w:rsidRPr="00E836FB">
        <w:t>Even in reduced financial circumstances, people nested. Although they had had to “</w:t>
      </w:r>
      <w:r w:rsidRPr="00E836FB">
        <w:rPr>
          <w:i/>
        </w:rPr>
        <w:t>come to grips with disposing of a lot of stuff</w:t>
      </w:r>
      <w:r w:rsidRPr="00E836FB">
        <w:t>”, many had been able to keep items that mattered to them. In their units, houses and gardens, interviewees pointed out these objects: a music collection and stereo, paintings or photographs, a few books, plants, the tools and products of a hobby or creative pursuit. They became icons of self, sometimes held from childhood:</w:t>
      </w:r>
    </w:p>
    <w:p w:rsidR="00A079D2" w:rsidRPr="00E836FB" w:rsidRDefault="00A079D2" w:rsidP="00456860">
      <w:pPr>
        <w:spacing w:before="120" w:after="120"/>
        <w:ind w:left="862" w:right="862"/>
        <w:rPr>
          <w:i/>
          <w:iCs/>
          <w:color w:val="404040" w:themeColor="text1" w:themeTint="BF"/>
        </w:rPr>
      </w:pPr>
      <w:r w:rsidRPr="00E836FB">
        <w:rPr>
          <w:i/>
          <w:iCs/>
          <w:color w:val="404040" w:themeColor="text1" w:themeTint="BF"/>
        </w:rPr>
        <w:t>“This is something I've had in the family for 60 years. It's the only piece left in my life.</w:t>
      </w:r>
      <w:r>
        <w:rPr>
          <w:i/>
          <w:iCs/>
          <w:color w:val="404040" w:themeColor="text1" w:themeTint="BF"/>
        </w:rPr>
        <w:t>”</w:t>
      </w:r>
    </w:p>
    <w:p w:rsidR="00A079D2" w:rsidRPr="00E836FB" w:rsidRDefault="00A079D2" w:rsidP="00456860">
      <w:r w:rsidRPr="00E836FB">
        <w:t>As well as material objects, housing security enabled people to carry on lifelong habits that supported wellbeing. For some this was an existing skill that they now used to help others and build community. They were making or repairing things for others, and taking care of people when they needed it. Several were growing flowers and vegetables they shared with others or “</w:t>
      </w:r>
      <w:r w:rsidRPr="00E836FB">
        <w:rPr>
          <w:i/>
        </w:rPr>
        <w:t>we dehydrate, we pickle, we preserve</w:t>
      </w:r>
      <w:r w:rsidRPr="00E836FB">
        <w:t>” for later. In doing so, they worked with neighbours and community members. They talked to people “</w:t>
      </w:r>
      <w:r w:rsidRPr="00E836FB">
        <w:rPr>
          <w:i/>
        </w:rPr>
        <w:t>about gardening, and there’s nothing for me to answer 10, 20, maybe 30 questions a week on how to do this, how to do that</w:t>
      </w:r>
      <w:r w:rsidRPr="00E836FB">
        <w:t>”, experiencing the “</w:t>
      </w:r>
      <w:r w:rsidRPr="00E836FB">
        <w:rPr>
          <w:i/>
        </w:rPr>
        <w:t xml:space="preserve">joy, just to show [them how to garden] </w:t>
      </w:r>
      <w:r>
        <w:rPr>
          <w:i/>
        </w:rPr>
        <w:t>—</w:t>
      </w:r>
      <w:r w:rsidRPr="00E836FB">
        <w:rPr>
          <w:i/>
        </w:rPr>
        <w:t xml:space="preserve"> feel the dirt, feel the grass”</w:t>
      </w:r>
      <w:r w:rsidRPr="00E836FB">
        <w:t xml:space="preserve">, and demonstrated how to make jam or chutney. They knitted, cooked, painted, nurtured grandchildren, volunteered. In such settled circumstances, interviewees relaxed and connected with people. </w:t>
      </w:r>
      <w:r w:rsidRPr="00E836FB">
        <w:rPr>
          <w:rFonts w:eastAsia="Calibri" w:cs="Calibri"/>
          <w:color w:val="000000"/>
        </w:rPr>
        <w:t>As one participant said, s</w:t>
      </w:r>
      <w:r w:rsidRPr="00E836FB">
        <w:t>e</w:t>
      </w:r>
      <w:r w:rsidRPr="00E836FB">
        <w:rPr>
          <w:rFonts w:eastAsia="Calibri" w:cs="Calibri"/>
          <w:color w:val="000000"/>
        </w:rPr>
        <w:t>curity and happiness “</w:t>
      </w:r>
      <w:r w:rsidRPr="00E836FB">
        <w:rPr>
          <w:rFonts w:eastAsia="Calibri" w:cs="Calibri"/>
          <w:i/>
          <w:color w:val="000000"/>
        </w:rPr>
        <w:t>make me a better person out in the world for other people</w:t>
      </w:r>
      <w:r w:rsidRPr="00E836FB">
        <w:rPr>
          <w:rFonts w:eastAsia="Calibri" w:cs="Calibri"/>
          <w:color w:val="000000"/>
        </w:rPr>
        <w:t>”.</w:t>
      </w:r>
    </w:p>
    <w:p w:rsidR="00A079D2" w:rsidRPr="00E836FB" w:rsidRDefault="00A079D2" w:rsidP="00456860">
      <w:r w:rsidRPr="00E836FB">
        <w:t>The other aspect that interviewees valued was nature</w:t>
      </w:r>
      <w:r>
        <w:t xml:space="preserve"> </w:t>
      </w:r>
      <w:r w:rsidRPr="00E836FB">
        <w:t>—</w:t>
      </w:r>
      <w:r>
        <w:t xml:space="preserve"> </w:t>
      </w:r>
      <w:r w:rsidRPr="00E836FB">
        <w:t>the bush, the beach, a garden. Participants spoke of places that gave “</w:t>
      </w:r>
      <w:r w:rsidRPr="00E836FB">
        <w:rPr>
          <w:rFonts w:eastAsia="Palatino Linotype" w:cs="Palatino Linotype"/>
          <w:i/>
          <w:color w:val="000000"/>
        </w:rPr>
        <w:t>a lot of nurturing … that feeling of space and freedom was important</w:t>
      </w:r>
      <w:r w:rsidRPr="00E836FB">
        <w:rPr>
          <w:rFonts w:eastAsia="Palatino Linotype" w:cs="Palatino Linotype"/>
          <w:color w:val="000000"/>
        </w:rPr>
        <w:t>”. Most of those who had been living in the same place for a long time had created gardens full of flowers, fruit, and vegetables. For others, there was a carefully tended array of pots</w:t>
      </w:r>
      <w:r>
        <w:rPr>
          <w:rFonts w:eastAsia="Palatino Linotype" w:cs="Palatino Linotype"/>
          <w:color w:val="000000"/>
        </w:rPr>
        <w:t xml:space="preserve"> </w:t>
      </w:r>
      <w:r w:rsidRPr="00E836FB">
        <w:rPr>
          <w:rFonts w:eastAsia="Palatino Linotype" w:cs="Palatino Linotype"/>
          <w:color w:val="000000"/>
        </w:rPr>
        <w:t>—</w:t>
      </w:r>
      <w:r>
        <w:rPr>
          <w:rFonts w:eastAsia="Palatino Linotype" w:cs="Palatino Linotype"/>
          <w:color w:val="000000"/>
        </w:rPr>
        <w:t xml:space="preserve"> </w:t>
      </w:r>
      <w:r w:rsidRPr="00E836FB">
        <w:rPr>
          <w:rFonts w:eastAsia="Palatino Linotype" w:cs="Palatino Linotype"/>
          <w:color w:val="000000"/>
        </w:rPr>
        <w:t>newly-staked tomatoes, herbs, exotic succulents and small trees</w:t>
      </w:r>
      <w:r>
        <w:rPr>
          <w:rFonts w:eastAsia="Palatino Linotype" w:cs="Palatino Linotype"/>
          <w:color w:val="000000"/>
        </w:rPr>
        <w:t xml:space="preserve"> </w:t>
      </w:r>
      <w:r w:rsidRPr="00E836FB">
        <w:rPr>
          <w:rFonts w:eastAsia="Palatino Linotype" w:cs="Palatino Linotype"/>
          <w:color w:val="000000"/>
        </w:rPr>
        <w:t>—</w:t>
      </w:r>
      <w:r>
        <w:rPr>
          <w:rFonts w:eastAsia="Palatino Linotype" w:cs="Palatino Linotype"/>
          <w:color w:val="000000"/>
        </w:rPr>
        <w:t xml:space="preserve"> </w:t>
      </w:r>
      <w:r w:rsidRPr="00E836FB">
        <w:rPr>
          <w:rFonts w:eastAsia="Palatino Linotype" w:cs="Palatino Linotype"/>
          <w:color w:val="000000"/>
        </w:rPr>
        <w:t>or involvement in a nearby community garden. This proximity was essential and those who had achieved it wanted to be sure they could stay put: they were “</w:t>
      </w:r>
      <w:r w:rsidRPr="00E836FB">
        <w:rPr>
          <w:i/>
        </w:rPr>
        <w:t>not going anywhere</w:t>
      </w:r>
      <w:r w:rsidRPr="00E836FB">
        <w:t>”.</w:t>
      </w:r>
    </w:p>
    <w:p w:rsidR="00A079D2" w:rsidRPr="00E836FB" w:rsidRDefault="00A079D2" w:rsidP="00456860">
      <w:pPr>
        <w:spacing w:line="259" w:lineRule="auto"/>
        <w:rPr>
          <w:rFonts w:eastAsia="Calibri" w:cs="Calibri"/>
          <w:color w:val="000000"/>
        </w:rPr>
      </w:pPr>
      <w:r w:rsidRPr="00E836FB">
        <w:t>Prevailing meant safety: “</w:t>
      </w:r>
      <w:r w:rsidRPr="00E836FB">
        <w:rPr>
          <w:i/>
        </w:rPr>
        <w:t>whatever happens outside, I’ve got this security here that can’t be</w:t>
      </w:r>
      <w:r>
        <w:rPr>
          <w:i/>
        </w:rPr>
        <w:t xml:space="preserve"> </w:t>
      </w:r>
      <w:r w:rsidRPr="00E836FB">
        <w:rPr>
          <w:i/>
        </w:rPr>
        <w:t>—</w:t>
      </w:r>
      <w:r>
        <w:rPr>
          <w:i/>
        </w:rPr>
        <w:t xml:space="preserve"> </w:t>
      </w:r>
      <w:r w:rsidRPr="00E836FB">
        <w:rPr>
          <w:i/>
        </w:rPr>
        <w:t xml:space="preserve">well </w:t>
      </w:r>
      <w:r>
        <w:rPr>
          <w:i/>
        </w:rPr>
        <w:t xml:space="preserve">[it] </w:t>
      </w:r>
      <w:r w:rsidRPr="00E836FB">
        <w:rPr>
          <w:i/>
        </w:rPr>
        <w:t>can be taken away through natural disaster or something like that, but I’m never going to be asked to move on, not unless I choose</w:t>
      </w:r>
      <w:r w:rsidRPr="00E836FB">
        <w:t>”. It meant the opportunity to “</w:t>
      </w:r>
      <w:r w:rsidRPr="00E836FB">
        <w:rPr>
          <w:i/>
        </w:rPr>
        <w:t>create my own space</w:t>
      </w:r>
      <w:r w:rsidRPr="00E836FB">
        <w:t xml:space="preserve">”. </w:t>
      </w:r>
      <w:r>
        <w:t>Being connected to the place meant t</w:t>
      </w:r>
      <w:r w:rsidRPr="00E836FB">
        <w:t>hey knew “</w:t>
      </w:r>
      <w:r w:rsidRPr="00E836FB">
        <w:rPr>
          <w:i/>
        </w:rPr>
        <w:t>there are people I can go to. Specific people, I can go to if I need help. And they know that they can come to me if they need help</w:t>
      </w:r>
      <w:r w:rsidRPr="00E836FB">
        <w:t xml:space="preserve">”. For everyone who had found </w:t>
      </w:r>
      <w:r>
        <w:t xml:space="preserve">such </w:t>
      </w:r>
      <w:r w:rsidRPr="00E836FB">
        <w:t xml:space="preserve">a stable place, they wanted it to be their last: </w:t>
      </w:r>
      <w:r w:rsidRPr="00E836FB">
        <w:rPr>
          <w:rFonts w:eastAsia="Calibri" w:cs="Calibri"/>
          <w:color w:val="000000"/>
        </w:rPr>
        <w:t>“</w:t>
      </w:r>
      <w:r w:rsidRPr="00E836FB">
        <w:rPr>
          <w:rFonts w:eastAsia="Calibri" w:cs="Calibri"/>
          <w:i/>
          <w:color w:val="000000"/>
        </w:rPr>
        <w:t>They’re going to have to drag me out screaming and kicking. I just love this space so much</w:t>
      </w:r>
      <w:r w:rsidRPr="00E836FB">
        <w:rPr>
          <w:rFonts w:eastAsia="Calibri" w:cs="Calibri"/>
          <w:color w:val="000000"/>
        </w:rPr>
        <w:t>”.</w:t>
      </w:r>
      <w:r>
        <w:rPr>
          <w:rFonts w:eastAsia="Calibri" w:cs="Calibri"/>
          <w:color w:val="000000"/>
        </w:rPr>
        <w:t xml:space="preserve"> </w:t>
      </w:r>
    </w:p>
    <w:p w:rsidR="00A079D2" w:rsidRPr="00E836FB" w:rsidRDefault="00A079D2" w:rsidP="00456860">
      <w:pPr>
        <w:spacing w:line="259" w:lineRule="auto"/>
      </w:pPr>
      <w:r w:rsidRPr="00E836FB">
        <w:rPr>
          <w:rFonts w:eastAsia="Calibri" w:cs="Calibri"/>
          <w:color w:val="000000"/>
        </w:rPr>
        <w:t xml:space="preserve">Living with housing insecurity and/or homelessness has high costs for individuals and society. Those include a loss of engagement and solidarity, exacerbated chronic illness, mental distress, and suicide. </w:t>
      </w:r>
    </w:p>
    <w:p w:rsidR="00A079D2" w:rsidRPr="00E836FB" w:rsidRDefault="00A079D2" w:rsidP="00456860">
      <w:r w:rsidRPr="00E836FB">
        <w:t xml:space="preserve">People in this study provided numerous examples of the ways in which housing insecurity had been deeply injurious. Those experiences had undermined their sense of worth and </w:t>
      </w:r>
      <w:r w:rsidRPr="00E836FB">
        <w:lastRenderedPageBreak/>
        <w:t>left them mistrusting of themselves or others</w:t>
      </w:r>
      <w:r>
        <w:t>:</w:t>
      </w:r>
      <w:r w:rsidRPr="00E836FB">
        <w:t xml:space="preserve"> “</w:t>
      </w:r>
      <w:r w:rsidRPr="00E836FB">
        <w:rPr>
          <w:rFonts w:eastAsia="Palatino Linotype" w:cs="Palatino Linotype"/>
          <w:i/>
          <w:color w:val="000000"/>
        </w:rPr>
        <w:t>It</w:t>
      </w:r>
      <w:r>
        <w:rPr>
          <w:rFonts w:eastAsia="Palatino Linotype" w:cs="Palatino Linotype"/>
          <w:i/>
          <w:color w:val="000000"/>
        </w:rPr>
        <w:t>’</w:t>
      </w:r>
      <w:r w:rsidRPr="00E836FB">
        <w:rPr>
          <w:rFonts w:eastAsia="Palatino Linotype" w:cs="Palatino Linotype"/>
          <w:i/>
          <w:color w:val="000000"/>
        </w:rPr>
        <w:t>s hard to see any part of me as okay</w:t>
      </w:r>
      <w:r w:rsidRPr="00E836FB">
        <w:rPr>
          <w:rFonts w:eastAsia="Palatino Linotype" w:cs="Palatino Linotype"/>
          <w:color w:val="000000"/>
        </w:rPr>
        <w:t xml:space="preserve">”. </w:t>
      </w:r>
      <w:r w:rsidRPr="00E836FB">
        <w:t>Some felt angry or depressed about their situation, yet questioned the validity of these emotions</w:t>
      </w:r>
      <w:r>
        <w:t>:</w:t>
      </w:r>
      <w:r w:rsidRPr="00E836FB">
        <w:t xml:space="preserve"> “</w:t>
      </w:r>
      <w:r w:rsidRPr="00E836FB">
        <w:rPr>
          <w:i/>
        </w:rPr>
        <w:t>… I was feeling things I shouldn’t because I was tired</w:t>
      </w:r>
      <w:r w:rsidRPr="00E836FB">
        <w:t>”, or downplayed them “</w:t>
      </w:r>
      <w:r w:rsidRPr="00E836FB">
        <w:rPr>
          <w:i/>
        </w:rPr>
        <w:t>you’re</w:t>
      </w:r>
      <w:r w:rsidRPr="00E836FB">
        <w:t xml:space="preserve"> </w:t>
      </w:r>
      <w:r w:rsidRPr="00E836FB">
        <w:rPr>
          <w:i/>
        </w:rPr>
        <w:t>a whinger if you complain</w:t>
      </w:r>
      <w:r w:rsidRPr="00E836FB">
        <w:t xml:space="preserve">”. </w:t>
      </w:r>
    </w:p>
    <w:p w:rsidR="00A079D2" w:rsidRPr="00E836FB" w:rsidRDefault="00A079D2" w:rsidP="00456860">
      <w:pPr>
        <w:pStyle w:val="Heading2"/>
      </w:pPr>
      <w:bookmarkStart w:id="66" w:name="_Toc166757743"/>
      <w:r w:rsidRPr="00E836FB">
        <w:t>Conclusion</w:t>
      </w:r>
      <w:bookmarkEnd w:id="66"/>
    </w:p>
    <w:p w:rsidR="00A079D2" w:rsidRPr="00E836FB" w:rsidRDefault="00A079D2" w:rsidP="00456860">
      <w:r w:rsidRPr="00E836FB">
        <w:t xml:space="preserve">Many of the older people in this study had experienced major life traumas: childhood abuse and consequent periods of rough sleeping, insecurity and estrangement; divorce and relationship loss; poverty or very </w:t>
      </w:r>
      <w:r w:rsidRPr="00184F01">
        <w:t xml:space="preserve">significant financial stress that undermined social connection. The social determinants of health </w:t>
      </w:r>
      <w:r>
        <w:rPr>
          <w:noProof/>
        </w:rPr>
        <w:t>(Strazdins et al. 2016; World Health Organization n.d.)</w:t>
      </w:r>
      <w:r w:rsidRPr="00184F01">
        <w:t xml:space="preserve"> were missing or in very short supply, undermining people’s confidence and wellbeing.</w:t>
      </w:r>
      <w:r w:rsidRPr="00E836FB">
        <w:t xml:space="preserve"> </w:t>
      </w:r>
    </w:p>
    <w:p w:rsidR="00A079D2" w:rsidRPr="00E836FB" w:rsidRDefault="00A079D2" w:rsidP="00456860">
      <w:r w:rsidRPr="00E836FB">
        <w:t>Stressors described in interviews were:</w:t>
      </w:r>
    </w:p>
    <w:p w:rsidR="00A079D2" w:rsidRPr="00E836FB" w:rsidRDefault="00A079D2" w:rsidP="00456860">
      <w:pPr>
        <w:pStyle w:val="ListParagraph"/>
        <w:numPr>
          <w:ilvl w:val="0"/>
          <w:numId w:val="2"/>
        </w:numPr>
      </w:pPr>
      <w:r w:rsidRPr="00E836FB">
        <w:t>A lack of affordable and accessible housing</w:t>
      </w:r>
    </w:p>
    <w:p w:rsidR="00A079D2" w:rsidRPr="00E836FB" w:rsidRDefault="00A079D2" w:rsidP="00456860">
      <w:pPr>
        <w:pStyle w:val="ListParagraph"/>
        <w:numPr>
          <w:ilvl w:val="0"/>
          <w:numId w:val="2"/>
        </w:numPr>
      </w:pPr>
      <w:r w:rsidRPr="00E836FB">
        <w:t>Difficulty navigating the rental market and making transitions between homes</w:t>
      </w:r>
    </w:p>
    <w:p w:rsidR="00A079D2" w:rsidRPr="00E836FB" w:rsidRDefault="00A079D2" w:rsidP="00456860">
      <w:pPr>
        <w:pStyle w:val="ListParagraph"/>
        <w:numPr>
          <w:ilvl w:val="0"/>
          <w:numId w:val="2"/>
        </w:numPr>
      </w:pPr>
      <w:r w:rsidRPr="00E836FB">
        <w:t>Age-based discrimination and ageism exercised by landlords and real estate agents</w:t>
      </w:r>
    </w:p>
    <w:p w:rsidR="00A079D2" w:rsidRPr="00E836FB" w:rsidRDefault="00A079D2" w:rsidP="00456860">
      <w:pPr>
        <w:pStyle w:val="ListParagraph"/>
        <w:numPr>
          <w:ilvl w:val="0"/>
          <w:numId w:val="2"/>
        </w:numPr>
      </w:pPr>
      <w:r w:rsidRPr="00E836FB">
        <w:t>Inadequate pension or other resources; it is especially the case that older women had accumulated too little superannuation, and</w:t>
      </w:r>
      <w:r>
        <w:t>/or</w:t>
      </w:r>
      <w:r w:rsidRPr="00E836FB">
        <w:t xml:space="preserve"> had lost out in divorce settlements, creating high risk of insecure housing or homelessness</w:t>
      </w:r>
      <w:bookmarkStart w:id="67" w:name="_Hlk152829828"/>
    </w:p>
    <w:p w:rsidR="00A079D2" w:rsidRPr="00E836FB" w:rsidRDefault="00A079D2" w:rsidP="00456860">
      <w:pPr>
        <w:pStyle w:val="ListParagraph"/>
        <w:numPr>
          <w:ilvl w:val="0"/>
          <w:numId w:val="2"/>
        </w:numPr>
      </w:pPr>
      <w:r w:rsidRPr="00E836FB">
        <w:t xml:space="preserve">Interview participants had no intention or desire to live in residential aged care; indeed, some had plans to ensure that this did not happen. The absence of trust in the residential aged care system is a key stressor for older people. </w:t>
      </w:r>
    </w:p>
    <w:bookmarkEnd w:id="67"/>
    <w:p w:rsidR="00A079D2" w:rsidRPr="00E836FB" w:rsidRDefault="00A079D2" w:rsidP="00456860"/>
    <w:p w:rsidR="00A079D2" w:rsidRPr="00E836FB" w:rsidRDefault="00A079D2">
      <w:pPr>
        <w:spacing w:line="259" w:lineRule="auto"/>
        <w:rPr>
          <w:rFonts w:eastAsiaTheme="majorEastAsia" w:cstheme="majorBidi"/>
          <w:color w:val="2F5496" w:themeColor="accent1" w:themeShade="BF"/>
          <w:sz w:val="32"/>
          <w:szCs w:val="32"/>
          <w:lang w:val="en-US"/>
        </w:rPr>
      </w:pPr>
      <w:bookmarkStart w:id="68" w:name="_Toc154131581"/>
      <w:bookmarkStart w:id="69" w:name="_Toc155254334"/>
      <w:r w:rsidRPr="00E836FB">
        <w:rPr>
          <w:lang w:val="en-US"/>
        </w:rPr>
        <w:br w:type="page"/>
      </w:r>
    </w:p>
    <w:p w:rsidR="00A079D2" w:rsidRPr="00E836FB" w:rsidRDefault="00A079D2" w:rsidP="00456860">
      <w:pPr>
        <w:pStyle w:val="Heading1"/>
      </w:pPr>
      <w:bookmarkStart w:id="70" w:name="_Toc166757744"/>
      <w:r w:rsidRPr="00E836FB">
        <w:lastRenderedPageBreak/>
        <w:t>Part 2: What quantitative data tells us about the housing circumstances of ‘older’ people</w:t>
      </w:r>
      <w:bookmarkStart w:id="71" w:name="_Toc150162589"/>
      <w:bookmarkEnd w:id="68"/>
      <w:bookmarkEnd w:id="69"/>
      <w:bookmarkEnd w:id="70"/>
    </w:p>
    <w:p w:rsidR="00A079D2" w:rsidRPr="00E836FB" w:rsidRDefault="00A079D2" w:rsidP="00456860">
      <w:r w:rsidRPr="00E836FB">
        <w:t>Quantitative data was accessed and analysed in order to:</w:t>
      </w:r>
    </w:p>
    <w:p w:rsidR="00A079D2" w:rsidRPr="00E836FB" w:rsidRDefault="00A079D2" w:rsidP="00456860">
      <w:pPr>
        <w:pStyle w:val="ListParagraph"/>
        <w:numPr>
          <w:ilvl w:val="0"/>
          <w:numId w:val="21"/>
        </w:numPr>
        <w:ind w:left="284" w:hanging="284"/>
      </w:pPr>
      <w:r w:rsidRPr="00E836FB">
        <w:t>Explore the circumstances of older Tasmanians seeking housing support and/or aged care from Anglicare Tasmania.</w:t>
      </w:r>
    </w:p>
    <w:p w:rsidR="00A079D2" w:rsidRPr="00E836FB" w:rsidRDefault="00A079D2" w:rsidP="00456860">
      <w:r w:rsidRPr="00E836FB">
        <w:t>Two key Anglicare datasets were accessed for this purpose:</w:t>
      </w:r>
    </w:p>
    <w:p w:rsidR="00A079D2" w:rsidRPr="00E836FB" w:rsidRDefault="00A079D2" w:rsidP="00456860">
      <w:pPr>
        <w:pStyle w:val="ListParagraph"/>
        <w:numPr>
          <w:ilvl w:val="0"/>
          <w:numId w:val="22"/>
        </w:numPr>
      </w:pPr>
      <w:r w:rsidRPr="00E836FB">
        <w:t>Aged Care services’ demographic information for all clients deemed ‘active’ on 22</w:t>
      </w:r>
      <w:r>
        <w:t> </w:t>
      </w:r>
      <w:r w:rsidRPr="00E836FB">
        <w:t>September 2023. Anglicare provides Commonwealth-funded home care support to older people across the state.</w:t>
      </w:r>
    </w:p>
    <w:p w:rsidR="00A079D2" w:rsidRDefault="00A079D2" w:rsidP="00456860">
      <w:pPr>
        <w:pStyle w:val="ListParagraph"/>
        <w:numPr>
          <w:ilvl w:val="0"/>
          <w:numId w:val="22"/>
        </w:numPr>
      </w:pPr>
      <w:r w:rsidRPr="00E836FB">
        <w:t xml:space="preserve">Data from Anglicare’s Housing Connect Front Door between </w:t>
      </w:r>
      <w:r>
        <w:t xml:space="preserve">1 </w:t>
      </w:r>
      <w:r w:rsidRPr="00E836FB">
        <w:t xml:space="preserve">July 2022, and </w:t>
      </w:r>
      <w:r>
        <w:t>30 </w:t>
      </w:r>
      <w:r w:rsidRPr="00E836FB">
        <w:t xml:space="preserve">June 2023. The State Government-funded Housing Connect Front Door is a ‘gateway’ service for housing and homelessness support. During this period, Anglicare was providing the service in the North West (Devonport and Burnie) and North (Launceston) of the </w:t>
      </w:r>
      <w:r w:rsidR="004E5FAA">
        <w:t>s</w:t>
      </w:r>
      <w:r w:rsidRPr="00E836FB">
        <w:t xml:space="preserve">tate. </w:t>
      </w:r>
      <w:r w:rsidRPr="00E836FB">
        <w:rPr>
          <w:lang w:val="en-US"/>
        </w:rPr>
        <w:t xml:space="preserve">The Front Door data was drawn from the Specialist Homelessness Information Platform (SHIP) database, which records high-level data for all people seeking housing assistance in Tasmania. </w:t>
      </w:r>
      <w:r w:rsidRPr="00E836FB">
        <w:t>The data used in this report contains information for people who sought support to address their current or risk of homelessness; it did not include those who presented for private rental assistance or a social housing application.</w:t>
      </w:r>
    </w:p>
    <w:p w:rsidR="00A079D2" w:rsidRPr="00E836FB" w:rsidRDefault="00A079D2" w:rsidP="00456860">
      <w:pPr>
        <w:pStyle w:val="ListParagraph"/>
      </w:pPr>
    </w:p>
    <w:p w:rsidR="00A079D2" w:rsidRPr="00E836FB" w:rsidRDefault="00A079D2" w:rsidP="00456860">
      <w:pPr>
        <w:pStyle w:val="ListParagraph"/>
        <w:numPr>
          <w:ilvl w:val="0"/>
          <w:numId w:val="21"/>
        </w:numPr>
        <w:ind w:left="284" w:hanging="284"/>
      </w:pPr>
      <w:r w:rsidRPr="00E836FB">
        <w:t>Describe the demographics and housing circumstances of older Tasmanians</w:t>
      </w:r>
    </w:p>
    <w:p w:rsidR="00A079D2" w:rsidRPr="00E836FB" w:rsidRDefault="00A079D2" w:rsidP="00456860">
      <w:r w:rsidRPr="00E836FB">
        <w:t xml:space="preserve">ABS census data collected in 2021 was the primary source of information used. Although the census seeks to sample the entire population directly, response rates are less than 100% and people who are homeless or in some way disadvantaged in the sampling process are likely to be under-represented. </w:t>
      </w:r>
    </w:p>
    <w:p w:rsidR="00A079D2" w:rsidRPr="00E836FB" w:rsidRDefault="00A079D2" w:rsidP="00456860">
      <w:r w:rsidRPr="00E836FB">
        <w:t xml:space="preserve">Census data was complemented with analysis of data from wave 21 of the Household, Income and Labour Dynamics in Australia (HILDA) Survey. The HILDA Survey is a household-based longitudinal panel study </w:t>
      </w:r>
      <w:r w:rsidRPr="00E836FB">
        <w:rPr>
          <w:lang w:val="en-US"/>
        </w:rPr>
        <w:t xml:space="preserve">funded by the Australian Government </w:t>
      </w:r>
      <w:r w:rsidRPr="00E836FB">
        <w:t>that collects information about economic and personal wellbeing, labour market dynamics and family life. Commencing in 2001, it follows around 17,000 Australians through their life.</w:t>
      </w:r>
      <w:r w:rsidRPr="00E836FB">
        <w:rPr>
          <w:lang w:val="en-US"/>
        </w:rPr>
        <w:t xml:space="preserve"> </w:t>
      </w:r>
    </w:p>
    <w:p w:rsidR="00A079D2" w:rsidRPr="00E836FB" w:rsidRDefault="00A079D2" w:rsidP="00456860">
      <w:pPr>
        <w:pStyle w:val="ListParagraph"/>
        <w:numPr>
          <w:ilvl w:val="0"/>
          <w:numId w:val="21"/>
        </w:numPr>
        <w:ind w:left="284" w:hanging="284"/>
      </w:pPr>
      <w:r w:rsidRPr="00E836FB">
        <w:t>Analyse reasons for moving, and the impact of housing circumstances and moving on the quality of life of older people in comparison to the rest of the population</w:t>
      </w:r>
    </w:p>
    <w:p w:rsidR="00A079D2" w:rsidRPr="00E836FB" w:rsidRDefault="00A079D2" w:rsidP="00456860">
      <w:r w:rsidRPr="00E836FB">
        <w:t xml:space="preserve">Analysis of data from waves 21 and 16 of the HILDA dataset was undertaken using </w:t>
      </w:r>
      <w:r w:rsidR="004E5FAA">
        <w:t xml:space="preserve">the </w:t>
      </w:r>
      <w:r w:rsidRPr="00E836FB">
        <w:t>STATA statistical software package</w:t>
      </w:r>
      <w:r w:rsidR="004E5FAA">
        <w:t>.</w:t>
      </w:r>
    </w:p>
    <w:p w:rsidR="00A079D2" w:rsidRPr="00E836FB" w:rsidRDefault="00A079D2" w:rsidP="00456860">
      <w:bookmarkStart w:id="72" w:name="_Toc150162590"/>
      <w:bookmarkEnd w:id="71"/>
    </w:p>
    <w:p w:rsidR="00A079D2" w:rsidRPr="00E836FB" w:rsidRDefault="00A079D2" w:rsidP="00456860">
      <w:r w:rsidRPr="00E836FB">
        <w:br w:type="page"/>
      </w:r>
    </w:p>
    <w:p w:rsidR="00A079D2" w:rsidRPr="00E836FB" w:rsidRDefault="00A079D2" w:rsidP="00456860">
      <w:pPr>
        <w:pStyle w:val="Heading2"/>
      </w:pPr>
      <w:bookmarkStart w:id="73" w:name="_Toc166757745"/>
      <w:r w:rsidRPr="00E836FB">
        <w:lastRenderedPageBreak/>
        <w:t>Demographics of older Tasmania</w:t>
      </w:r>
      <w:r>
        <w:t>ns</w:t>
      </w:r>
      <w:bookmarkEnd w:id="73"/>
    </w:p>
    <w:p w:rsidR="00A079D2" w:rsidRPr="00E836FB" w:rsidRDefault="00A079D2" w:rsidP="00456860">
      <w:r w:rsidRPr="00E836FB">
        <w:t xml:space="preserve">In 2021, there were 195,123 older Tasmanians, comprising 35.0% of the total population. 8064 (4.1%) of this group were aged 45 years and over and identified as Aboriginal and 187,059 (95.9%) were aged 55 years and over who did not identify as Aboriginal. </w:t>
      </w:r>
    </w:p>
    <w:p w:rsidR="00A079D2" w:rsidRPr="00E836FB" w:rsidRDefault="00A079D2" w:rsidP="00456860">
      <w:r w:rsidRPr="00E836FB">
        <w:t>Females account</w:t>
      </w:r>
      <w:r w:rsidR="004E5FAA">
        <w:t>ed</w:t>
      </w:r>
      <w:r w:rsidRPr="00E836FB">
        <w:t xml:space="preserve"> for 52.5% of older Tasmanians and males for 47.5%, with females outnumbering males in every 5-year age category. Ninety-five persons in the cohort were aged 100 years or more, of whom </w:t>
      </w:r>
      <w:r>
        <w:t>eight</w:t>
      </w:r>
      <w:r w:rsidRPr="00E836FB">
        <w:t xml:space="preserve"> in </w:t>
      </w:r>
      <w:r>
        <w:t>ten</w:t>
      </w:r>
      <w:r w:rsidRPr="00E836FB">
        <w:t xml:space="preserve"> were female and none were </w:t>
      </w:r>
      <w:r>
        <w:t>Aboriginal</w:t>
      </w:r>
      <w:r w:rsidRPr="00E836FB">
        <w:t xml:space="preserve">. There were no </w:t>
      </w:r>
      <w:r>
        <w:t>Aboriginal</w:t>
      </w:r>
      <w:r w:rsidRPr="00E836FB">
        <w:t xml:space="preserve"> males aged 95 years or more. </w:t>
      </w:r>
    </w:p>
    <w:p w:rsidR="00A079D2" w:rsidRPr="00E836FB" w:rsidRDefault="00A079D2" w:rsidP="00456860">
      <w:pPr>
        <w:pStyle w:val="BodyText"/>
        <w:rPr>
          <w:rFonts w:ascii="Avenir Next LT Pro" w:eastAsiaTheme="minorHAnsi" w:hAnsi="Avenir Next LT Pro" w:cstheme="minorBidi"/>
          <w:color w:val="auto"/>
          <w:sz w:val="22"/>
          <w:szCs w:val="22"/>
          <w:lang w:val="en-AU"/>
        </w:rPr>
      </w:pPr>
      <w:r w:rsidRPr="00E836FB">
        <w:rPr>
          <w:rFonts w:ascii="Avenir Next LT Pro" w:eastAsiaTheme="minorHAnsi" w:hAnsi="Avenir Next LT Pro" w:cstheme="minorBidi"/>
          <w:color w:val="auto"/>
          <w:sz w:val="22"/>
          <w:szCs w:val="22"/>
          <w:lang w:val="en-AU"/>
        </w:rPr>
        <w:t>Gender was more balanced in the total Tasmanian population although females (50.9%) still outnumber males (49.1%).</w:t>
      </w:r>
    </w:p>
    <w:p w:rsidR="00A079D2" w:rsidRPr="00E836FB" w:rsidRDefault="00A079D2" w:rsidP="00456860"/>
    <w:tbl>
      <w:tblPr>
        <w:tblW w:w="0" w:type="auto"/>
        <w:tblLook w:val="04A0" w:firstRow="1" w:lastRow="0" w:firstColumn="1" w:lastColumn="0" w:noHBand="0" w:noVBand="1"/>
      </w:tblPr>
      <w:tblGrid>
        <w:gridCol w:w="4626"/>
        <w:gridCol w:w="4400"/>
      </w:tblGrid>
      <w:tr w:rsidR="00A079D2" w:rsidRPr="00E836FB" w:rsidTr="00456860">
        <w:tc>
          <w:tcPr>
            <w:tcW w:w="4421" w:type="dxa"/>
          </w:tcPr>
          <w:p w:rsidR="00A079D2" w:rsidRPr="00E836FB" w:rsidDel="00005098" w:rsidRDefault="00A079D2" w:rsidP="00456860">
            <w:pPr>
              <w:rPr>
                <w:i/>
                <w:noProof/>
              </w:rPr>
            </w:pPr>
            <w:r w:rsidRPr="00E836FB">
              <w:rPr>
                <w:noProof/>
              </w:rPr>
              <w:drawing>
                <wp:inline distT="0" distB="0" distL="0" distR="0" wp14:anchorId="6FCC5B26" wp14:editId="0DD1A669">
                  <wp:extent cx="2800350" cy="2952750"/>
                  <wp:effectExtent l="0" t="0" r="0" b="0"/>
                  <wp:docPr id="2" name="Chart 2" descr="Bar graph.">
                    <a:extLst xmlns:a="http://schemas.openxmlformats.org/drawingml/2006/main">
                      <a:ext uri="{FF2B5EF4-FFF2-40B4-BE49-F238E27FC236}">
                        <a16:creationId xmlns:a16="http://schemas.microsoft.com/office/drawing/2014/main" id="{1D4DE5C1-3915-43AA-9FF1-67DFA473AD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650" w:type="dxa"/>
          </w:tcPr>
          <w:p w:rsidR="00A079D2" w:rsidRPr="00E836FB" w:rsidRDefault="00A079D2" w:rsidP="00456860">
            <w:pPr>
              <w:rPr>
                <w:i/>
              </w:rPr>
            </w:pPr>
            <w:r w:rsidRPr="00E836FB">
              <w:rPr>
                <w:noProof/>
              </w:rPr>
              <w:drawing>
                <wp:anchor distT="0" distB="0" distL="114300" distR="114300" simplePos="0" relativeHeight="251659264" behindDoc="1" locked="0" layoutInCell="1" allowOverlap="1" wp14:anchorId="3EE9C94F" wp14:editId="46DA6320">
                  <wp:simplePos x="0" y="0"/>
                  <wp:positionH relativeFrom="column">
                    <wp:posOffset>-58088</wp:posOffset>
                  </wp:positionH>
                  <wp:positionV relativeFrom="paragraph">
                    <wp:posOffset>105272</wp:posOffset>
                  </wp:positionV>
                  <wp:extent cx="2952750" cy="2941955"/>
                  <wp:effectExtent l="0" t="0" r="0" b="0"/>
                  <wp:wrapNone/>
                  <wp:docPr id="3" name="Chart 3" descr="Bar graph">
                    <a:extLst xmlns:a="http://schemas.openxmlformats.org/drawingml/2006/main">
                      <a:ext uri="{FF2B5EF4-FFF2-40B4-BE49-F238E27FC236}">
                        <a16:creationId xmlns:a16="http://schemas.microsoft.com/office/drawing/2014/main" id="{73B16E82-0269-485D-8BEF-6A6DD53644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p>
        </w:tc>
      </w:tr>
      <w:tr w:rsidR="00A079D2" w:rsidRPr="00E836FB" w:rsidTr="00456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Borders>
              <w:top w:val="nil"/>
              <w:left w:val="nil"/>
              <w:bottom w:val="nil"/>
              <w:right w:val="nil"/>
            </w:tcBorders>
          </w:tcPr>
          <w:p w:rsidR="00A079D2" w:rsidRPr="00E836FB" w:rsidDel="00234A34" w:rsidRDefault="00A079D2" w:rsidP="00456860">
            <w:pPr>
              <w:rPr>
                <w:b/>
                <w:noProof/>
              </w:rPr>
            </w:pPr>
            <w:r w:rsidRPr="00E836FB">
              <w:rPr>
                <w:b/>
                <w:noProof/>
              </w:rPr>
              <w:t>2(a)</w:t>
            </w:r>
            <w:r>
              <w:rPr>
                <w:b/>
                <w:noProof/>
              </w:rPr>
              <w:t xml:space="preserve"> </w:t>
            </w:r>
          </w:p>
        </w:tc>
        <w:tc>
          <w:tcPr>
            <w:tcW w:w="4508" w:type="dxa"/>
            <w:tcBorders>
              <w:top w:val="nil"/>
              <w:left w:val="nil"/>
              <w:bottom w:val="nil"/>
              <w:right w:val="nil"/>
            </w:tcBorders>
          </w:tcPr>
          <w:p w:rsidR="00A079D2" w:rsidRPr="00E836FB" w:rsidRDefault="00A079D2" w:rsidP="00456860">
            <w:pPr>
              <w:rPr>
                <w:b/>
                <w:i/>
                <w:noProof/>
              </w:rPr>
            </w:pPr>
            <w:r w:rsidRPr="00E836FB">
              <w:rPr>
                <w:b/>
                <w:noProof/>
              </w:rPr>
              <w:t>2(b)</w:t>
            </w:r>
          </w:p>
        </w:tc>
      </w:tr>
      <w:tr w:rsidR="00A079D2" w:rsidRPr="00E836FB" w:rsidTr="00456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1" w:type="dxa"/>
            <w:gridSpan w:val="2"/>
            <w:tcBorders>
              <w:top w:val="nil"/>
              <w:left w:val="nil"/>
              <w:bottom w:val="nil"/>
              <w:right w:val="nil"/>
            </w:tcBorders>
            <w:shd w:val="clear" w:color="auto" w:fill="auto"/>
          </w:tcPr>
          <w:p w:rsidR="00A079D2" w:rsidRPr="00486E22" w:rsidRDefault="00A079D2" w:rsidP="00456860">
            <w:pPr>
              <w:pStyle w:val="Captions"/>
              <w:rPr>
                <w:b w:val="0"/>
                <w:i/>
                <w:noProof/>
              </w:rPr>
            </w:pPr>
            <w:r w:rsidRPr="00E836FB">
              <w:rPr>
                <w:noProof/>
              </w:rPr>
              <w:t>Figure 2: Population pyramid for (a) older Tasmanians (indigenous and non-indigenous) and (b) for older indigenous Tasmanians.</w:t>
            </w:r>
            <w:r w:rsidRPr="00796039">
              <w:rPr>
                <w:b w:val="0"/>
                <w:noProof/>
              </w:rPr>
              <w:t xml:space="preserve"> </w:t>
            </w:r>
            <w:r>
              <w:rPr>
                <w:b w:val="0"/>
                <w:noProof/>
              </w:rPr>
              <w:t xml:space="preserve">Soure: ABS </w:t>
            </w:r>
            <w:r w:rsidR="002A6C64">
              <w:rPr>
                <w:b w:val="0"/>
                <w:noProof/>
              </w:rPr>
              <w:t>C</w:t>
            </w:r>
            <w:r>
              <w:rPr>
                <w:b w:val="0"/>
                <w:noProof/>
              </w:rPr>
              <w:t>ensus 2021.</w:t>
            </w:r>
          </w:p>
        </w:tc>
      </w:tr>
    </w:tbl>
    <w:p w:rsidR="00A079D2" w:rsidRPr="00E836FB" w:rsidRDefault="00A079D2" w:rsidP="00456860"/>
    <w:p w:rsidR="00A079D2" w:rsidRPr="00E836FB" w:rsidRDefault="00A079D2" w:rsidP="00456860">
      <w:pPr>
        <w:pStyle w:val="Heading2"/>
      </w:pPr>
      <w:bookmarkStart w:id="74" w:name="_Toc166757746"/>
      <w:bookmarkEnd w:id="72"/>
      <w:r w:rsidRPr="00E836FB">
        <w:t>Demographics of older people seeking support from Anglicare Tasmania</w:t>
      </w:r>
      <w:bookmarkEnd w:id="74"/>
    </w:p>
    <w:p w:rsidR="00A079D2" w:rsidRDefault="00A079D2" w:rsidP="00456860">
      <w:r w:rsidRPr="00E836FB">
        <w:t>For people of all ages, women were more likely than men to use Anglicare’s Housing Connect Front Door service (59.0% of presentations were by women, 40.8% by men, and 0.2% by people whose gender is not stated).</w:t>
      </w:r>
      <w:r w:rsidRPr="00E836FB">
        <w:rPr>
          <w:rStyle w:val="FootnoteReference"/>
        </w:rPr>
        <w:footnoteReference w:id="3"/>
      </w:r>
      <w:r w:rsidRPr="00E836FB">
        <w:t xml:space="preserve"> However, in the older subpopulation men were slightly in the majority (53.3%). This gender shift between the overall Front Door population and the older cohort may be related to ‘domestic and family violence’ being </w:t>
      </w:r>
      <w:r w:rsidRPr="00E836FB">
        <w:lastRenderedPageBreak/>
        <w:t>more than twice as commonly reported as a reason for requesting housing support in the whole Front Door population (15.6%) than in the older cohort (6.9%).</w:t>
      </w:r>
    </w:p>
    <w:p w:rsidR="002A6C64" w:rsidRPr="00E836FB" w:rsidRDefault="002A6C64" w:rsidP="002A6C64">
      <w:r w:rsidRPr="00E836FB">
        <w:t xml:space="preserve">Women </w:t>
      </w:r>
      <w:r w:rsidR="008577E8">
        <w:t>were</w:t>
      </w:r>
      <w:r w:rsidRPr="00E836FB">
        <w:t xml:space="preserve"> much more likely than men to be using Anglicare’s </w:t>
      </w:r>
      <w:r>
        <w:t>A</w:t>
      </w:r>
      <w:r w:rsidRPr="00E836FB">
        <w:t xml:space="preserve">ged </w:t>
      </w:r>
      <w:r>
        <w:t>C</w:t>
      </w:r>
      <w:r w:rsidRPr="00E836FB">
        <w:t>are services</w:t>
      </w:r>
      <w:r>
        <w:t xml:space="preserve"> (see Figure 3). Seven in ten clients (</w:t>
      </w:r>
      <w:r w:rsidRPr="00E836FB">
        <w:t>69.9%</w:t>
      </w:r>
      <w:r>
        <w:t>)</w:t>
      </w:r>
      <w:r w:rsidRPr="00E836FB">
        <w:t xml:space="preserve"> </w:t>
      </w:r>
      <w:r>
        <w:t>were</w:t>
      </w:r>
      <w:r w:rsidRPr="00E836FB">
        <w:t xml:space="preserve"> women, 29.7% </w:t>
      </w:r>
      <w:r>
        <w:t>were</w:t>
      </w:r>
      <w:r w:rsidRPr="00E836FB">
        <w:t xml:space="preserve"> men, and 0.4% to people whose gender was not recorded as male or female.</w:t>
      </w:r>
    </w:p>
    <w:p w:rsidR="00A079D2" w:rsidRPr="00E836FB" w:rsidRDefault="00A079D2" w:rsidP="00456860">
      <w:r w:rsidRPr="00E836FB">
        <w:t xml:space="preserve"> </w:t>
      </w:r>
    </w:p>
    <w:p w:rsidR="00A079D2" w:rsidRPr="00E836FB" w:rsidRDefault="00A079D2" w:rsidP="00456860">
      <w:r w:rsidRPr="00E836FB">
        <w:rPr>
          <w:noProof/>
        </w:rPr>
        <w:drawing>
          <wp:inline distT="0" distB="0" distL="0" distR="0" wp14:anchorId="612E0033" wp14:editId="420EBE65">
            <wp:extent cx="5499100" cy="3365500"/>
            <wp:effectExtent l="0" t="0" r="6350" b="6350"/>
            <wp:docPr id="9" name="Chart 9" descr="Bar graph">
              <a:extLst xmlns:a="http://schemas.openxmlformats.org/drawingml/2006/main">
                <a:ext uri="{FF2B5EF4-FFF2-40B4-BE49-F238E27FC236}">
                  <a16:creationId xmlns:a16="http://schemas.microsoft.com/office/drawing/2014/main" id="{D6BD9DC3-731C-4F42-A6D2-05CCD531CC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079D2" w:rsidRPr="00F31DDF" w:rsidRDefault="00A079D2" w:rsidP="00456860">
      <w:pPr>
        <w:pStyle w:val="Captions"/>
        <w:rPr>
          <w:b w:val="0"/>
          <w:i/>
        </w:rPr>
      </w:pPr>
      <w:r w:rsidRPr="00234A34">
        <w:t>Figure 3: Proportion of men and women in the Aged Care sample by age cohort</w:t>
      </w:r>
      <w:r>
        <w:t xml:space="preserve">. </w:t>
      </w:r>
      <w:r w:rsidRPr="00F31DDF">
        <w:rPr>
          <w:b w:val="0"/>
        </w:rPr>
        <w:t>Source: Anglicare Tasmania.</w:t>
      </w:r>
    </w:p>
    <w:p w:rsidR="00A079D2" w:rsidRPr="00E836FB" w:rsidRDefault="00A079D2" w:rsidP="00456860">
      <w:pPr>
        <w:pStyle w:val="Heading3"/>
      </w:pPr>
      <w:bookmarkStart w:id="75" w:name="_Toc166757747"/>
      <w:r w:rsidRPr="00E836FB">
        <w:t>Aboriginal people over-represented</w:t>
      </w:r>
      <w:bookmarkEnd w:id="75"/>
    </w:p>
    <w:p w:rsidR="00A079D2" w:rsidRPr="00E836FB" w:rsidRDefault="00A079D2" w:rsidP="00456860">
      <w:r w:rsidRPr="00E836FB">
        <w:t xml:space="preserve">Anglicare’s Housing Connect Front Door data showed 19.7% of those aged 45 and over were Aboriginal. This over-representation of Aboriginal people was also present for the complete (all ages) sample: 18.5% for the defined period. This proportion is far greater than that of the proportion of people in the whole Tasmanian population who identify as Aboriginal (5.5%). </w:t>
      </w:r>
    </w:p>
    <w:p w:rsidR="00A079D2" w:rsidRPr="00E836FB" w:rsidRDefault="00A079D2" w:rsidP="00456860">
      <w:r w:rsidRPr="00E836FB">
        <w:t>Aboriginal people are substantially over-represented among housing clients at any age and are more likely to be returning clients. This finding implies that Aboriginal people are experiencing a range of factors that negatively affect housing outcomes.</w:t>
      </w:r>
    </w:p>
    <w:p w:rsidR="00A079D2" w:rsidRPr="00E836FB" w:rsidRDefault="00A079D2" w:rsidP="00456860">
      <w:r w:rsidRPr="00E836FB">
        <w:t xml:space="preserve"> </w:t>
      </w:r>
    </w:p>
    <w:p w:rsidR="00A079D2" w:rsidRPr="00E836FB" w:rsidRDefault="00A079D2">
      <w:pPr>
        <w:spacing w:line="259" w:lineRule="auto"/>
      </w:pPr>
      <w:r w:rsidRPr="00E836FB">
        <w:br w:type="page"/>
      </w:r>
    </w:p>
    <w:p w:rsidR="00A079D2" w:rsidRPr="00E836FB" w:rsidRDefault="00A079D2" w:rsidP="00456860">
      <w:pPr>
        <w:pStyle w:val="Heading3"/>
      </w:pPr>
      <w:bookmarkStart w:id="76" w:name="_Toc166757748"/>
      <w:r w:rsidRPr="00E836FB">
        <w:lastRenderedPageBreak/>
        <w:t>Older Tasmanians seeking support are more likely to live alone</w:t>
      </w:r>
      <w:bookmarkEnd w:id="76"/>
    </w:p>
    <w:p w:rsidR="00A079D2" w:rsidRPr="00E836FB" w:rsidRDefault="00A079D2" w:rsidP="00456860">
      <w:r w:rsidRPr="00E836FB">
        <w:t xml:space="preserve">Older Tasmanians live in significantly smaller households than the rest of the population, with 23.8% living alone and over half (52.5%) living in two-person households, compared to 11.4% and 28.5% for Tasmanians of all ages </w:t>
      </w:r>
      <w:r>
        <w:rPr>
          <w:noProof/>
        </w:rPr>
        <w:t>(</w:t>
      </w:r>
      <w:r w:rsidR="002A6C64">
        <w:rPr>
          <w:noProof/>
        </w:rPr>
        <w:t>ABS</w:t>
      </w:r>
      <w:r>
        <w:rPr>
          <w:noProof/>
        </w:rPr>
        <w:t xml:space="preserve"> 2021)</w:t>
      </w:r>
      <w:r w:rsidRPr="00E836FB">
        <w:t xml:space="preserve">. </w:t>
      </w:r>
    </w:p>
    <w:p w:rsidR="00A079D2" w:rsidRPr="00E836FB" w:rsidRDefault="00A079D2" w:rsidP="00456860">
      <w:r>
        <w:t>More than half (</w:t>
      </w:r>
      <w:r w:rsidRPr="00E836FB">
        <w:t>58.9%</w:t>
      </w:r>
      <w:r>
        <w:t>)</w:t>
      </w:r>
      <w:r w:rsidRPr="00E836FB">
        <w:t xml:space="preserve"> of Anglicare’s Aged Care participants were living alone. The older the participant, the more likely they were to be living alone. Of the Aged Care clients for whom marital status was known. 34.7% were widowed and unsurprisingly, this was more prevalent with increasing age. HILDA data indicates that around age 85, the most common household size switches from two people to one.</w:t>
      </w:r>
    </w:p>
    <w:p w:rsidR="00A079D2" w:rsidRPr="00E836FB" w:rsidRDefault="00A079D2" w:rsidP="00456860">
      <w:r w:rsidRPr="00E836FB">
        <w:t>Aged Care participants who are renting were more likely to live alone than those in a private residence.</w:t>
      </w:r>
    </w:p>
    <w:p w:rsidR="00A079D2" w:rsidRPr="00E836FB" w:rsidRDefault="00A079D2" w:rsidP="00456860">
      <w:r w:rsidRPr="00E836FB">
        <w:t xml:space="preserve">Living alone is even more common among older Housing Connect Front Door participants: 72.6% of the older people were recorded as a ‘lone person’ at presentation (see Figures 4 and 5). </w:t>
      </w:r>
    </w:p>
    <w:p w:rsidR="00A079D2" w:rsidRPr="00E836FB" w:rsidRDefault="00A079D2" w:rsidP="00456860">
      <w:r w:rsidRPr="00E836FB">
        <w:rPr>
          <w:noProof/>
        </w:rPr>
        <w:drawing>
          <wp:anchor distT="0" distB="0" distL="114300" distR="114300" simplePos="0" relativeHeight="251660288" behindDoc="0" locked="0" layoutInCell="1" allowOverlap="1" wp14:anchorId="21354510" wp14:editId="796D5323">
            <wp:simplePos x="0" y="0"/>
            <wp:positionH relativeFrom="page">
              <wp:posOffset>937895</wp:posOffset>
            </wp:positionH>
            <wp:positionV relativeFrom="paragraph">
              <wp:posOffset>175260</wp:posOffset>
            </wp:positionV>
            <wp:extent cx="5686425" cy="1701165"/>
            <wp:effectExtent l="0" t="0" r="0" b="0"/>
            <wp:wrapTopAndBottom/>
            <wp:docPr id="12" name="Chart 12" descr="Bar graph">
              <a:extLst xmlns:a="http://schemas.openxmlformats.org/drawingml/2006/main">
                <a:ext uri="{FF2B5EF4-FFF2-40B4-BE49-F238E27FC236}">
                  <a16:creationId xmlns:a16="http://schemas.microsoft.com/office/drawing/2014/main" id="{F06465FB-8128-48AC-BA4A-FCED38C57C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p>
    <w:p w:rsidR="00A079D2" w:rsidRPr="00F31DDF" w:rsidRDefault="00A079D2" w:rsidP="00456860">
      <w:pPr>
        <w:pStyle w:val="Captions"/>
        <w:rPr>
          <w:b w:val="0"/>
        </w:rPr>
      </w:pPr>
      <w:r w:rsidRPr="00234A34">
        <w:t xml:space="preserve">Figure 4: Proportion of people living alone in a private home (%) </w:t>
      </w:r>
      <w:r>
        <w:t xml:space="preserve"> </w:t>
      </w:r>
      <w:r w:rsidRPr="00F31DDF">
        <w:rPr>
          <w:b w:val="0"/>
        </w:rPr>
        <w:t>Sources: ABS, Anglicare Tasmania</w:t>
      </w:r>
    </w:p>
    <w:p w:rsidR="00A079D2" w:rsidRPr="00E836FB" w:rsidRDefault="00A079D2" w:rsidP="00456860">
      <w:r w:rsidRPr="00E836FB">
        <w:rPr>
          <w:noProof/>
        </w:rPr>
        <w:drawing>
          <wp:inline distT="0" distB="0" distL="0" distR="0" wp14:anchorId="1D7837C9" wp14:editId="329274F4">
            <wp:extent cx="6042991" cy="1987550"/>
            <wp:effectExtent l="0" t="0" r="0" b="0"/>
            <wp:docPr id="11" name="Chart 11" descr="Bar graph">
              <a:extLst xmlns:a="http://schemas.openxmlformats.org/drawingml/2006/main">
                <a:ext uri="{FF2B5EF4-FFF2-40B4-BE49-F238E27FC236}">
                  <a16:creationId xmlns:a16="http://schemas.microsoft.com/office/drawing/2014/main" id="{365EDC48-0FF4-426E-8B9D-1E37AACBC4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079D2" w:rsidRPr="00234A34" w:rsidRDefault="00A079D2" w:rsidP="00456860">
      <w:pPr>
        <w:pStyle w:val="Captions"/>
      </w:pPr>
      <w:r w:rsidRPr="00234A34">
        <w:t xml:space="preserve">Figure 5: Living arrangements of Front Door participants at presentation, and one week before (%) </w:t>
      </w:r>
      <w:r w:rsidRPr="00F31DDF">
        <w:rPr>
          <w:b w:val="0"/>
        </w:rPr>
        <w:t>Source: Anglicare Tasmania</w:t>
      </w:r>
    </w:p>
    <w:p w:rsidR="00A079D2" w:rsidRPr="00E836FB" w:rsidRDefault="00A079D2" w:rsidP="00456860">
      <w:r w:rsidRPr="00E836FB">
        <w:t>Just 8.2% of all Front Door participants were in a spousal relationship (couples with or without children) at presentation. Those whose spousal circumstances had changed in the week prior to presentation went from living in a spousal arrangement to living alone.</w:t>
      </w:r>
    </w:p>
    <w:p w:rsidR="00A079D2" w:rsidRPr="00E836FB" w:rsidRDefault="00A079D2" w:rsidP="00456860">
      <w:r w:rsidRPr="00E836FB">
        <w:lastRenderedPageBreak/>
        <w:t xml:space="preserve">Living with family other than a spouse was most common among people aged between 75 and 89 years. Three-quarters of those who lived with family other than a spouse were women (74.7%).  </w:t>
      </w:r>
    </w:p>
    <w:p w:rsidR="00A079D2" w:rsidRPr="00E836FB" w:rsidRDefault="00A079D2" w:rsidP="00456860">
      <w:pPr>
        <w:pStyle w:val="Heading3"/>
      </w:pPr>
      <w:bookmarkStart w:id="77" w:name="_Toc166757749"/>
      <w:r w:rsidRPr="00E836FB">
        <w:t>Housing type and tenure</w:t>
      </w:r>
      <w:bookmarkEnd w:id="77"/>
    </w:p>
    <w:p w:rsidR="00A079D2" w:rsidRPr="00E836FB" w:rsidRDefault="00A079D2" w:rsidP="00456860">
      <w:r w:rsidRPr="00E836FB">
        <w:t xml:space="preserve">Figure 6 summarises the housing tenure reported for Tasmanians of all ages and older Tasmanians on census night 2021 and comparable data for older Anglicare Tasmania Front Door housing support and </w:t>
      </w:r>
      <w:r>
        <w:t>A</w:t>
      </w:r>
      <w:r w:rsidRPr="00E836FB">
        <w:t xml:space="preserve">ged </w:t>
      </w:r>
      <w:r>
        <w:t>C</w:t>
      </w:r>
      <w:r w:rsidRPr="00E836FB">
        <w:t xml:space="preserve">are clients (ABS </w:t>
      </w:r>
      <w:r w:rsidR="002124E5">
        <w:t>C</w:t>
      </w:r>
      <w:r w:rsidRPr="00E836FB">
        <w:t>ensus 2021 and Anglicare Tasmania data).</w:t>
      </w:r>
    </w:p>
    <w:p w:rsidR="00A079D2" w:rsidRPr="00E836FB" w:rsidRDefault="00A079D2" w:rsidP="00456860">
      <w:r w:rsidRPr="00E836FB">
        <w:t>A higher proportion (78.2%) of older Tasmanians own</w:t>
      </w:r>
      <w:r w:rsidR="007E1E21">
        <w:t>ed</w:t>
      </w:r>
      <w:r w:rsidRPr="00E836FB">
        <w:t xml:space="preserve"> the home in which they live (outright or paying a mortgage) compared to the general population (67.4%). </w:t>
      </w:r>
      <w:r>
        <w:t>More than one in eight (</w:t>
      </w:r>
      <w:r w:rsidRPr="00E836FB">
        <w:t>12.9%</w:t>
      </w:r>
      <w:r>
        <w:t xml:space="preserve">) </w:t>
      </w:r>
      <w:r w:rsidRPr="00E836FB">
        <w:t xml:space="preserve">older Tasmanians were renting, 3.1 % were in non-private dwellings (including aged-care facilities and nursing homes) and </w:t>
      </w:r>
      <w:r>
        <w:t>almost 700 (</w:t>
      </w:r>
      <w:r w:rsidRPr="00E836FB">
        <w:t>0.35%</w:t>
      </w:r>
      <w:r>
        <w:t xml:space="preserve">) </w:t>
      </w:r>
      <w:r w:rsidRPr="00E836FB">
        <w:t>older Tasmanians were identified as homeless on census night. This includes people who were couch-surfing, sleeping rough, living in supported accommodation for the homeless, overcrowded housing, or tents or marginally housed in caravan parks.</w:t>
      </w:r>
    </w:p>
    <w:p w:rsidR="00A079D2" w:rsidRPr="00E836FB" w:rsidRDefault="00A079D2" w:rsidP="00456860">
      <w:r w:rsidRPr="00E836FB">
        <w:t xml:space="preserve">Of the older Tasmanians living in non-private dwellings, 8% reported living in a motel, hotel or bed and breakfast and 3% were residing in a hospital (private or public, non-psychiatric and psychiatric). </w:t>
      </w:r>
      <w:r w:rsidRPr="00E836FB">
        <w:rPr>
          <w:noProof/>
        </w:rPr>
        <w:drawing>
          <wp:inline distT="0" distB="0" distL="0" distR="0" wp14:anchorId="204947F6" wp14:editId="467E64E2">
            <wp:extent cx="5760085" cy="2665730"/>
            <wp:effectExtent l="0" t="0" r="0" b="1270"/>
            <wp:docPr id="16" name="Chart 16" descr="Bar graph">
              <a:extLst xmlns:a="http://schemas.openxmlformats.org/drawingml/2006/main">
                <a:ext uri="{FF2B5EF4-FFF2-40B4-BE49-F238E27FC236}">
                  <a16:creationId xmlns:a16="http://schemas.microsoft.com/office/drawing/2014/main" id="{49F3AC81-248C-4550-B8A9-91C4996913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079D2" w:rsidRPr="00E836FB" w:rsidRDefault="00A079D2" w:rsidP="00456860">
      <w:pPr>
        <w:pStyle w:val="Captions"/>
      </w:pPr>
      <w:r w:rsidRPr="00E836FB">
        <w:t>Figure 6: Housing tenure of older Tasmanians, older Tasmanians who access housing and aged care support and all Tasmanians (% of cohort).</w:t>
      </w:r>
      <w:r>
        <w:t xml:space="preserve"> </w:t>
      </w:r>
      <w:r w:rsidRPr="00F31DDF">
        <w:rPr>
          <w:b w:val="0"/>
        </w:rPr>
        <w:t>Sources: ABS, Anglicare Tasmania</w:t>
      </w:r>
    </w:p>
    <w:p w:rsidR="00A079D2" w:rsidRPr="00E836FB" w:rsidRDefault="00A079D2" w:rsidP="00456860">
      <w:pPr>
        <w:spacing w:before="240" w:after="360"/>
      </w:pPr>
      <w:r w:rsidRPr="00E836FB">
        <w:t>Although older Tasmanians are less likely to be renters than the rest of the Tasmanian population, almost one in three of those who do rent (32%) live</w:t>
      </w:r>
      <w:r w:rsidR="008577E8">
        <w:t>d</w:t>
      </w:r>
      <w:r w:rsidRPr="00E836FB">
        <w:t xml:space="preserve"> in public and social housing and 62% rent</w:t>
      </w:r>
      <w:r w:rsidR="007E1E21">
        <w:t>ed</w:t>
      </w:r>
      <w:r w:rsidRPr="00E836FB">
        <w:t xml:space="preserve"> privately from a real estate agent or individual. By comparison, only 14% of other Tasmanian renters live</w:t>
      </w:r>
      <w:r w:rsidR="007E1E21">
        <w:t>d</w:t>
      </w:r>
      <w:r w:rsidRPr="00E836FB">
        <w:t xml:space="preserve"> in public and social housing with 80% renting in the private market.</w:t>
      </w:r>
    </w:p>
    <w:p w:rsidR="00A079D2" w:rsidRPr="00E836FB" w:rsidRDefault="00A079D2" w:rsidP="00456860">
      <w:r>
        <w:lastRenderedPageBreak/>
        <w:t>Almost three-quarters (</w:t>
      </w:r>
      <w:r w:rsidRPr="00E836FB">
        <w:t>74%</w:t>
      </w:r>
      <w:r>
        <w:t>)</w:t>
      </w:r>
      <w:r w:rsidRPr="00E836FB">
        <w:t xml:space="preserve"> of Aged Care participants lived in a private residence that they (or their family) owned or were buying. Renters made up 22% of the Aged Care cohort, with half in private rentals and half in public rentals.</w:t>
      </w:r>
    </w:p>
    <w:p w:rsidR="00A079D2" w:rsidRPr="00E836FB" w:rsidRDefault="00A079D2" w:rsidP="00456860">
      <w:r w:rsidRPr="00E836FB">
        <w:t>Older Tasmanians presenting to Anglicare’s Front Door housing support services have a vastly different housing tenure profile compared to the other groups shown in Figure 6.</w:t>
      </w:r>
    </w:p>
    <w:p w:rsidR="00A079D2" w:rsidRPr="00E836FB" w:rsidRDefault="00A079D2" w:rsidP="00456860">
      <w:r w:rsidRPr="00E836FB">
        <w:t>At presentation, the majority (67.7%) of older Front Door participants were living in a house, townhouse or flat. While this may appear to be a stable form of accommodation, few older Front Door participants were living in a home they owned or were purchasing. More than half of the older participants who lived in a house, townhouse or flat when they presented to Housing Connect were renting privately (54.6%). The second largest group of people living in a house, townhouse or flat were couch</w:t>
      </w:r>
      <w:r>
        <w:t>-</w:t>
      </w:r>
      <w:r w:rsidRPr="00E836FB">
        <w:t xml:space="preserve">surfers (15.3%). A further 12.1% were renting as tenants of public housing (5.6%) or community housing (6.5%). </w:t>
      </w:r>
    </w:p>
    <w:p w:rsidR="00A079D2" w:rsidRPr="00E836FB" w:rsidRDefault="00A079D2" w:rsidP="00456860">
      <w:r w:rsidRPr="00E836FB">
        <w:t>The vast majority of private, public and community housing renters (87.5%) were the nominated lessee. But 24.1% of those living in a house, townhouse or flat had no tenure, and men were more likely to be in this situation than women. Almost half of all older men (47.1%) reported having no tenure in their accommodation when they presented to the Front Door, compared with 32.9% of all women.</w:t>
      </w:r>
    </w:p>
    <w:p w:rsidR="00A079D2" w:rsidRPr="00E836FB" w:rsidRDefault="00A079D2" w:rsidP="00456860">
      <w:pPr>
        <w:rPr>
          <w:lang w:eastAsia="en-AU"/>
        </w:rPr>
      </w:pPr>
      <w:r w:rsidRPr="00E836FB">
        <w:rPr>
          <w:noProof/>
        </w:rPr>
        <w:drawing>
          <wp:inline distT="0" distB="0" distL="0" distR="0" wp14:anchorId="14CCD235" wp14:editId="6199B7B4">
            <wp:extent cx="5731510" cy="3533775"/>
            <wp:effectExtent l="0" t="0" r="2540" b="0"/>
            <wp:docPr id="14" name="Chart 14" descr="Bar graph">
              <a:extLst xmlns:a="http://schemas.openxmlformats.org/drawingml/2006/main">
                <a:ext uri="{FF2B5EF4-FFF2-40B4-BE49-F238E27FC236}">
                  <a16:creationId xmlns:a16="http://schemas.microsoft.com/office/drawing/2014/main" id="{90E05B2E-5E54-444F-89C3-48847C2147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079D2" w:rsidRPr="003A4432" w:rsidRDefault="00A079D2" w:rsidP="00456860">
      <w:pPr>
        <w:pStyle w:val="Captions"/>
      </w:pPr>
      <w:r w:rsidRPr="003A4432">
        <w:t>Figure 7: Where ‘older’ Front Door participants lived, at time of presentation and one week before (%)</w:t>
      </w:r>
      <w:r>
        <w:t xml:space="preserve">  </w:t>
      </w:r>
      <w:r w:rsidRPr="00F31DDF">
        <w:rPr>
          <w:b w:val="0"/>
        </w:rPr>
        <w:t>Source: Anglicare Tasmania</w:t>
      </w:r>
    </w:p>
    <w:p w:rsidR="00A079D2" w:rsidRPr="00E836FB" w:rsidRDefault="00A079D2" w:rsidP="00456860">
      <w:pPr>
        <w:pStyle w:val="Heading3"/>
      </w:pPr>
      <w:bookmarkStart w:id="78" w:name="_Toc166757750"/>
      <w:r w:rsidRPr="00E836FB">
        <w:t>The reasons why older people seek support</w:t>
      </w:r>
      <w:bookmarkEnd w:id="78"/>
    </w:p>
    <w:p w:rsidR="00A079D2" w:rsidRPr="00E836FB" w:rsidRDefault="00A079D2" w:rsidP="00456860">
      <w:r w:rsidRPr="00E836FB">
        <w:t xml:space="preserve">The reasons for presentation to the Front Door are recorded when people present to the service (Figure 8). Many people give more than one response. During the sample period, the top </w:t>
      </w:r>
      <w:r>
        <w:t xml:space="preserve">two </w:t>
      </w:r>
      <w:r w:rsidRPr="00E836FB">
        <w:t xml:space="preserve">reasons reported by older people were ‘housing affordability stress’ (47.3%) </w:t>
      </w:r>
      <w:r w:rsidRPr="00E836FB">
        <w:lastRenderedPageBreak/>
        <w:t>and experiencing a ‘housing crisis’ (e.g., eviction) (47.0%). The third most commonly mentioned reason was a ‘lack of family and/or community support’ (40.8%). These reasons were also the top three given by all people seeking support through Housing Connect. However, medical issues were far more likely to be reported by the older subpopulation than by other cohorts.</w:t>
      </w:r>
    </w:p>
    <w:p w:rsidR="00A079D2" w:rsidRPr="00E836FB" w:rsidRDefault="00A079D2" w:rsidP="00456860"/>
    <w:p w:rsidR="00A079D2" w:rsidRPr="00E836FB" w:rsidRDefault="00A079D2" w:rsidP="00456860">
      <w:r w:rsidRPr="00E836FB">
        <w:rPr>
          <w:noProof/>
        </w:rPr>
        <w:drawing>
          <wp:inline distT="0" distB="0" distL="0" distR="0" wp14:anchorId="6ED218E5" wp14:editId="280D81D1">
            <wp:extent cx="5760085" cy="4820285"/>
            <wp:effectExtent l="0" t="0" r="0" b="0"/>
            <wp:docPr id="41" name="Chart 41" descr="Bar graph">
              <a:extLst xmlns:a="http://schemas.openxmlformats.org/drawingml/2006/main">
                <a:ext uri="{FF2B5EF4-FFF2-40B4-BE49-F238E27FC236}">
                  <a16:creationId xmlns:a16="http://schemas.microsoft.com/office/drawing/2014/main" id="{8831DBAC-3E25-4CA2-902F-0DA233DC11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079D2" w:rsidRPr="003A4432" w:rsidRDefault="00A079D2" w:rsidP="00456860">
      <w:pPr>
        <w:pStyle w:val="Captions"/>
      </w:pPr>
      <w:bookmarkStart w:id="79" w:name="_Toc150162691"/>
      <w:bookmarkStart w:id="80" w:name="_Toc153888704"/>
      <w:bookmarkStart w:id="81" w:name="_Toc155254264"/>
      <w:r w:rsidRPr="003A4432">
        <w:t>Figure 8: Reasons given for presentation, older and complete Front Door cohorts (%)</w:t>
      </w:r>
      <w:bookmarkEnd w:id="79"/>
      <w:bookmarkEnd w:id="80"/>
      <w:bookmarkEnd w:id="81"/>
      <w:r>
        <w:t xml:space="preserve"> </w:t>
      </w:r>
      <w:r w:rsidRPr="00F31DDF">
        <w:rPr>
          <w:b w:val="0"/>
        </w:rPr>
        <w:t>Source: Anglicare Tasmania</w:t>
      </w:r>
    </w:p>
    <w:p w:rsidR="00A079D2" w:rsidRPr="00E836FB" w:rsidRDefault="00A079D2" w:rsidP="00456860">
      <w:pPr>
        <w:pStyle w:val="Heading3"/>
        <w:rPr>
          <w:lang w:eastAsia="en-AU"/>
        </w:rPr>
      </w:pPr>
      <w:bookmarkStart w:id="82" w:name="_Toc166757751"/>
      <w:bookmarkStart w:id="83" w:name="_Toc147221952"/>
      <w:bookmarkStart w:id="84" w:name="_Toc150162627"/>
      <w:r w:rsidRPr="00E836FB">
        <w:rPr>
          <w:lang w:eastAsia="en-AU"/>
        </w:rPr>
        <w:t>Repeat presentations amongst older people</w:t>
      </w:r>
      <w:bookmarkEnd w:id="82"/>
    </w:p>
    <w:p w:rsidR="00A079D2" w:rsidRPr="00E836FB" w:rsidRDefault="00A079D2" w:rsidP="00456860">
      <w:pPr>
        <w:rPr>
          <w:lang w:eastAsia="en-AU"/>
        </w:rPr>
      </w:pPr>
      <w:r w:rsidRPr="00E836FB">
        <w:rPr>
          <w:lang w:eastAsia="en-AU"/>
        </w:rPr>
        <w:t xml:space="preserve">About half (50.3%) of all older people presenting to the Housing Connect Front Door in 2022–23 had presented in previous years. Men and women were almost equally likely to have made repeat presentations. However, older people presenting more than once in a single year were more likely to be men. </w:t>
      </w:r>
      <w:r>
        <w:rPr>
          <w:lang w:eastAsia="en-AU"/>
        </w:rPr>
        <w:t>Two in five (</w:t>
      </w:r>
      <w:r w:rsidRPr="00E836FB">
        <w:rPr>
          <w:lang w:eastAsia="en-AU"/>
        </w:rPr>
        <w:t>39.1%</w:t>
      </w:r>
      <w:r>
        <w:rPr>
          <w:lang w:eastAsia="en-AU"/>
        </w:rPr>
        <w:t>)</w:t>
      </w:r>
      <w:r w:rsidRPr="00E836FB">
        <w:rPr>
          <w:lang w:eastAsia="en-AU"/>
        </w:rPr>
        <w:t xml:space="preserve"> older clients who made repeat presentations had been homeless in the month leading up to presenting — either sleeping rough or in short-term or emergency accommodation. </w:t>
      </w:r>
    </w:p>
    <w:p w:rsidR="00A079D2" w:rsidRPr="00E836FB" w:rsidRDefault="00A079D2" w:rsidP="00456860">
      <w:pPr>
        <w:pStyle w:val="Heading3"/>
      </w:pPr>
      <w:bookmarkStart w:id="85" w:name="_Toc166757752"/>
      <w:r w:rsidRPr="00E836FB">
        <w:lastRenderedPageBreak/>
        <w:t>Homelessness amongst older men</w:t>
      </w:r>
      <w:bookmarkEnd w:id="85"/>
    </w:p>
    <w:p w:rsidR="00A079D2" w:rsidRPr="00E836FB" w:rsidRDefault="00A079D2" w:rsidP="00456860">
      <w:r w:rsidRPr="00E836FB">
        <w:t>Men were almost twice as likely as women to report they had been sleeping rough or living in non-conventional accommodation in the past month and in the past year.</w:t>
      </w:r>
    </w:p>
    <w:p w:rsidR="00A079D2" w:rsidRPr="00E836FB" w:rsidRDefault="00A079D2" w:rsidP="00456860">
      <w:r w:rsidRPr="00E836FB">
        <w:t xml:space="preserve">Within the sample, the oldest person sleeping rough in the past month was 84 years </w:t>
      </w:r>
      <w:r>
        <w:t>old</w:t>
      </w:r>
      <w:r w:rsidRPr="00E836FB">
        <w:t>. Among those in emergency accommodation, 2% were in their seventies and 2% in their eighties.</w:t>
      </w:r>
    </w:p>
    <w:p w:rsidR="00A079D2" w:rsidRPr="00E836FB" w:rsidRDefault="00A079D2" w:rsidP="00456860">
      <w:pPr>
        <w:pStyle w:val="Captions"/>
        <w:rPr>
          <w:rFonts w:ascii="Avenir Next LT Pro" w:hAnsi="Avenir Next LT Pro"/>
        </w:rPr>
      </w:pPr>
      <w:r w:rsidRPr="00E836FB">
        <w:rPr>
          <w:rFonts w:ascii="Avenir Next LT Pro" w:hAnsi="Avenir Next LT Pro"/>
          <w:noProof/>
        </w:rPr>
        <w:drawing>
          <wp:inline distT="0" distB="0" distL="0" distR="0" wp14:anchorId="32111D74" wp14:editId="2659F911">
            <wp:extent cx="5553075" cy="3590925"/>
            <wp:effectExtent l="0" t="0" r="0" b="0"/>
            <wp:docPr id="51" name="Chart 51" descr="Column graph">
              <a:extLst xmlns:a="http://schemas.openxmlformats.org/drawingml/2006/main">
                <a:ext uri="{FF2B5EF4-FFF2-40B4-BE49-F238E27FC236}">
                  <a16:creationId xmlns:a16="http://schemas.microsoft.com/office/drawing/2014/main" id="{F417408D-D5B2-4394-B8BA-00E4A0147E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079D2" w:rsidRPr="003A4432" w:rsidRDefault="00A079D2" w:rsidP="00456860">
      <w:pPr>
        <w:pStyle w:val="Captions"/>
      </w:pPr>
      <w:bookmarkStart w:id="86" w:name="_Toc150162695"/>
      <w:bookmarkStart w:id="87" w:name="_Toc153888708"/>
      <w:bookmarkStart w:id="88" w:name="_Toc155254268"/>
      <w:r w:rsidRPr="003A4432">
        <w:t>Figure 9: Older people in Front Door services who experienced homelessness in the past month</w:t>
      </w:r>
      <w:bookmarkEnd w:id="86"/>
      <w:bookmarkEnd w:id="87"/>
      <w:bookmarkEnd w:id="88"/>
      <w:r>
        <w:t xml:space="preserve"> </w:t>
      </w:r>
      <w:r w:rsidRPr="00F31DDF">
        <w:rPr>
          <w:b w:val="0"/>
        </w:rPr>
        <w:t>Source: Anglicare Tasmania</w:t>
      </w:r>
    </w:p>
    <w:p w:rsidR="00A079D2" w:rsidRPr="00E836FB" w:rsidRDefault="00A079D2" w:rsidP="00456860">
      <w:bookmarkStart w:id="89" w:name="_Toc150162630"/>
      <w:bookmarkEnd w:id="83"/>
      <w:bookmarkEnd w:id="84"/>
    </w:p>
    <w:bookmarkEnd w:id="89"/>
    <w:p w:rsidR="00A079D2" w:rsidRPr="00E836FB" w:rsidRDefault="00A079D2">
      <w:pPr>
        <w:spacing w:line="259" w:lineRule="auto"/>
        <w:rPr>
          <w:rFonts w:eastAsiaTheme="majorEastAsia" w:cstheme="majorBidi"/>
          <w:color w:val="2F5496" w:themeColor="accent1" w:themeShade="BF"/>
          <w:sz w:val="32"/>
          <w:szCs w:val="32"/>
        </w:rPr>
      </w:pPr>
      <w:r w:rsidRPr="00E836FB">
        <w:br w:type="page"/>
      </w:r>
    </w:p>
    <w:p w:rsidR="00A079D2" w:rsidRPr="00E836FB" w:rsidRDefault="00A079D2" w:rsidP="00456860">
      <w:pPr>
        <w:pStyle w:val="Heading2"/>
      </w:pPr>
      <w:bookmarkStart w:id="90" w:name="_Toc166757753"/>
      <w:r w:rsidRPr="00E836FB">
        <w:lastRenderedPageBreak/>
        <w:t>Housing insecurity of older Tasmanian renters</w:t>
      </w:r>
      <w:bookmarkEnd w:id="90"/>
    </w:p>
    <w:p w:rsidR="00A079D2" w:rsidRPr="00E836FB" w:rsidRDefault="00A079D2" w:rsidP="00456860">
      <w:pPr>
        <w:pStyle w:val="Captions"/>
        <w:rPr>
          <w:rFonts w:ascii="Avenir Next LT Pro" w:hAnsi="Avenir Next LT Pro"/>
          <w:b w:val="0"/>
        </w:rPr>
      </w:pPr>
      <w:r w:rsidRPr="00E836FB">
        <w:rPr>
          <w:rFonts w:ascii="Avenir Next LT Pro" w:hAnsi="Avenir Next LT Pro"/>
          <w:b w:val="0"/>
        </w:rPr>
        <w:t>Older Tasmanian renters experience housing insecurity both in terms of rental affordability and insecurity of tenure.</w:t>
      </w:r>
    </w:p>
    <w:p w:rsidR="00A079D2" w:rsidRPr="00E836FB" w:rsidRDefault="00A079D2" w:rsidP="00456860">
      <w:pPr>
        <w:spacing w:after="600"/>
      </w:pPr>
      <w:r w:rsidRPr="00E836FB">
        <w:rPr>
          <w:noProof/>
        </w:rPr>
        <w:drawing>
          <wp:anchor distT="0" distB="0" distL="114300" distR="114300" simplePos="0" relativeHeight="251661312" behindDoc="1" locked="0" layoutInCell="1" allowOverlap="1" wp14:anchorId="044186C4" wp14:editId="10039322">
            <wp:simplePos x="0" y="0"/>
            <wp:positionH relativeFrom="margin">
              <wp:posOffset>17145</wp:posOffset>
            </wp:positionH>
            <wp:positionV relativeFrom="paragraph">
              <wp:posOffset>1034415</wp:posOffset>
            </wp:positionV>
            <wp:extent cx="5171440" cy="2496185"/>
            <wp:effectExtent l="0" t="0" r="0" b="0"/>
            <wp:wrapTopAndBottom/>
            <wp:docPr id="20" name="Chart 20" descr="Line graph">
              <a:extLst xmlns:a="http://schemas.openxmlformats.org/drawingml/2006/main">
                <a:ext uri="{FF2B5EF4-FFF2-40B4-BE49-F238E27FC236}">
                  <a16:creationId xmlns:a16="http://schemas.microsoft.com/office/drawing/2014/main" id="{C1294528-8068-4D5A-9C26-D7B49B69F1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Pr="00E836FB">
        <w:rPr>
          <w:noProof/>
        </w:rPr>
        <w:drawing>
          <wp:anchor distT="0" distB="0" distL="114300" distR="114300" simplePos="0" relativeHeight="251662336" behindDoc="0" locked="0" layoutInCell="1" allowOverlap="1" wp14:anchorId="4BB3E4AA" wp14:editId="1DE1BBFD">
            <wp:simplePos x="0" y="0"/>
            <wp:positionH relativeFrom="margin">
              <wp:posOffset>5056809</wp:posOffset>
            </wp:positionH>
            <wp:positionV relativeFrom="paragraph">
              <wp:posOffset>1033035</wp:posOffset>
            </wp:positionV>
            <wp:extent cx="552450" cy="2238375"/>
            <wp:effectExtent l="0" t="0" r="0" b="9525"/>
            <wp:wrapNone/>
            <wp:docPr id="17" name="chart" descr="Part of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552450" cy="2238375"/>
                    </a:xfrm>
                    <a:prstGeom prst="rect">
                      <a:avLst/>
                    </a:prstGeom>
                  </pic:spPr>
                </pic:pic>
              </a:graphicData>
            </a:graphic>
          </wp:anchor>
        </w:drawing>
      </w:r>
      <w:r w:rsidRPr="00E836FB">
        <w:t xml:space="preserve">Renters move more frequently than owner/buyers, regardless of their age. People who rent are also more likely to move due to circumstances that are beyond their control. Between June 2018 and February 2023, median rents in Tasmania rose by 44%, the greatest increase of all Australian jurisdictions over the period </w:t>
      </w:r>
      <w:r w:rsidRPr="003A4432">
        <w:t>(see Figure 10).</w:t>
      </w:r>
    </w:p>
    <w:p w:rsidR="00A079D2" w:rsidRPr="008B4EE6" w:rsidRDefault="00A079D2" w:rsidP="00456860">
      <w:pPr>
        <w:pStyle w:val="Captions"/>
        <w:rPr>
          <w:b w:val="0"/>
        </w:rPr>
      </w:pPr>
      <w:r w:rsidRPr="00D13B1E">
        <w:t>Figure 10: Median rent ($) in Australian states and territories, June 2018 to February 2023</w:t>
      </w:r>
      <w:r>
        <w:t xml:space="preserve">  </w:t>
      </w:r>
      <w:r w:rsidRPr="008B4EE6">
        <w:rPr>
          <w:b w:val="0"/>
        </w:rPr>
        <w:t>Source</w:t>
      </w:r>
      <w:r>
        <w:rPr>
          <w:b w:val="0"/>
        </w:rPr>
        <w:t>s</w:t>
      </w:r>
      <w:r w:rsidRPr="008B4EE6">
        <w:rPr>
          <w:b w:val="0"/>
        </w:rPr>
        <w:t>: ABS</w:t>
      </w:r>
      <w:r w:rsidRPr="008B4EE6">
        <w:rPr>
          <w:b w:val="0"/>
          <w:noProof/>
        </w:rPr>
        <w:t xml:space="preserve"> 2023</w:t>
      </w:r>
      <w:r w:rsidR="002124E5">
        <w:rPr>
          <w:b w:val="0"/>
          <w:noProof/>
        </w:rPr>
        <w:t>b</w:t>
      </w:r>
    </w:p>
    <w:p w:rsidR="00A079D2" w:rsidRPr="00E836FB" w:rsidRDefault="00A079D2" w:rsidP="00456860">
      <w:r w:rsidRPr="00E836FB">
        <w:t xml:space="preserve">Increases in rents are more frequent and of </w:t>
      </w:r>
      <w:r w:rsidRPr="00184F01">
        <w:t xml:space="preserve">greater magnitude for properties with new tenants than for properties with continuing tenants </w:t>
      </w:r>
      <w:r>
        <w:rPr>
          <w:noProof/>
        </w:rPr>
        <w:t>(Agarwal et al. 2023)</w:t>
      </w:r>
      <w:r w:rsidRPr="00184F01">
        <w:t xml:space="preserve">. </w:t>
      </w:r>
      <w:r>
        <w:t>In the same period (June 2018 to February 2023), there</w:t>
      </w:r>
      <w:r w:rsidRPr="00184F01">
        <w:t xml:space="preserve"> </w:t>
      </w:r>
      <w:r>
        <w:t>was also a</w:t>
      </w:r>
      <w:r w:rsidRPr="00184F01">
        <w:t xml:space="preserve"> contraction in supply of rental properties per capita. As a</w:t>
      </w:r>
      <w:r w:rsidRPr="00E836FB">
        <w:t xml:space="preserve"> result, renters who move experience increased difficulty in finding a new place and are likely to experience a greater increase in their weekly rent. This creates a strong disincentive for renters to move, increases rental stress and is expected to decrease overall satisfaction with the home in which renters live. </w:t>
      </w:r>
    </w:p>
    <w:p w:rsidR="00A079D2" w:rsidRPr="00E836FB" w:rsidRDefault="00A079D2" w:rsidP="00456860">
      <w:r w:rsidRPr="00E836FB">
        <w:t>In recent decades, the proportion of people over aged 45 years and over who rent</w:t>
      </w:r>
      <w:r>
        <w:t xml:space="preserve"> </w:t>
      </w:r>
      <w:r w:rsidRPr="00E836FB">
        <w:t>has steadily increased as the home ownership rate has declined (</w:t>
      </w:r>
      <w:r>
        <w:t>see Figure 11</w:t>
      </w:r>
      <w:r w:rsidRPr="00E836FB">
        <w:t>). Renters in this older cohort have lower median weekly disposable income (see Fig</w:t>
      </w:r>
      <w:r>
        <w:t>ure</w:t>
      </w:r>
      <w:r w:rsidRPr="00E836FB">
        <w:t xml:space="preserve"> </w:t>
      </w:r>
      <w:r>
        <w:t>12</w:t>
      </w:r>
      <w:r w:rsidRPr="00E836FB">
        <w:t xml:space="preserve">) and are particularly vulnerable to housing stress if the rental market tightens. Moving may also have additional adverse impacts on this cohort due to frailty, ill health and increased reliance on the assistance of others to move. </w:t>
      </w:r>
    </w:p>
    <w:p w:rsidR="00A079D2" w:rsidRPr="00E836FB" w:rsidRDefault="00A079D2" w:rsidP="00456860">
      <w:r w:rsidRPr="00E836FB">
        <w:t xml:space="preserve">Tasmanian census data shows that although a smaller proportion of people in the cohort of interest are renting than </w:t>
      </w:r>
      <w:r>
        <w:t xml:space="preserve">is the case for </w:t>
      </w:r>
      <w:r w:rsidRPr="00E836FB">
        <w:t xml:space="preserve">the younger segment of the population, older renters are </w:t>
      </w:r>
      <w:r>
        <w:t xml:space="preserve">more likely to be </w:t>
      </w:r>
      <w:r w:rsidRPr="00E836FB">
        <w:t>experiencing rental unaffordability compared to younger renters (</w:t>
      </w:r>
      <w:r>
        <w:t xml:space="preserve">38% of older renters and </w:t>
      </w:r>
      <w:r w:rsidRPr="00E836FB">
        <w:t>27%</w:t>
      </w:r>
      <w:r>
        <w:t xml:space="preserve"> of younger renters</w:t>
      </w:r>
      <w:r w:rsidRPr="00E836FB">
        <w:t>) (see Fig</w:t>
      </w:r>
      <w:r>
        <w:t xml:space="preserve">ure </w:t>
      </w:r>
      <w:r w:rsidRPr="00E836FB">
        <w:t xml:space="preserve">13). </w:t>
      </w:r>
    </w:p>
    <w:tbl>
      <w:tblPr>
        <w:tblpPr w:leftFromText="180" w:rightFromText="180" w:vertAnchor="text" w:horzAnchor="margin" w:tblpXSpec="center" w:tblpY="160"/>
        <w:tblW w:w="9178" w:type="dxa"/>
        <w:tblLook w:val="04A0" w:firstRow="1" w:lastRow="0" w:firstColumn="1" w:lastColumn="0" w:noHBand="0" w:noVBand="1"/>
      </w:tblPr>
      <w:tblGrid>
        <w:gridCol w:w="4673"/>
        <w:gridCol w:w="4505"/>
      </w:tblGrid>
      <w:tr w:rsidR="00A079D2" w:rsidRPr="00E836FB" w:rsidTr="00456860">
        <w:trPr>
          <w:cantSplit/>
        </w:trPr>
        <w:tc>
          <w:tcPr>
            <w:tcW w:w="4673" w:type="dxa"/>
          </w:tcPr>
          <w:p w:rsidR="00A079D2" w:rsidRPr="00E836FB" w:rsidRDefault="00A079D2" w:rsidP="00456860">
            <w:r w:rsidRPr="00E836FB">
              <w:rPr>
                <w:noProof/>
              </w:rPr>
              <w:lastRenderedPageBreak/>
              <w:drawing>
                <wp:inline distT="0" distB="0" distL="0" distR="0" wp14:anchorId="56F11AF5" wp14:editId="7AA40889">
                  <wp:extent cx="2819400" cy="2114550"/>
                  <wp:effectExtent l="0" t="0" r="0" b="0"/>
                  <wp:docPr id="22" name="Picture 22" descr="Lin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9753"/>
                          <a:stretch/>
                        </pic:blipFill>
                        <pic:spPr bwMode="auto">
                          <a:xfrm>
                            <a:off x="0" y="0"/>
                            <a:ext cx="2842967" cy="2132225"/>
                          </a:xfrm>
                          <a:prstGeom prst="rect">
                            <a:avLst/>
                          </a:prstGeom>
                          <a:ln>
                            <a:noFill/>
                          </a:ln>
                          <a:extLst>
                            <a:ext uri="{53640926-AAD7-44D8-BBD7-CCE9431645EC}">
                              <a14:shadowObscured xmlns:a14="http://schemas.microsoft.com/office/drawing/2010/main"/>
                            </a:ext>
                          </a:extLst>
                        </pic:spPr>
                      </pic:pic>
                    </a:graphicData>
                  </a:graphic>
                </wp:inline>
              </w:drawing>
            </w:r>
          </w:p>
        </w:tc>
        <w:tc>
          <w:tcPr>
            <w:tcW w:w="4505" w:type="dxa"/>
          </w:tcPr>
          <w:p w:rsidR="00A079D2" w:rsidRPr="00E836FB" w:rsidRDefault="002870ED" w:rsidP="00456860">
            <w:r>
              <w:t>Column</w:t>
            </w:r>
            <w:r w:rsidR="00A079D2" w:rsidRPr="00E836FB">
              <w:rPr>
                <w:noProof/>
              </w:rPr>
              <w:drawing>
                <wp:inline distT="0" distB="0" distL="0" distR="0" wp14:anchorId="01E86051" wp14:editId="4AC3B04F">
                  <wp:extent cx="2705100" cy="2112970"/>
                  <wp:effectExtent l="0" t="0" r="0" b="1905"/>
                  <wp:docPr id="23" name="Picture 23" descr="Colum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19333"/>
                          <a:stretch/>
                        </pic:blipFill>
                        <pic:spPr bwMode="auto">
                          <a:xfrm>
                            <a:off x="0" y="0"/>
                            <a:ext cx="2730734" cy="2132993"/>
                          </a:xfrm>
                          <a:prstGeom prst="rect">
                            <a:avLst/>
                          </a:prstGeom>
                          <a:ln>
                            <a:noFill/>
                          </a:ln>
                          <a:extLst>
                            <a:ext uri="{53640926-AAD7-44D8-BBD7-CCE9431645EC}">
                              <a14:shadowObscured xmlns:a14="http://schemas.microsoft.com/office/drawing/2010/main"/>
                            </a:ext>
                          </a:extLst>
                        </pic:spPr>
                      </pic:pic>
                    </a:graphicData>
                  </a:graphic>
                </wp:inline>
              </w:drawing>
            </w:r>
          </w:p>
        </w:tc>
      </w:tr>
      <w:tr w:rsidR="00A079D2" w:rsidRPr="00E836FB" w:rsidTr="00456860">
        <w:trPr>
          <w:cantSplit/>
        </w:trPr>
        <w:tc>
          <w:tcPr>
            <w:tcW w:w="4673" w:type="dxa"/>
          </w:tcPr>
          <w:p w:rsidR="00A079D2" w:rsidRPr="0077725A" w:rsidRDefault="00A079D2" w:rsidP="00456860">
            <w:pPr>
              <w:pStyle w:val="Captions"/>
              <w:rPr>
                <w:rFonts w:ascii="Avenir Next LT Pro" w:hAnsi="Avenir Next LT Pro"/>
              </w:rPr>
            </w:pPr>
            <w:r w:rsidRPr="0077725A">
              <w:rPr>
                <w:rFonts w:ascii="Avenir Next LT Pro" w:hAnsi="Avenir Next LT Pro"/>
              </w:rPr>
              <w:t xml:space="preserve">Figure 11: Renter households by age – share of all households </w:t>
            </w:r>
            <w:r w:rsidRPr="0077725A">
              <w:rPr>
                <w:rFonts w:ascii="Avenir Next LT Pro" w:hAnsi="Avenir Next LT Pro"/>
                <w:b w:val="0"/>
                <w:noProof/>
              </w:rPr>
              <w:t>(Agarwal et al. 2023)</w:t>
            </w:r>
          </w:p>
        </w:tc>
        <w:tc>
          <w:tcPr>
            <w:tcW w:w="4505" w:type="dxa"/>
          </w:tcPr>
          <w:p w:rsidR="00A079D2" w:rsidRPr="0077725A" w:rsidRDefault="00A079D2" w:rsidP="00456860">
            <w:pPr>
              <w:pStyle w:val="Captions"/>
              <w:rPr>
                <w:rFonts w:ascii="Avenir Next LT Pro" w:hAnsi="Avenir Next LT Pro"/>
                <w:b w:val="0"/>
              </w:rPr>
            </w:pPr>
            <w:r w:rsidRPr="0077725A">
              <w:rPr>
                <w:rFonts w:ascii="Avenir Next LT Pro" w:hAnsi="Avenir Next LT Pro"/>
              </w:rPr>
              <w:t>Figure 12: Median weekly disposable income by age and housing tenure – 2019</w:t>
            </w:r>
            <w:r w:rsidRPr="0077725A">
              <w:rPr>
                <w:rFonts w:ascii="Avenir Next LT Pro" w:hAnsi="Avenir Next LT Pro"/>
              </w:rPr>
              <w:noBreakHyphen/>
              <w:t xml:space="preserve">20 </w:t>
            </w:r>
            <w:r w:rsidRPr="0077725A">
              <w:rPr>
                <w:rFonts w:ascii="Avenir Next LT Pro" w:hAnsi="Avenir Next LT Pro"/>
                <w:b w:val="0"/>
                <w:noProof/>
              </w:rPr>
              <w:t>(Agarwal et al. 2023)</w:t>
            </w:r>
            <w:r>
              <w:rPr>
                <w:rStyle w:val="FootnoteReference"/>
                <w:rFonts w:ascii="Avenir Next LT Pro" w:hAnsi="Avenir Next LT Pro"/>
                <w:b w:val="0"/>
              </w:rPr>
              <w:footnoteReference w:id="4"/>
            </w:r>
          </w:p>
        </w:tc>
      </w:tr>
    </w:tbl>
    <w:p w:rsidR="00A079D2" w:rsidRPr="00E836FB" w:rsidRDefault="00A079D2" w:rsidP="00456860">
      <w:pPr>
        <w:rPr>
          <w:i/>
          <w:sz w:val="20"/>
        </w:rPr>
      </w:pPr>
    </w:p>
    <w:p w:rsidR="00A079D2" w:rsidRPr="00E836FB" w:rsidRDefault="00A079D2" w:rsidP="00456860">
      <w:pPr>
        <w:pStyle w:val="Captions"/>
      </w:pPr>
      <w:r w:rsidRPr="00E836FB">
        <w:rPr>
          <w:b w:val="0"/>
          <w:noProof/>
        </w:rPr>
        <w:drawing>
          <wp:anchor distT="0" distB="0" distL="114300" distR="114300" simplePos="0" relativeHeight="251663360" behindDoc="0" locked="0" layoutInCell="1" allowOverlap="1" wp14:anchorId="496FAB08" wp14:editId="3682A86B">
            <wp:simplePos x="0" y="0"/>
            <wp:positionH relativeFrom="margin">
              <wp:align>left</wp:align>
            </wp:positionH>
            <wp:positionV relativeFrom="paragraph">
              <wp:posOffset>430945</wp:posOffset>
            </wp:positionV>
            <wp:extent cx="5459730" cy="2011680"/>
            <wp:effectExtent l="0" t="0" r="7620" b="0"/>
            <wp:wrapTopAndBottom/>
            <wp:docPr id="26" name="Chart 26" descr="Bar graph">
              <a:extLst xmlns:a="http://schemas.openxmlformats.org/drawingml/2006/main">
                <a:ext uri="{FF2B5EF4-FFF2-40B4-BE49-F238E27FC236}">
                  <a16:creationId xmlns:a16="http://schemas.microsoft.com/office/drawing/2014/main" id="{47992D67-8D2E-4E5B-A870-25BA75C385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V relativeFrom="margin">
              <wp14:pctHeight>0</wp14:pctHeight>
            </wp14:sizeRelV>
          </wp:anchor>
        </w:drawing>
      </w:r>
      <w:r w:rsidRPr="00E836FB">
        <w:t>Figure 13: Proportion of cohort who rent by category of rental affordability – cohort of interest and rest of Tasmanian population</w:t>
      </w:r>
      <w:r w:rsidRPr="0077725A">
        <w:rPr>
          <w:b w:val="0"/>
        </w:rPr>
        <w:t xml:space="preserve"> </w:t>
      </w:r>
      <w:r>
        <w:rPr>
          <w:b w:val="0"/>
        </w:rPr>
        <w:t xml:space="preserve">Source: ABS </w:t>
      </w:r>
      <w:r w:rsidR="002124E5">
        <w:rPr>
          <w:b w:val="0"/>
        </w:rPr>
        <w:t>C</w:t>
      </w:r>
      <w:r>
        <w:rPr>
          <w:b w:val="0"/>
        </w:rPr>
        <w:t>ensus 2021</w:t>
      </w:r>
    </w:p>
    <w:p w:rsidR="00A079D2" w:rsidRPr="00E836FB" w:rsidRDefault="00A079D2" w:rsidP="00456860"/>
    <w:p w:rsidR="00A079D2" w:rsidRPr="00E836FB" w:rsidRDefault="00A079D2" w:rsidP="00456860">
      <w:pPr>
        <w:rPr>
          <w:b/>
        </w:rPr>
      </w:pPr>
      <w:r w:rsidRPr="00E836FB">
        <w:t xml:space="preserve">In a tightened rental market, options that are suitable and affordable for those who are renting are limited and the likelihood of finding a home that meets both the needs and preferences of an individual renter in the cohort of interest are low. Since 2016, tightening of the rental market has intensified in Hobart and has increasingly impacted low income renters across the state </w:t>
      </w:r>
      <w:r>
        <w:rPr>
          <w:noProof/>
        </w:rPr>
        <w:t>(Claxton &amp; Bennett 2023)</w:t>
      </w:r>
      <w:r w:rsidRPr="00E836FB">
        <w:t xml:space="preserve">. </w:t>
      </w:r>
    </w:p>
    <w:p w:rsidR="00A079D2" w:rsidRPr="00E836FB" w:rsidRDefault="00A079D2" w:rsidP="00456860"/>
    <w:p w:rsidR="00A079D2" w:rsidRPr="00E836FB" w:rsidRDefault="00A079D2" w:rsidP="00456860">
      <w:pPr>
        <w:pStyle w:val="Heading2"/>
      </w:pPr>
      <w:bookmarkStart w:id="91" w:name="_Toc166757754"/>
      <w:r w:rsidRPr="00E836FB">
        <w:lastRenderedPageBreak/>
        <w:t xml:space="preserve">Reasons </w:t>
      </w:r>
      <w:r>
        <w:t>older people move</w:t>
      </w:r>
      <w:bookmarkEnd w:id="91"/>
    </w:p>
    <w:p w:rsidR="00A079D2" w:rsidRPr="00E836FB" w:rsidRDefault="00A079D2" w:rsidP="00456860">
      <w:r w:rsidRPr="00E836FB">
        <w:t xml:space="preserve">2019-20 ABS data </w:t>
      </w:r>
      <w:r>
        <w:t xml:space="preserve">shows that </w:t>
      </w:r>
      <w:r w:rsidRPr="00E836FB">
        <w:t>the most common reason for moving given by people aged 55 and over was to downsize</w:t>
      </w:r>
      <w:r>
        <w:t xml:space="preserve"> </w:t>
      </w:r>
      <w:r>
        <w:rPr>
          <w:noProof/>
        </w:rPr>
        <w:t>(</w:t>
      </w:r>
      <w:r w:rsidR="002A6C64">
        <w:rPr>
          <w:noProof/>
        </w:rPr>
        <w:t>ABS</w:t>
      </w:r>
      <w:r>
        <w:rPr>
          <w:noProof/>
        </w:rPr>
        <w:t xml:space="preserve"> 2020)</w:t>
      </w:r>
      <w:r>
        <w:t xml:space="preserve">. This was </w:t>
      </w:r>
      <w:r w:rsidRPr="00E836FB">
        <w:t xml:space="preserve">followed by moving closer to friends and/or family, seeking a lifestyle change, purchasing their own home (although younger people are three times more likely to move for this reason), health/medical reasons and because their lease was terminated or not renewed by their landlord </w:t>
      </w:r>
      <w:r>
        <w:rPr>
          <w:noProof/>
        </w:rPr>
        <w:t>(</w:t>
      </w:r>
      <w:r w:rsidR="002A6C64">
        <w:rPr>
          <w:noProof/>
        </w:rPr>
        <w:t xml:space="preserve">ABS </w:t>
      </w:r>
      <w:r>
        <w:rPr>
          <w:noProof/>
        </w:rPr>
        <w:t>2020)</w:t>
      </w:r>
      <w:r w:rsidRPr="00E836FB">
        <w:t xml:space="preserve">. They are also more likely than younger people to move in order to reduce their housing costs (financial reasons). </w:t>
      </w:r>
    </w:p>
    <w:p w:rsidR="00A079D2" w:rsidRPr="00E836FB" w:rsidRDefault="00A079D2" w:rsidP="00456860">
      <w:r w:rsidRPr="00E836FB">
        <w:t>Having their lease terminated or not renewed was the most common reason for moving cited by all people living in a private rental (Australia-wide). This reason was more frequently cited for people aged 64 to 74 years (8%) than the average across all age groups (7.5%) and Tasmanians were more likely to move for this reason (9.9%) than residents of any other state.</w:t>
      </w:r>
    </w:p>
    <w:p w:rsidR="00A079D2" w:rsidRPr="00E836FB" w:rsidRDefault="00A079D2" w:rsidP="00456860">
      <w:r w:rsidRPr="00E836FB">
        <w:t>HILDA data enable</w:t>
      </w:r>
      <w:r>
        <w:t>s</w:t>
      </w:r>
      <w:r w:rsidRPr="00E836FB">
        <w:t xml:space="preserve"> more detailed exploration of the reasons for moving cited by persons in the age cohort of interest who are </w:t>
      </w:r>
      <w:r w:rsidRPr="00D13B1E">
        <w:t>renting (see Fig</w:t>
      </w:r>
      <w:r w:rsidRPr="00F31DDF">
        <w:t>ure</w:t>
      </w:r>
      <w:r w:rsidRPr="00D13B1E">
        <w:t xml:space="preserve"> 14) and who live in a home that they own or are buying (see Fig</w:t>
      </w:r>
      <w:r w:rsidRPr="00F31DDF">
        <w:t>ure</w:t>
      </w:r>
      <w:r w:rsidRPr="00D13B1E">
        <w:t xml:space="preserve"> 15).</w:t>
      </w:r>
      <w:r w:rsidRPr="00E836FB">
        <w:t xml:space="preserve"> </w:t>
      </w:r>
    </w:p>
    <w:p w:rsidR="00A079D2" w:rsidRPr="00E836FB" w:rsidRDefault="00A079D2" w:rsidP="00456860">
      <w:r w:rsidRPr="00E836FB">
        <w:t>Renters in this cohort most commonly move because the property is no longer available. Between 2016 and 2021, respondents moving for this reason increased from 15% to 25%. A further 2% moved because they were evicted. Given that these reasons for moving are more common in Tasmania</w:t>
      </w:r>
      <w:r>
        <w:t xml:space="preserve"> </w:t>
      </w:r>
      <w:r>
        <w:rPr>
          <w:noProof/>
        </w:rPr>
        <w:t>(</w:t>
      </w:r>
      <w:r w:rsidR="002A6C64">
        <w:rPr>
          <w:noProof/>
        </w:rPr>
        <w:t xml:space="preserve">ABS </w:t>
      </w:r>
      <w:r>
        <w:rPr>
          <w:noProof/>
        </w:rPr>
        <w:t>2020)</w:t>
      </w:r>
      <w:r w:rsidRPr="00E836FB">
        <w:t xml:space="preserve">, their frequency may well be higher amongst older Tasmanians. The next most common reasons for moving were to get a larger/better place and moving for health reasons. </w:t>
      </w:r>
    </w:p>
    <w:p w:rsidR="00A079D2" w:rsidRPr="00E836FB" w:rsidRDefault="00A079D2" w:rsidP="00456860">
      <w:r w:rsidRPr="00E836FB">
        <w:t>For home owners in this age cohort, the most common reason for moving in 2021 was a change of lifestyle, followed by downsizing, to be closer to family/friends, moving into a larger/better place and health reasons.</w:t>
      </w:r>
    </w:p>
    <w:p w:rsidR="00A079D2" w:rsidRPr="00E836FB" w:rsidRDefault="00A079D2" w:rsidP="00456860">
      <w:r w:rsidRPr="00E836FB">
        <w:t>In general, it appears that most home owners have moved by choice and preference</w:t>
      </w:r>
      <w:r>
        <w:t xml:space="preserve">, while </w:t>
      </w:r>
      <w:r w:rsidRPr="00E836FB">
        <w:t xml:space="preserve">renters are more likely than home owners to have moved due to external circumstances beyond their control. The proportion of renters who had moved because their property was no longer available or because of eviction was 27% (more than one in four) compared to 1% of home owners (one in 100). </w:t>
      </w:r>
    </w:p>
    <w:p w:rsidR="00A079D2" w:rsidRPr="00E836FB" w:rsidRDefault="00A079D2" w:rsidP="00456860">
      <w:pPr>
        <w:rPr>
          <w:b/>
        </w:rPr>
      </w:pPr>
      <w:r w:rsidRPr="00E836FB">
        <w:rPr>
          <w:b/>
        </w:rPr>
        <w:br w:type="page"/>
      </w:r>
    </w:p>
    <w:p w:rsidR="00A079D2" w:rsidRPr="00E836FB" w:rsidRDefault="00A079D2" w:rsidP="00456860">
      <w:pPr>
        <w:rPr>
          <w:b/>
        </w:rPr>
      </w:pPr>
      <w:r w:rsidRPr="00E836FB">
        <w:rPr>
          <w:noProof/>
        </w:rPr>
        <w:lastRenderedPageBreak/>
        <w:drawing>
          <wp:inline distT="0" distB="0" distL="0" distR="0" wp14:anchorId="35E0BA13" wp14:editId="66353A7F">
            <wp:extent cx="5731510" cy="4038600"/>
            <wp:effectExtent l="0" t="0" r="2540" b="0"/>
            <wp:docPr id="28" name="Chart 28" descr="Bar graph">
              <a:extLst xmlns:a="http://schemas.openxmlformats.org/drawingml/2006/main">
                <a:ext uri="{FF2B5EF4-FFF2-40B4-BE49-F238E27FC236}">
                  <a16:creationId xmlns:a16="http://schemas.microsoft.com/office/drawing/2014/main" id="{90711940-AAF3-4655-9590-70757070E5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079D2" w:rsidRPr="008B4EE6" w:rsidRDefault="00A079D2" w:rsidP="00456860">
      <w:pPr>
        <w:pStyle w:val="Captions"/>
        <w:rPr>
          <w:b w:val="0"/>
        </w:rPr>
      </w:pPr>
      <w:r w:rsidRPr="00E836FB">
        <w:rPr>
          <w:noProof/>
        </w:rPr>
        <w:drawing>
          <wp:anchor distT="0" distB="0" distL="114300" distR="114300" simplePos="0" relativeHeight="251664384" behindDoc="1" locked="0" layoutInCell="1" allowOverlap="1" wp14:anchorId="3F7A90CD" wp14:editId="012AC8FE">
            <wp:simplePos x="0" y="0"/>
            <wp:positionH relativeFrom="margin">
              <wp:align>right</wp:align>
            </wp:positionH>
            <wp:positionV relativeFrom="paragraph">
              <wp:posOffset>463550</wp:posOffset>
            </wp:positionV>
            <wp:extent cx="5731510" cy="3888105"/>
            <wp:effectExtent l="0" t="0" r="2540" b="0"/>
            <wp:wrapTight wrapText="bothSides">
              <wp:wrapPolygon edited="0">
                <wp:start x="0" y="0"/>
                <wp:lineTo x="0" y="21484"/>
                <wp:lineTo x="21538" y="21484"/>
                <wp:lineTo x="21538" y="0"/>
                <wp:lineTo x="0" y="0"/>
              </wp:wrapPolygon>
            </wp:wrapTight>
            <wp:docPr id="30" name="Chart 30" descr="Bar graph">
              <a:extLst xmlns:a="http://schemas.openxmlformats.org/drawingml/2006/main">
                <a:ext uri="{FF2B5EF4-FFF2-40B4-BE49-F238E27FC236}">
                  <a16:creationId xmlns:a16="http://schemas.microsoft.com/office/drawing/2014/main" id="{6BE80ECA-CAC0-4BFA-B338-DD05984122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V relativeFrom="margin">
              <wp14:pctHeight>0</wp14:pctHeight>
            </wp14:sizeRelV>
          </wp:anchor>
        </w:drawing>
      </w:r>
      <w:r w:rsidRPr="00D13B1E">
        <w:t>Figure 14: Reasons for moving – older renters</w:t>
      </w:r>
      <w:r>
        <w:t xml:space="preserve"> </w:t>
      </w:r>
      <w:r>
        <w:rPr>
          <w:b w:val="0"/>
        </w:rPr>
        <w:t xml:space="preserve">Source: HILDA survey </w:t>
      </w:r>
    </w:p>
    <w:p w:rsidR="00A079D2" w:rsidRPr="008B4EE6" w:rsidRDefault="00A079D2" w:rsidP="00456860">
      <w:pPr>
        <w:pStyle w:val="Captions"/>
        <w:rPr>
          <w:b w:val="0"/>
        </w:rPr>
      </w:pPr>
      <w:r w:rsidRPr="00D13B1E">
        <w:t>Figure 15: Reasons for moving – home owners aged 55 years and over</w:t>
      </w:r>
      <w:r>
        <w:t xml:space="preserve"> </w:t>
      </w:r>
      <w:r>
        <w:rPr>
          <w:b w:val="0"/>
        </w:rPr>
        <w:t xml:space="preserve">Source: HILDA survey </w:t>
      </w:r>
    </w:p>
    <w:p w:rsidR="00A079D2" w:rsidRPr="00E836FB" w:rsidRDefault="00A079D2" w:rsidP="00456860">
      <w:pPr>
        <w:pStyle w:val="Heading2"/>
      </w:pPr>
      <w:bookmarkStart w:id="92" w:name="_Toc166757755"/>
      <w:r w:rsidRPr="00E836FB">
        <w:rPr>
          <w:rStyle w:val="Heading2Char"/>
        </w:rPr>
        <w:lastRenderedPageBreak/>
        <w:t>Life satisfaction and housing</w:t>
      </w:r>
      <w:r w:rsidRPr="00E836FB">
        <w:rPr>
          <w:rStyle w:val="FootnoteReference"/>
        </w:rPr>
        <w:footnoteReference w:id="5"/>
      </w:r>
      <w:bookmarkEnd w:id="92"/>
    </w:p>
    <w:p w:rsidR="00A079D2" w:rsidRPr="00E836FB" w:rsidRDefault="00A079D2" w:rsidP="00456860">
      <w:r w:rsidRPr="00E836FB">
        <w:t>HILDA survey respondents are asked to rate how satisfied they are with a range of things, including:</w:t>
      </w:r>
    </w:p>
    <w:p w:rsidR="00A079D2" w:rsidRPr="00E836FB" w:rsidRDefault="00A079D2" w:rsidP="00456860">
      <w:pPr>
        <w:pStyle w:val="ListParagraph"/>
        <w:numPr>
          <w:ilvl w:val="0"/>
          <w:numId w:val="23"/>
        </w:numPr>
      </w:pPr>
      <w:r w:rsidRPr="00E836FB">
        <w:t>the home in which they live</w:t>
      </w:r>
    </w:p>
    <w:p w:rsidR="00A079D2" w:rsidRPr="00E836FB" w:rsidRDefault="00A079D2" w:rsidP="00456860">
      <w:pPr>
        <w:pStyle w:val="ListParagraph"/>
        <w:numPr>
          <w:ilvl w:val="0"/>
          <w:numId w:val="23"/>
        </w:numPr>
      </w:pPr>
      <w:r w:rsidRPr="00E836FB">
        <w:t>feeling part of their local community</w:t>
      </w:r>
    </w:p>
    <w:p w:rsidR="00A079D2" w:rsidRPr="00E836FB" w:rsidRDefault="00A079D2" w:rsidP="00456860">
      <w:pPr>
        <w:pStyle w:val="ListParagraph"/>
        <w:numPr>
          <w:ilvl w:val="0"/>
          <w:numId w:val="23"/>
        </w:numPr>
      </w:pPr>
      <w:r w:rsidRPr="00E836FB">
        <w:t xml:space="preserve">how safe they feel </w:t>
      </w:r>
    </w:p>
    <w:p w:rsidR="00A079D2" w:rsidRPr="00E836FB" w:rsidRDefault="00A079D2" w:rsidP="00456860">
      <w:pPr>
        <w:pStyle w:val="ListParagraph"/>
        <w:numPr>
          <w:ilvl w:val="0"/>
          <w:numId w:val="23"/>
        </w:numPr>
      </w:pPr>
      <w:r w:rsidRPr="00E836FB">
        <w:t>the neighbourhood in which they live</w:t>
      </w:r>
    </w:p>
    <w:p w:rsidR="00A079D2" w:rsidRPr="00E836FB" w:rsidRDefault="00A079D2" w:rsidP="00456860">
      <w:pPr>
        <w:pStyle w:val="ListParagraph"/>
        <w:numPr>
          <w:ilvl w:val="0"/>
          <w:numId w:val="23"/>
        </w:numPr>
      </w:pPr>
      <w:r w:rsidRPr="00E836FB">
        <w:t>their health</w:t>
      </w:r>
    </w:p>
    <w:p w:rsidR="00A079D2" w:rsidRPr="00E836FB" w:rsidRDefault="00A079D2" w:rsidP="00456860">
      <w:pPr>
        <w:pStyle w:val="ListParagraph"/>
        <w:numPr>
          <w:ilvl w:val="0"/>
          <w:numId w:val="23"/>
        </w:numPr>
      </w:pPr>
      <w:r w:rsidRPr="00E836FB">
        <w:t>their life, all things considered</w:t>
      </w:r>
    </w:p>
    <w:p w:rsidR="00A079D2" w:rsidRPr="00E836FB" w:rsidRDefault="00A079D2" w:rsidP="00456860">
      <w:r w:rsidRPr="00E836FB">
        <w:t>Mean subjective wellbeing generally declines from young adulthood to a nadir during middle age and then rises again to higher levels later in life. Estimates of subjective wellbeing based on HILDA survey data in 2021 are consistent with this pattern. The mean overall life satisfaction (on a scale of 1 to 10) of older respondents, estimated at 8.05, was significantly higher than the total population mean of 7.91 (see Table 2).</w:t>
      </w:r>
    </w:p>
    <w:p w:rsidR="00A079D2" w:rsidRPr="00E836FB" w:rsidRDefault="00A079D2" w:rsidP="00456860">
      <w:r w:rsidRPr="00E836FB">
        <w:t>Older people were found to have significantly higher satisfaction across all domains measured except for their satisfaction with how safe they feel (mean = 8.43), which did not differ from the rest of the population, and satisfaction with their health (mean = 7.00), which was unsurprisingly lower than for the total population (7.32).</w:t>
      </w:r>
    </w:p>
    <w:p w:rsidR="00A079D2" w:rsidRPr="008B4EE6" w:rsidRDefault="00A079D2" w:rsidP="00456860">
      <w:pPr>
        <w:pStyle w:val="Captions"/>
        <w:rPr>
          <w:b w:val="0"/>
        </w:rPr>
      </w:pPr>
      <w:r w:rsidRPr="00DB6D37">
        <w:t>Table 2: Measures of subjective wellbeing and health</w:t>
      </w:r>
      <w:r>
        <w:t xml:space="preserve">, 2021 </w:t>
      </w:r>
      <w:r>
        <w:rPr>
          <w:b w:val="0"/>
        </w:rPr>
        <w:t>Source: HILDA survey, weighted data</w:t>
      </w:r>
    </w:p>
    <w:tbl>
      <w:tblPr>
        <w:tblW w:w="9080" w:type="dxa"/>
        <w:tblLook w:val="04A0" w:firstRow="1" w:lastRow="0" w:firstColumn="1" w:lastColumn="0" w:noHBand="0" w:noVBand="1"/>
      </w:tblPr>
      <w:tblGrid>
        <w:gridCol w:w="2694"/>
        <w:gridCol w:w="886"/>
        <w:gridCol w:w="1098"/>
        <w:gridCol w:w="226"/>
        <w:gridCol w:w="709"/>
        <w:gridCol w:w="1418"/>
        <w:gridCol w:w="240"/>
        <w:gridCol w:w="708"/>
        <w:gridCol w:w="1101"/>
      </w:tblGrid>
      <w:tr w:rsidR="00A079D2" w:rsidRPr="00E836FB" w:rsidTr="00456860">
        <w:trPr>
          <w:trHeight w:val="300"/>
        </w:trPr>
        <w:tc>
          <w:tcPr>
            <w:tcW w:w="2694"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rPr>
                <w:rFonts w:eastAsia="Times New Roman" w:cs="Times New Roman"/>
                <w:sz w:val="16"/>
                <w:szCs w:val="16"/>
                <w:lang w:eastAsia="en-AU"/>
              </w:rPr>
            </w:pPr>
          </w:p>
        </w:tc>
        <w:tc>
          <w:tcPr>
            <w:tcW w:w="1984" w:type="dxa"/>
            <w:gridSpan w:val="2"/>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Older population</w:t>
            </w:r>
          </w:p>
        </w:tc>
        <w:tc>
          <w:tcPr>
            <w:tcW w:w="226" w:type="dxa"/>
            <w:tcBorders>
              <w:top w:val="nil"/>
              <w:left w:val="nil"/>
              <w:right w:val="nil"/>
            </w:tcBorders>
          </w:tcPr>
          <w:p w:rsidR="00A079D2" w:rsidRPr="00E836FB" w:rsidRDefault="00A079D2" w:rsidP="00456860">
            <w:pPr>
              <w:spacing w:before="60" w:after="60" w:line="240" w:lineRule="auto"/>
              <w:jc w:val="center"/>
              <w:rPr>
                <w:rFonts w:eastAsia="Times New Roman" w:cs="Calibri"/>
                <w:i/>
                <w:color w:val="000000"/>
                <w:sz w:val="16"/>
                <w:szCs w:val="16"/>
                <w:lang w:eastAsia="en-AU"/>
              </w:rPr>
            </w:pPr>
          </w:p>
        </w:tc>
        <w:tc>
          <w:tcPr>
            <w:tcW w:w="2127" w:type="dxa"/>
            <w:gridSpan w:val="2"/>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Rest of population</w:t>
            </w:r>
          </w:p>
        </w:tc>
        <w:tc>
          <w:tcPr>
            <w:tcW w:w="240" w:type="dxa"/>
            <w:tcBorders>
              <w:top w:val="nil"/>
              <w:left w:val="nil"/>
              <w:bottom w:val="nil"/>
              <w:right w:val="nil"/>
            </w:tcBorders>
          </w:tcPr>
          <w:p w:rsidR="00A079D2" w:rsidRPr="00E836FB" w:rsidRDefault="00A079D2" w:rsidP="00456860">
            <w:pPr>
              <w:spacing w:before="60" w:after="60" w:line="240" w:lineRule="auto"/>
              <w:jc w:val="center"/>
              <w:rPr>
                <w:rFonts w:eastAsia="Times New Roman" w:cs="Calibri"/>
                <w:i/>
                <w:color w:val="000000"/>
                <w:sz w:val="16"/>
                <w:szCs w:val="16"/>
                <w:lang w:eastAsia="en-AU"/>
              </w:rPr>
            </w:pPr>
          </w:p>
        </w:tc>
        <w:tc>
          <w:tcPr>
            <w:tcW w:w="1809" w:type="dxa"/>
            <w:gridSpan w:val="2"/>
            <w:tcBorders>
              <w:top w:val="nil"/>
              <w:left w:val="nil"/>
              <w:bottom w:val="single" w:sz="4" w:space="0" w:color="auto"/>
              <w:right w:val="nil"/>
            </w:tcBorders>
            <w:shd w:val="clear" w:color="auto" w:fill="auto"/>
            <w:vAlign w:val="bottom"/>
            <w:hideMark/>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Australian population</w:t>
            </w:r>
          </w:p>
        </w:tc>
      </w:tr>
      <w:tr w:rsidR="00A079D2" w:rsidRPr="00E836FB" w:rsidTr="00456860">
        <w:trPr>
          <w:trHeight w:val="300"/>
        </w:trPr>
        <w:tc>
          <w:tcPr>
            <w:tcW w:w="2694" w:type="dxa"/>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86" w:type="dxa"/>
            <w:tcBorders>
              <w:top w:val="single" w:sz="4" w:space="0" w:color="auto"/>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Mean</w:t>
            </w:r>
          </w:p>
        </w:tc>
        <w:tc>
          <w:tcPr>
            <w:tcW w:w="1098" w:type="dxa"/>
            <w:tcBorders>
              <w:top w:val="single" w:sz="4" w:space="0" w:color="auto"/>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95% CI</w:t>
            </w:r>
          </w:p>
        </w:tc>
        <w:tc>
          <w:tcPr>
            <w:tcW w:w="226" w:type="dxa"/>
            <w:tcBorders>
              <w:left w:val="nil"/>
              <w:bottom w:val="single" w:sz="4" w:space="0" w:color="auto"/>
              <w:right w:val="nil"/>
            </w:tcBorders>
          </w:tcPr>
          <w:p w:rsidR="00A079D2" w:rsidRPr="00E836FB" w:rsidRDefault="00A079D2" w:rsidP="00456860">
            <w:pPr>
              <w:spacing w:before="60" w:after="60" w:line="240" w:lineRule="auto"/>
              <w:jc w:val="center"/>
              <w:rPr>
                <w:rFonts w:eastAsia="Times New Roman" w:cs="Calibri"/>
                <w:i/>
                <w:color w:val="000000"/>
                <w:sz w:val="16"/>
                <w:szCs w:val="16"/>
                <w:lang w:eastAsia="en-AU"/>
              </w:rPr>
            </w:pPr>
          </w:p>
        </w:tc>
        <w:tc>
          <w:tcPr>
            <w:tcW w:w="709" w:type="dxa"/>
            <w:tcBorders>
              <w:top w:val="single" w:sz="4" w:space="0" w:color="auto"/>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Mean</w:t>
            </w:r>
          </w:p>
        </w:tc>
        <w:tc>
          <w:tcPr>
            <w:tcW w:w="1418" w:type="dxa"/>
            <w:tcBorders>
              <w:top w:val="single" w:sz="4" w:space="0" w:color="auto"/>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95% CI</w:t>
            </w:r>
          </w:p>
        </w:tc>
        <w:tc>
          <w:tcPr>
            <w:tcW w:w="240" w:type="dxa"/>
            <w:tcBorders>
              <w:top w:val="nil"/>
              <w:left w:val="nil"/>
              <w:bottom w:val="single" w:sz="4" w:space="0" w:color="auto"/>
              <w:right w:val="nil"/>
            </w:tcBorders>
          </w:tcPr>
          <w:p w:rsidR="00A079D2" w:rsidRPr="00E836FB" w:rsidRDefault="00A079D2" w:rsidP="00456860">
            <w:pPr>
              <w:spacing w:before="60" w:after="60" w:line="240" w:lineRule="auto"/>
              <w:jc w:val="center"/>
              <w:rPr>
                <w:rFonts w:eastAsia="Times New Roman" w:cs="Calibri"/>
                <w:i/>
                <w:color w:val="000000"/>
                <w:sz w:val="16"/>
                <w:szCs w:val="16"/>
                <w:lang w:eastAsia="en-AU"/>
              </w:rPr>
            </w:pPr>
          </w:p>
        </w:tc>
        <w:tc>
          <w:tcPr>
            <w:tcW w:w="708" w:type="dxa"/>
            <w:tcBorders>
              <w:top w:val="single" w:sz="4" w:space="0" w:color="auto"/>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Mean</w:t>
            </w:r>
          </w:p>
        </w:tc>
        <w:tc>
          <w:tcPr>
            <w:tcW w:w="1101" w:type="dxa"/>
            <w:tcBorders>
              <w:top w:val="single" w:sz="4" w:space="0" w:color="auto"/>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95% CI</w:t>
            </w:r>
          </w:p>
        </w:tc>
      </w:tr>
      <w:tr w:rsidR="00A079D2" w:rsidRPr="00E836FB" w:rsidTr="00456860">
        <w:trPr>
          <w:trHeight w:val="300"/>
        </w:trPr>
        <w:tc>
          <w:tcPr>
            <w:tcW w:w="2694" w:type="dxa"/>
            <w:tcBorders>
              <w:top w:val="single" w:sz="4" w:space="0" w:color="auto"/>
              <w:left w:val="nil"/>
              <w:bottom w:val="nil"/>
              <w:right w:val="nil"/>
            </w:tcBorders>
            <w:shd w:val="clear" w:color="auto" w:fill="auto"/>
            <w:noWrap/>
            <w:vAlign w:val="bottom"/>
            <w:hideMark/>
          </w:tcPr>
          <w:p w:rsidR="00A079D2" w:rsidRPr="00E836FB" w:rsidRDefault="00A079D2" w:rsidP="00456860">
            <w:pPr>
              <w:spacing w:before="60" w:after="60" w:line="240" w:lineRule="auto"/>
              <w:rPr>
                <w:rFonts w:eastAsia="Times New Roman" w:cs="Calibri"/>
                <w:i/>
                <w:iCs/>
                <w:color w:val="000000"/>
                <w:sz w:val="16"/>
                <w:szCs w:val="16"/>
                <w:lang w:eastAsia="en-AU"/>
              </w:rPr>
            </w:pPr>
            <w:r w:rsidRPr="00E836FB">
              <w:rPr>
                <w:rFonts w:eastAsia="Times New Roman" w:cs="Calibri"/>
                <w:i/>
                <w:iCs/>
                <w:color w:val="000000"/>
                <w:sz w:val="16"/>
                <w:szCs w:val="16"/>
                <w:lang w:eastAsia="en-AU"/>
              </w:rPr>
              <w:t>Mean satisfaction (0-10 scale)</w:t>
            </w:r>
          </w:p>
        </w:tc>
        <w:tc>
          <w:tcPr>
            <w:tcW w:w="886" w:type="dxa"/>
            <w:tcBorders>
              <w:top w:val="single" w:sz="4" w:space="0" w:color="auto"/>
              <w:left w:val="nil"/>
              <w:bottom w:val="nil"/>
              <w:right w:val="nil"/>
            </w:tcBorders>
            <w:shd w:val="clear" w:color="auto" w:fill="auto"/>
            <w:noWrap/>
            <w:vAlign w:val="bottom"/>
            <w:hideMark/>
          </w:tcPr>
          <w:p w:rsidR="00A079D2" w:rsidRPr="00E836FB" w:rsidRDefault="00A079D2" w:rsidP="00456860">
            <w:pPr>
              <w:spacing w:before="60" w:after="60" w:line="240" w:lineRule="auto"/>
              <w:rPr>
                <w:rFonts w:eastAsia="Times New Roman" w:cs="Calibri"/>
                <w:i/>
                <w:iCs/>
                <w:color w:val="000000"/>
                <w:sz w:val="16"/>
                <w:szCs w:val="16"/>
                <w:lang w:eastAsia="en-AU"/>
              </w:rPr>
            </w:pPr>
          </w:p>
        </w:tc>
        <w:tc>
          <w:tcPr>
            <w:tcW w:w="1098" w:type="dxa"/>
            <w:tcBorders>
              <w:top w:val="single" w:sz="4" w:space="0" w:color="auto"/>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Times New Roman"/>
                <w:sz w:val="16"/>
                <w:szCs w:val="16"/>
                <w:lang w:eastAsia="en-AU"/>
              </w:rPr>
            </w:pPr>
          </w:p>
        </w:tc>
        <w:tc>
          <w:tcPr>
            <w:tcW w:w="226" w:type="dxa"/>
            <w:tcBorders>
              <w:top w:val="single" w:sz="4" w:space="0" w:color="auto"/>
              <w:left w:val="nil"/>
              <w:bottom w:val="nil"/>
              <w:right w:val="nil"/>
            </w:tcBorders>
          </w:tcPr>
          <w:p w:rsidR="00A079D2" w:rsidRPr="00E836FB" w:rsidRDefault="00A079D2" w:rsidP="00456860">
            <w:pPr>
              <w:spacing w:before="60" w:after="60" w:line="240" w:lineRule="auto"/>
              <w:jc w:val="center"/>
              <w:rPr>
                <w:rFonts w:eastAsia="Times New Roman" w:cs="Times New Roman"/>
                <w:sz w:val="16"/>
                <w:szCs w:val="16"/>
                <w:lang w:eastAsia="en-AU"/>
              </w:rPr>
            </w:pPr>
          </w:p>
        </w:tc>
        <w:tc>
          <w:tcPr>
            <w:tcW w:w="709" w:type="dxa"/>
            <w:tcBorders>
              <w:top w:val="single" w:sz="4" w:space="0" w:color="auto"/>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Times New Roman"/>
                <w:sz w:val="16"/>
                <w:szCs w:val="16"/>
                <w:lang w:eastAsia="en-AU"/>
              </w:rPr>
            </w:pPr>
          </w:p>
        </w:tc>
        <w:tc>
          <w:tcPr>
            <w:tcW w:w="1418" w:type="dxa"/>
            <w:tcBorders>
              <w:top w:val="single" w:sz="4" w:space="0" w:color="auto"/>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Times New Roman"/>
                <w:sz w:val="16"/>
                <w:szCs w:val="16"/>
                <w:lang w:eastAsia="en-AU"/>
              </w:rPr>
            </w:pPr>
          </w:p>
        </w:tc>
        <w:tc>
          <w:tcPr>
            <w:tcW w:w="240" w:type="dxa"/>
            <w:tcBorders>
              <w:top w:val="single" w:sz="4" w:space="0" w:color="auto"/>
              <w:left w:val="nil"/>
              <w:bottom w:val="nil"/>
              <w:right w:val="nil"/>
            </w:tcBorders>
          </w:tcPr>
          <w:p w:rsidR="00A079D2" w:rsidRPr="00E836FB" w:rsidRDefault="00A079D2" w:rsidP="00456860">
            <w:pPr>
              <w:spacing w:before="60" w:after="60" w:line="240" w:lineRule="auto"/>
              <w:jc w:val="center"/>
              <w:rPr>
                <w:rFonts w:eastAsia="Times New Roman" w:cs="Times New Roman"/>
                <w:sz w:val="16"/>
                <w:szCs w:val="16"/>
                <w:lang w:eastAsia="en-AU"/>
              </w:rPr>
            </w:pPr>
          </w:p>
        </w:tc>
        <w:tc>
          <w:tcPr>
            <w:tcW w:w="708" w:type="dxa"/>
            <w:tcBorders>
              <w:top w:val="single" w:sz="4" w:space="0" w:color="auto"/>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Times New Roman"/>
                <w:sz w:val="16"/>
                <w:szCs w:val="16"/>
                <w:lang w:eastAsia="en-AU"/>
              </w:rPr>
            </w:pPr>
          </w:p>
        </w:tc>
        <w:tc>
          <w:tcPr>
            <w:tcW w:w="1101" w:type="dxa"/>
            <w:tcBorders>
              <w:top w:val="single" w:sz="4" w:space="0" w:color="auto"/>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Times New Roman"/>
                <w:sz w:val="16"/>
                <w:szCs w:val="16"/>
                <w:lang w:eastAsia="en-AU"/>
              </w:rPr>
            </w:pPr>
          </w:p>
        </w:tc>
      </w:tr>
      <w:tr w:rsidR="00A079D2" w:rsidRPr="00E836FB" w:rsidTr="00456860">
        <w:trPr>
          <w:trHeight w:val="300"/>
        </w:trPr>
        <w:tc>
          <w:tcPr>
            <w:tcW w:w="2694"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Life overall**</w:t>
            </w:r>
          </w:p>
        </w:tc>
        <w:tc>
          <w:tcPr>
            <w:tcW w:w="886"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8.05</w:t>
            </w:r>
          </w:p>
        </w:tc>
        <w:tc>
          <w:tcPr>
            <w:tcW w:w="1098"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(8.00—8.09)</w:t>
            </w:r>
          </w:p>
        </w:tc>
        <w:tc>
          <w:tcPr>
            <w:tcW w:w="226" w:type="dxa"/>
            <w:tcBorders>
              <w:top w:val="nil"/>
              <w:left w:val="nil"/>
              <w:bottom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709"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7.84</w:t>
            </w:r>
          </w:p>
        </w:tc>
        <w:tc>
          <w:tcPr>
            <w:tcW w:w="1418"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(7.80—7.88)</w:t>
            </w:r>
          </w:p>
        </w:tc>
        <w:tc>
          <w:tcPr>
            <w:tcW w:w="240" w:type="dxa"/>
            <w:tcBorders>
              <w:top w:val="nil"/>
              <w:left w:val="nil"/>
              <w:bottom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708"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7.91</w:t>
            </w:r>
          </w:p>
        </w:tc>
        <w:tc>
          <w:tcPr>
            <w:tcW w:w="1101"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(7.88—7.94)</w:t>
            </w:r>
          </w:p>
        </w:tc>
      </w:tr>
      <w:tr w:rsidR="00A079D2" w:rsidRPr="00E836FB" w:rsidTr="00456860">
        <w:trPr>
          <w:trHeight w:val="300"/>
        </w:trPr>
        <w:tc>
          <w:tcPr>
            <w:tcW w:w="2694"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Home**</w:t>
            </w:r>
          </w:p>
        </w:tc>
        <w:tc>
          <w:tcPr>
            <w:tcW w:w="886"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8.46</w:t>
            </w:r>
          </w:p>
        </w:tc>
        <w:tc>
          <w:tcPr>
            <w:tcW w:w="1098"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(8.42—8.51)</w:t>
            </w:r>
          </w:p>
        </w:tc>
        <w:tc>
          <w:tcPr>
            <w:tcW w:w="226" w:type="dxa"/>
            <w:tcBorders>
              <w:top w:val="nil"/>
              <w:left w:val="nil"/>
              <w:bottom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709"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8.12</w:t>
            </w:r>
          </w:p>
        </w:tc>
        <w:tc>
          <w:tcPr>
            <w:tcW w:w="1418"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(8.07—8.16)</w:t>
            </w:r>
          </w:p>
        </w:tc>
        <w:tc>
          <w:tcPr>
            <w:tcW w:w="240" w:type="dxa"/>
            <w:tcBorders>
              <w:top w:val="nil"/>
              <w:left w:val="nil"/>
              <w:bottom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708"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8.24</w:t>
            </w:r>
          </w:p>
        </w:tc>
        <w:tc>
          <w:tcPr>
            <w:tcW w:w="1101"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(8.20—8.27)</w:t>
            </w:r>
          </w:p>
        </w:tc>
      </w:tr>
      <w:tr w:rsidR="00A079D2" w:rsidRPr="00E836FB" w:rsidTr="00456860">
        <w:trPr>
          <w:trHeight w:val="300"/>
        </w:trPr>
        <w:tc>
          <w:tcPr>
            <w:tcW w:w="2694"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Feeling part of local community</w:t>
            </w:r>
            <w:r>
              <w:rPr>
                <w:rFonts w:eastAsia="Times New Roman" w:cs="Calibri"/>
                <w:color w:val="000000"/>
                <w:sz w:val="16"/>
                <w:szCs w:val="16"/>
                <w:lang w:eastAsia="en-AU"/>
              </w:rPr>
              <w:t>**</w:t>
            </w:r>
          </w:p>
        </w:tc>
        <w:tc>
          <w:tcPr>
            <w:tcW w:w="886"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6.99</w:t>
            </w:r>
          </w:p>
        </w:tc>
        <w:tc>
          <w:tcPr>
            <w:tcW w:w="1098"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(6.93—7.06)</w:t>
            </w:r>
          </w:p>
        </w:tc>
        <w:tc>
          <w:tcPr>
            <w:tcW w:w="226" w:type="dxa"/>
            <w:tcBorders>
              <w:top w:val="nil"/>
              <w:left w:val="nil"/>
              <w:bottom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709"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6.60</w:t>
            </w:r>
          </w:p>
        </w:tc>
        <w:tc>
          <w:tcPr>
            <w:tcW w:w="1418"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(6.54—6.67)</w:t>
            </w:r>
          </w:p>
        </w:tc>
        <w:tc>
          <w:tcPr>
            <w:tcW w:w="240" w:type="dxa"/>
            <w:tcBorders>
              <w:top w:val="nil"/>
              <w:left w:val="nil"/>
              <w:bottom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708"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6.74</w:t>
            </w:r>
          </w:p>
        </w:tc>
        <w:tc>
          <w:tcPr>
            <w:tcW w:w="1101"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(6.69—6.79)</w:t>
            </w:r>
          </w:p>
        </w:tc>
      </w:tr>
      <w:tr w:rsidR="00A079D2" w:rsidRPr="00E836FB" w:rsidTr="00456860">
        <w:trPr>
          <w:trHeight w:val="300"/>
        </w:trPr>
        <w:tc>
          <w:tcPr>
            <w:tcW w:w="2694"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How safe feel</w:t>
            </w:r>
          </w:p>
        </w:tc>
        <w:tc>
          <w:tcPr>
            <w:tcW w:w="886"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8.43</w:t>
            </w:r>
          </w:p>
        </w:tc>
        <w:tc>
          <w:tcPr>
            <w:tcW w:w="1098"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(8.39—8.48)</w:t>
            </w:r>
          </w:p>
        </w:tc>
        <w:tc>
          <w:tcPr>
            <w:tcW w:w="226" w:type="dxa"/>
            <w:tcBorders>
              <w:top w:val="nil"/>
              <w:left w:val="nil"/>
              <w:bottom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709"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8.39</w:t>
            </w:r>
          </w:p>
        </w:tc>
        <w:tc>
          <w:tcPr>
            <w:tcW w:w="1418"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(8.35—8.43)</w:t>
            </w:r>
          </w:p>
        </w:tc>
        <w:tc>
          <w:tcPr>
            <w:tcW w:w="240" w:type="dxa"/>
            <w:tcBorders>
              <w:top w:val="nil"/>
              <w:left w:val="nil"/>
              <w:bottom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708"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8.41</w:t>
            </w:r>
          </w:p>
        </w:tc>
        <w:tc>
          <w:tcPr>
            <w:tcW w:w="1101"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(8.37—8.44)</w:t>
            </w:r>
          </w:p>
        </w:tc>
      </w:tr>
      <w:tr w:rsidR="00A079D2" w:rsidRPr="00E836FB" w:rsidTr="00456860">
        <w:trPr>
          <w:trHeight w:val="300"/>
        </w:trPr>
        <w:tc>
          <w:tcPr>
            <w:tcW w:w="2694" w:type="dxa"/>
            <w:tcBorders>
              <w:top w:val="nil"/>
              <w:left w:val="nil"/>
              <w:right w:val="nil"/>
            </w:tcBorders>
            <w:shd w:val="clear" w:color="auto" w:fill="auto"/>
            <w:noWrap/>
            <w:vAlign w:val="bottom"/>
            <w:hideMark/>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Neighbourhood</w:t>
            </w:r>
            <w:r>
              <w:rPr>
                <w:rFonts w:eastAsia="Times New Roman" w:cs="Calibri"/>
                <w:color w:val="000000"/>
                <w:sz w:val="16"/>
                <w:szCs w:val="16"/>
                <w:lang w:eastAsia="en-AU"/>
              </w:rPr>
              <w:t>**</w:t>
            </w:r>
          </w:p>
        </w:tc>
        <w:tc>
          <w:tcPr>
            <w:tcW w:w="886" w:type="dxa"/>
            <w:tcBorders>
              <w:top w:val="nil"/>
              <w:left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8.15</w:t>
            </w:r>
          </w:p>
        </w:tc>
        <w:tc>
          <w:tcPr>
            <w:tcW w:w="1098" w:type="dxa"/>
            <w:tcBorders>
              <w:top w:val="nil"/>
              <w:left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(8.10—8.20)</w:t>
            </w:r>
          </w:p>
        </w:tc>
        <w:tc>
          <w:tcPr>
            <w:tcW w:w="226" w:type="dxa"/>
            <w:tcBorders>
              <w:top w:val="nil"/>
              <w:left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709" w:type="dxa"/>
            <w:tcBorders>
              <w:top w:val="nil"/>
              <w:left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7.91</w:t>
            </w:r>
          </w:p>
        </w:tc>
        <w:tc>
          <w:tcPr>
            <w:tcW w:w="1418" w:type="dxa"/>
            <w:tcBorders>
              <w:top w:val="nil"/>
              <w:left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(7.87—7.96)</w:t>
            </w:r>
          </w:p>
        </w:tc>
        <w:tc>
          <w:tcPr>
            <w:tcW w:w="240" w:type="dxa"/>
            <w:tcBorders>
              <w:top w:val="nil"/>
              <w:left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708" w:type="dxa"/>
            <w:tcBorders>
              <w:top w:val="nil"/>
              <w:left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8.00</w:t>
            </w:r>
          </w:p>
        </w:tc>
        <w:tc>
          <w:tcPr>
            <w:tcW w:w="1101" w:type="dxa"/>
            <w:tcBorders>
              <w:top w:val="nil"/>
              <w:left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(7.96—8.03)</w:t>
            </w:r>
          </w:p>
        </w:tc>
      </w:tr>
      <w:tr w:rsidR="00A079D2" w:rsidRPr="00E836FB" w:rsidTr="00456860">
        <w:trPr>
          <w:trHeight w:val="300"/>
        </w:trPr>
        <w:tc>
          <w:tcPr>
            <w:tcW w:w="2694" w:type="dxa"/>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Health</w:t>
            </w:r>
            <w:r>
              <w:rPr>
                <w:rFonts w:eastAsia="Times New Roman" w:cs="Calibri"/>
                <w:color w:val="000000"/>
                <w:sz w:val="16"/>
                <w:szCs w:val="16"/>
                <w:lang w:eastAsia="en-AU"/>
              </w:rPr>
              <w:t>**</w:t>
            </w:r>
          </w:p>
        </w:tc>
        <w:tc>
          <w:tcPr>
            <w:tcW w:w="886" w:type="dxa"/>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7.00</w:t>
            </w:r>
          </w:p>
        </w:tc>
        <w:tc>
          <w:tcPr>
            <w:tcW w:w="1098" w:type="dxa"/>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(6.93—7.06)</w:t>
            </w:r>
          </w:p>
        </w:tc>
        <w:tc>
          <w:tcPr>
            <w:tcW w:w="226" w:type="dxa"/>
            <w:tcBorders>
              <w:top w:val="nil"/>
              <w:left w:val="nil"/>
              <w:bottom w:val="single" w:sz="4" w:space="0" w:color="auto"/>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709" w:type="dxa"/>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7.49</w:t>
            </w:r>
          </w:p>
        </w:tc>
        <w:tc>
          <w:tcPr>
            <w:tcW w:w="1418" w:type="dxa"/>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(7.44—7.54)</w:t>
            </w:r>
          </w:p>
        </w:tc>
        <w:tc>
          <w:tcPr>
            <w:tcW w:w="240" w:type="dxa"/>
            <w:tcBorders>
              <w:top w:val="nil"/>
              <w:left w:val="nil"/>
              <w:bottom w:val="single" w:sz="4" w:space="0" w:color="auto"/>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708" w:type="dxa"/>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7.32</w:t>
            </w:r>
          </w:p>
        </w:tc>
        <w:tc>
          <w:tcPr>
            <w:tcW w:w="1101" w:type="dxa"/>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color w:val="000000"/>
                <w:sz w:val="16"/>
                <w:szCs w:val="16"/>
                <w:lang w:eastAsia="en-AU"/>
              </w:rPr>
              <w:t>(7.28—7.36)</w:t>
            </w:r>
          </w:p>
        </w:tc>
      </w:tr>
    </w:tbl>
    <w:p w:rsidR="00A079D2" w:rsidRPr="00E836FB" w:rsidRDefault="00A079D2" w:rsidP="00456860">
      <w:pPr>
        <w:spacing w:after="0"/>
        <w:rPr>
          <w:sz w:val="16"/>
        </w:rPr>
      </w:pPr>
      <w:r w:rsidRPr="00E836FB">
        <w:rPr>
          <w:sz w:val="16"/>
        </w:rPr>
        <w:t>** significant at 99% level of confidence</w:t>
      </w:r>
    </w:p>
    <w:p w:rsidR="00A079D2" w:rsidRDefault="00A079D2" w:rsidP="00456860"/>
    <w:p w:rsidR="00A079D2" w:rsidRPr="00E836FB" w:rsidRDefault="00A079D2" w:rsidP="00456860">
      <w:pPr>
        <w:rPr>
          <w:szCs w:val="16"/>
        </w:rPr>
      </w:pPr>
      <w:r w:rsidRPr="00E836FB">
        <w:t>The relationships between housing tenure and life satisfaction in older respondents found that outright home ownership was correlated with higher mean satisfaction across most domains of life satisfaction</w:t>
      </w:r>
      <w:r>
        <w:t>,</w:t>
      </w:r>
      <w:r w:rsidRPr="00E836FB">
        <w:t xml:space="preserve"> while renters had significantly lower mean satisfaction across most of these domains. Little can be drawn from this as a range of factors that are likely to influence life satisfaction, </w:t>
      </w:r>
      <w:r w:rsidRPr="00E836FB">
        <w:rPr>
          <w:szCs w:val="16"/>
        </w:rPr>
        <w:t>including income, financial security and age, are correlated with tenure type.</w:t>
      </w:r>
    </w:p>
    <w:p w:rsidR="00A079D2" w:rsidRPr="00E836FB" w:rsidRDefault="00A079D2" w:rsidP="00456860">
      <w:pPr>
        <w:pStyle w:val="Heading3"/>
      </w:pPr>
      <w:bookmarkStart w:id="93" w:name="_Toc166757756"/>
      <w:r w:rsidRPr="00E836FB">
        <w:t>Moving has a negative impact on life satisfaction for older people</w:t>
      </w:r>
      <w:bookmarkEnd w:id="93"/>
      <w:r w:rsidRPr="00E836FB">
        <w:t xml:space="preserve"> </w:t>
      </w:r>
    </w:p>
    <w:p w:rsidR="00A079D2" w:rsidRPr="00E836FB" w:rsidRDefault="00A079D2" w:rsidP="00456860">
      <w:r w:rsidRPr="00E836FB">
        <w:t xml:space="preserve">Older respondents who had moved since they were last interviewed reported significantly lower levels of satisfaction with the home in which they lived and feeling part of the local </w:t>
      </w:r>
      <w:r w:rsidRPr="00E836FB">
        <w:lastRenderedPageBreak/>
        <w:t xml:space="preserve">community. There was a smaller but still significant negative impact on their satisfaction with life overall. No impact on satisfaction with how safe they feel, the neighbourhood in which they live and their health was found. </w:t>
      </w:r>
    </w:p>
    <w:p w:rsidR="00A079D2" w:rsidRPr="00E836FB" w:rsidRDefault="00A079D2" w:rsidP="00456860">
      <w:r w:rsidRPr="00E836FB">
        <w:t xml:space="preserve">All respondents in 2021 who had moved since their last interview were less satisfied with feeling part of their local community than those who had not moved. However, for older people, moving for any reason was also associated with a decrease in their overall life satisfaction and satisfaction with the home in which they live. </w:t>
      </w:r>
    </w:p>
    <w:p w:rsidR="00A079D2" w:rsidRPr="00DB6D37" w:rsidRDefault="00A079D2" w:rsidP="00456860">
      <w:pPr>
        <w:pStyle w:val="Captions"/>
      </w:pPr>
      <w:r w:rsidRPr="00DB6D37">
        <w:t>Table 3: Comparison of selected life satisfaction measures for people who had moved since last interviewed and those who had not – older respondents and rest of population, 2021, HILDA survey.</w:t>
      </w:r>
    </w:p>
    <w:tbl>
      <w:tblPr>
        <w:tblW w:w="8305" w:type="dxa"/>
        <w:tblLayout w:type="fixed"/>
        <w:tblLook w:val="04A0" w:firstRow="1" w:lastRow="0" w:firstColumn="1" w:lastColumn="0" w:noHBand="0" w:noVBand="1"/>
      </w:tblPr>
      <w:tblGrid>
        <w:gridCol w:w="2981"/>
        <w:gridCol w:w="847"/>
        <w:gridCol w:w="1134"/>
        <w:gridCol w:w="236"/>
        <w:gridCol w:w="892"/>
        <w:gridCol w:w="1223"/>
        <w:gridCol w:w="236"/>
        <w:gridCol w:w="756"/>
      </w:tblGrid>
      <w:tr w:rsidR="00A079D2" w:rsidRPr="00E836FB" w:rsidTr="00456860">
        <w:trPr>
          <w:trHeight w:val="290"/>
        </w:trPr>
        <w:tc>
          <w:tcPr>
            <w:tcW w:w="2981"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rPr>
                <w:rFonts w:eastAsia="Times New Roman" w:cs="Times New Roman"/>
                <w:sz w:val="16"/>
                <w:szCs w:val="16"/>
                <w:lang w:eastAsia="en-AU"/>
              </w:rPr>
            </w:pPr>
            <w:r w:rsidRPr="00E836FB">
              <w:rPr>
                <w:rFonts w:eastAsia="Times New Roman" w:cs="Calibri"/>
                <w:i/>
                <w:color w:val="000000"/>
                <w:sz w:val="18"/>
                <w:szCs w:val="16"/>
                <w:lang w:eastAsia="en-AU"/>
              </w:rPr>
              <w:t>Older respondents</w:t>
            </w:r>
          </w:p>
        </w:tc>
        <w:tc>
          <w:tcPr>
            <w:tcW w:w="1981" w:type="dxa"/>
            <w:gridSpan w:val="2"/>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Moved</w:t>
            </w:r>
          </w:p>
        </w:tc>
        <w:tc>
          <w:tcPr>
            <w:tcW w:w="236" w:type="dxa"/>
            <w:tcBorders>
              <w:top w:val="nil"/>
              <w:left w:val="nil"/>
              <w:bottom w:val="nil"/>
              <w:right w:val="nil"/>
            </w:tcBorders>
          </w:tcPr>
          <w:p w:rsidR="00A079D2" w:rsidRPr="00E836FB" w:rsidRDefault="00A079D2" w:rsidP="00456860">
            <w:pPr>
              <w:spacing w:before="60" w:after="60" w:line="240" w:lineRule="auto"/>
              <w:jc w:val="center"/>
              <w:rPr>
                <w:rFonts w:eastAsia="Times New Roman" w:cs="Calibri"/>
                <w:i/>
                <w:color w:val="000000"/>
                <w:sz w:val="16"/>
                <w:szCs w:val="16"/>
                <w:lang w:eastAsia="en-AU"/>
              </w:rPr>
            </w:pPr>
          </w:p>
        </w:tc>
        <w:tc>
          <w:tcPr>
            <w:tcW w:w="2115" w:type="dxa"/>
            <w:gridSpan w:val="2"/>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Have not moved</w:t>
            </w:r>
          </w:p>
        </w:tc>
        <w:tc>
          <w:tcPr>
            <w:tcW w:w="236" w:type="dxa"/>
            <w:tcBorders>
              <w:top w:val="nil"/>
              <w:left w:val="nil"/>
              <w:bottom w:val="nil"/>
              <w:right w:val="nil"/>
            </w:tcBorders>
          </w:tcPr>
          <w:p w:rsidR="00A079D2" w:rsidRPr="00E836FB" w:rsidRDefault="00A079D2" w:rsidP="00456860">
            <w:pPr>
              <w:spacing w:before="60" w:after="60" w:line="240" w:lineRule="auto"/>
              <w:rPr>
                <w:rFonts w:eastAsia="Times New Roman" w:cs="Calibri"/>
                <w:i/>
                <w:color w:val="000000"/>
                <w:sz w:val="16"/>
                <w:szCs w:val="16"/>
                <w:lang w:eastAsia="en-AU"/>
              </w:rPr>
            </w:pPr>
          </w:p>
        </w:tc>
        <w:tc>
          <w:tcPr>
            <w:tcW w:w="756"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rPr>
                <w:rFonts w:eastAsia="Times New Roman" w:cs="Calibri"/>
                <w:i/>
                <w:color w:val="000000"/>
                <w:sz w:val="16"/>
                <w:szCs w:val="16"/>
                <w:lang w:eastAsia="en-AU"/>
              </w:rPr>
            </w:pPr>
          </w:p>
        </w:tc>
      </w:tr>
      <w:tr w:rsidR="00A079D2" w:rsidRPr="00E836FB" w:rsidTr="00456860">
        <w:trPr>
          <w:trHeight w:val="290"/>
        </w:trPr>
        <w:tc>
          <w:tcPr>
            <w:tcW w:w="2981" w:type="dxa"/>
            <w:tcBorders>
              <w:top w:val="nil"/>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rPr>
                <w:rFonts w:eastAsia="Times New Roman" w:cs="Calibri"/>
                <w:i/>
                <w:iCs/>
                <w:color w:val="000000"/>
                <w:sz w:val="16"/>
                <w:szCs w:val="16"/>
                <w:lang w:eastAsia="en-AU"/>
              </w:rPr>
            </w:pPr>
          </w:p>
        </w:tc>
        <w:tc>
          <w:tcPr>
            <w:tcW w:w="847" w:type="dxa"/>
            <w:tcBorders>
              <w:top w:val="single" w:sz="4" w:space="0" w:color="auto"/>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Mean</w:t>
            </w:r>
          </w:p>
        </w:tc>
        <w:tc>
          <w:tcPr>
            <w:tcW w:w="1134" w:type="dxa"/>
            <w:tcBorders>
              <w:top w:val="single" w:sz="4" w:space="0" w:color="auto"/>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95% CI</w:t>
            </w:r>
          </w:p>
        </w:tc>
        <w:tc>
          <w:tcPr>
            <w:tcW w:w="236" w:type="dxa"/>
            <w:tcBorders>
              <w:top w:val="nil"/>
              <w:left w:val="nil"/>
              <w:bottom w:val="single" w:sz="4" w:space="0" w:color="auto"/>
              <w:right w:val="nil"/>
            </w:tcBorders>
          </w:tcPr>
          <w:p w:rsidR="00A079D2" w:rsidRPr="00E836FB" w:rsidRDefault="00A079D2" w:rsidP="00456860">
            <w:pPr>
              <w:spacing w:before="60" w:after="60" w:line="240" w:lineRule="auto"/>
              <w:jc w:val="center"/>
              <w:rPr>
                <w:rFonts w:eastAsia="Times New Roman" w:cs="Calibri"/>
                <w:i/>
                <w:color w:val="000000"/>
                <w:sz w:val="16"/>
                <w:szCs w:val="16"/>
                <w:lang w:eastAsia="en-AU"/>
              </w:rPr>
            </w:pPr>
          </w:p>
        </w:tc>
        <w:tc>
          <w:tcPr>
            <w:tcW w:w="892" w:type="dxa"/>
            <w:tcBorders>
              <w:top w:val="single" w:sz="4" w:space="0" w:color="auto"/>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Mean</w:t>
            </w:r>
          </w:p>
        </w:tc>
        <w:tc>
          <w:tcPr>
            <w:tcW w:w="1223" w:type="dxa"/>
            <w:tcBorders>
              <w:top w:val="single" w:sz="4" w:space="0" w:color="auto"/>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95% CI</w:t>
            </w:r>
          </w:p>
        </w:tc>
        <w:tc>
          <w:tcPr>
            <w:tcW w:w="236" w:type="dxa"/>
            <w:tcBorders>
              <w:top w:val="nil"/>
              <w:left w:val="nil"/>
              <w:bottom w:val="single" w:sz="4" w:space="0" w:color="auto"/>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756" w:type="dxa"/>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i/>
                <w:color w:val="000000"/>
                <w:sz w:val="16"/>
                <w:szCs w:val="16"/>
                <w:lang w:eastAsia="en-AU"/>
              </w:rPr>
              <w:t>P value</w:t>
            </w:r>
          </w:p>
        </w:tc>
      </w:tr>
      <w:tr w:rsidR="00A079D2" w:rsidRPr="00E836FB" w:rsidTr="00456860">
        <w:trPr>
          <w:trHeight w:val="290"/>
        </w:trPr>
        <w:tc>
          <w:tcPr>
            <w:tcW w:w="2981"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i/>
                <w:iCs/>
                <w:color w:val="000000"/>
                <w:sz w:val="16"/>
                <w:szCs w:val="16"/>
                <w:lang w:eastAsia="en-AU"/>
              </w:rPr>
              <w:t>Mean satisfaction (0-10 scale)</w:t>
            </w:r>
          </w:p>
        </w:tc>
        <w:tc>
          <w:tcPr>
            <w:tcW w:w="847"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1134"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236" w:type="dxa"/>
            <w:tcBorders>
              <w:top w:val="single" w:sz="4" w:space="0" w:color="auto"/>
              <w:left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1223"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236" w:type="dxa"/>
            <w:tcBorders>
              <w:top w:val="single" w:sz="4" w:space="0" w:color="auto"/>
              <w:left w:val="nil"/>
              <w:right w:val="nil"/>
            </w:tcBorders>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right"/>
              <w:rPr>
                <w:rFonts w:eastAsia="Times New Roman" w:cs="Calibri"/>
                <w:color w:val="000000"/>
                <w:sz w:val="16"/>
                <w:szCs w:val="16"/>
                <w:lang w:eastAsia="en-AU"/>
              </w:rPr>
            </w:pPr>
          </w:p>
        </w:tc>
      </w:tr>
      <w:tr w:rsidR="00A079D2" w:rsidRPr="00E836FB" w:rsidTr="00631B11">
        <w:trPr>
          <w:trHeight w:val="290"/>
        </w:trPr>
        <w:tc>
          <w:tcPr>
            <w:tcW w:w="2981" w:type="dxa"/>
            <w:tcBorders>
              <w:left w:val="nil"/>
              <w:bottom w:val="nil"/>
              <w:right w:val="nil"/>
            </w:tcBorders>
            <w:shd w:val="clear" w:color="auto" w:fill="auto"/>
            <w:noWrap/>
            <w:vAlign w:val="bottom"/>
            <w:hideMark/>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Life overall*</w:t>
            </w:r>
          </w:p>
        </w:tc>
        <w:tc>
          <w:tcPr>
            <w:tcW w:w="847" w:type="dxa"/>
            <w:tcBorders>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7.85</w:t>
            </w:r>
          </w:p>
        </w:tc>
        <w:tc>
          <w:tcPr>
            <w:tcW w:w="1134" w:type="dxa"/>
            <w:tcBorders>
              <w:left w:val="nil"/>
              <w:bottom w:val="nil"/>
              <w:right w:val="nil"/>
            </w:tcBorders>
            <w:shd w:val="clear" w:color="auto" w:fill="auto"/>
            <w:noWrap/>
            <w:vAlign w:val="bottom"/>
            <w:hideMark/>
          </w:tcPr>
          <w:p w:rsidR="00A079D2" w:rsidRPr="002A6C64" w:rsidRDefault="00A079D2" w:rsidP="00456860">
            <w:pPr>
              <w:spacing w:before="60" w:after="60" w:line="240" w:lineRule="auto"/>
              <w:jc w:val="center"/>
              <w:rPr>
                <w:rFonts w:eastAsia="Times New Roman" w:cs="Calibri"/>
                <w:color w:val="000000"/>
                <w:sz w:val="16"/>
                <w:szCs w:val="16"/>
                <w:lang w:eastAsia="en-AU"/>
              </w:rPr>
            </w:pPr>
            <w:r w:rsidRPr="002A6C64">
              <w:rPr>
                <w:rFonts w:cs="Calibri"/>
                <w:color w:val="000000"/>
                <w:sz w:val="16"/>
              </w:rPr>
              <w:t>(7.65-8.04)</w:t>
            </w:r>
          </w:p>
        </w:tc>
        <w:tc>
          <w:tcPr>
            <w:tcW w:w="236" w:type="dxa"/>
            <w:tcBorders>
              <w:left w:val="nil"/>
              <w:bottom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8.06</w:t>
            </w:r>
          </w:p>
        </w:tc>
        <w:tc>
          <w:tcPr>
            <w:tcW w:w="1223" w:type="dxa"/>
            <w:tcBorders>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w:t>
            </w:r>
            <w:r>
              <w:rPr>
                <w:rFonts w:cs="Calibri"/>
                <w:color w:val="000000"/>
                <w:sz w:val="16"/>
              </w:rPr>
              <w:t>8.01-8.11</w:t>
            </w:r>
            <w:r w:rsidRPr="00E836FB">
              <w:rPr>
                <w:rFonts w:cs="Calibri"/>
                <w:color w:val="000000"/>
                <w:sz w:val="16"/>
              </w:rPr>
              <w:t>)</w:t>
            </w:r>
          </w:p>
        </w:tc>
        <w:tc>
          <w:tcPr>
            <w:tcW w:w="236" w:type="dxa"/>
            <w:tcBorders>
              <w:left w:val="nil"/>
              <w:bottom w:val="nil"/>
              <w:right w:val="nil"/>
            </w:tcBorders>
            <w:shd w:val="clear" w:color="auto" w:fill="auto"/>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left w:val="nil"/>
              <w:bottom w:val="nil"/>
              <w:right w:val="nil"/>
            </w:tcBorders>
            <w:shd w:val="clear" w:color="auto" w:fill="auto"/>
            <w:noWrap/>
            <w:vAlign w:val="bottom"/>
            <w:hideMark/>
          </w:tcPr>
          <w:p w:rsidR="00A079D2" w:rsidRPr="00E836FB" w:rsidRDefault="00A079D2" w:rsidP="00456860">
            <w:pPr>
              <w:spacing w:before="60" w:after="60" w:line="240" w:lineRule="auto"/>
              <w:jc w:val="right"/>
              <w:rPr>
                <w:rFonts w:eastAsia="Times New Roman" w:cs="Calibri"/>
                <w:color w:val="000000"/>
                <w:sz w:val="16"/>
                <w:szCs w:val="16"/>
                <w:lang w:eastAsia="en-AU"/>
              </w:rPr>
            </w:pPr>
            <w:r w:rsidRPr="00E836FB">
              <w:rPr>
                <w:rFonts w:cs="Calibri"/>
                <w:color w:val="000000"/>
                <w:sz w:val="16"/>
              </w:rPr>
              <w:t>0.038</w:t>
            </w:r>
          </w:p>
        </w:tc>
      </w:tr>
      <w:tr w:rsidR="00A079D2" w:rsidRPr="00E836FB" w:rsidTr="00631B11">
        <w:trPr>
          <w:trHeight w:val="290"/>
        </w:trPr>
        <w:tc>
          <w:tcPr>
            <w:tcW w:w="2981"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Home**</w:t>
            </w:r>
          </w:p>
        </w:tc>
        <w:tc>
          <w:tcPr>
            <w:tcW w:w="847"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8.06</w:t>
            </w:r>
          </w:p>
        </w:tc>
        <w:tc>
          <w:tcPr>
            <w:tcW w:w="1134" w:type="dxa"/>
            <w:tcBorders>
              <w:top w:val="nil"/>
              <w:left w:val="nil"/>
              <w:bottom w:val="nil"/>
              <w:right w:val="nil"/>
            </w:tcBorders>
            <w:shd w:val="clear" w:color="auto" w:fill="auto"/>
            <w:noWrap/>
            <w:vAlign w:val="bottom"/>
            <w:hideMark/>
          </w:tcPr>
          <w:p w:rsidR="00A079D2" w:rsidRPr="002A6C64" w:rsidRDefault="00A079D2" w:rsidP="00456860">
            <w:pPr>
              <w:spacing w:before="60" w:after="60" w:line="240" w:lineRule="auto"/>
              <w:jc w:val="center"/>
              <w:rPr>
                <w:rFonts w:eastAsia="Times New Roman" w:cs="Calibri"/>
                <w:color w:val="000000"/>
                <w:sz w:val="16"/>
                <w:szCs w:val="16"/>
                <w:lang w:eastAsia="en-AU"/>
              </w:rPr>
            </w:pPr>
            <w:r w:rsidRPr="002A6C64">
              <w:rPr>
                <w:rFonts w:cs="Calibri"/>
                <w:color w:val="000000"/>
                <w:sz w:val="16"/>
              </w:rPr>
              <w:t>(</w:t>
            </w:r>
            <w:r w:rsidRPr="00631B11">
              <w:rPr>
                <w:rFonts w:cs="Calibri"/>
                <w:color w:val="000000"/>
                <w:sz w:val="16"/>
              </w:rPr>
              <w:t>8.01-8.11)</w:t>
            </w:r>
          </w:p>
        </w:tc>
        <w:tc>
          <w:tcPr>
            <w:tcW w:w="236" w:type="dxa"/>
            <w:tcBorders>
              <w:top w:val="nil"/>
              <w:left w:val="nil"/>
              <w:bottom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8.49</w:t>
            </w:r>
          </w:p>
        </w:tc>
        <w:tc>
          <w:tcPr>
            <w:tcW w:w="1223"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w:t>
            </w:r>
            <w:r>
              <w:rPr>
                <w:rFonts w:cs="Calibri"/>
                <w:color w:val="000000"/>
                <w:sz w:val="16"/>
              </w:rPr>
              <w:t>43</w:t>
            </w:r>
            <w:r w:rsidRPr="00E836FB">
              <w:rPr>
                <w:rFonts w:cs="Calibri"/>
                <w:color w:val="000000"/>
                <w:sz w:val="16"/>
              </w:rPr>
              <w:t>—8.</w:t>
            </w:r>
            <w:r>
              <w:rPr>
                <w:rFonts w:cs="Calibri"/>
                <w:color w:val="000000"/>
                <w:sz w:val="16"/>
              </w:rPr>
              <w:t>54</w:t>
            </w:r>
            <w:r w:rsidRPr="00E836FB">
              <w:rPr>
                <w:rFonts w:cs="Calibri"/>
                <w:color w:val="000000"/>
                <w:sz w:val="16"/>
              </w:rPr>
              <w:t>)</w:t>
            </w:r>
          </w:p>
        </w:tc>
        <w:tc>
          <w:tcPr>
            <w:tcW w:w="236" w:type="dxa"/>
            <w:tcBorders>
              <w:top w:val="nil"/>
              <w:left w:val="nil"/>
              <w:bottom w:val="nil"/>
              <w:right w:val="nil"/>
            </w:tcBorders>
            <w:shd w:val="clear" w:color="auto" w:fill="auto"/>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right"/>
              <w:rPr>
                <w:rFonts w:eastAsia="Times New Roman" w:cs="Calibri"/>
                <w:color w:val="000000"/>
                <w:sz w:val="16"/>
                <w:szCs w:val="16"/>
                <w:lang w:eastAsia="en-AU"/>
              </w:rPr>
            </w:pPr>
            <w:r w:rsidRPr="00E836FB">
              <w:rPr>
                <w:rFonts w:cs="Calibri"/>
                <w:color w:val="000000"/>
                <w:sz w:val="16"/>
              </w:rPr>
              <w:t>0.001</w:t>
            </w:r>
          </w:p>
        </w:tc>
      </w:tr>
      <w:tr w:rsidR="00A079D2" w:rsidRPr="00E836FB" w:rsidTr="00631B11">
        <w:trPr>
          <w:trHeight w:val="290"/>
        </w:trPr>
        <w:tc>
          <w:tcPr>
            <w:tcW w:w="2981"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Feeling part of local community**</w:t>
            </w:r>
          </w:p>
        </w:tc>
        <w:tc>
          <w:tcPr>
            <w:tcW w:w="847"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6.61</w:t>
            </w:r>
          </w:p>
        </w:tc>
        <w:tc>
          <w:tcPr>
            <w:tcW w:w="1134" w:type="dxa"/>
            <w:tcBorders>
              <w:top w:val="nil"/>
              <w:left w:val="nil"/>
              <w:bottom w:val="nil"/>
              <w:right w:val="nil"/>
            </w:tcBorders>
            <w:shd w:val="clear" w:color="auto" w:fill="auto"/>
            <w:noWrap/>
            <w:vAlign w:val="bottom"/>
            <w:hideMark/>
          </w:tcPr>
          <w:p w:rsidR="00A079D2" w:rsidRPr="002A6C64" w:rsidRDefault="00A079D2" w:rsidP="00456860">
            <w:pPr>
              <w:spacing w:before="60" w:after="60" w:line="240" w:lineRule="auto"/>
              <w:jc w:val="center"/>
              <w:rPr>
                <w:rFonts w:eastAsia="Times New Roman" w:cs="Calibri"/>
                <w:color w:val="000000"/>
                <w:sz w:val="16"/>
                <w:szCs w:val="16"/>
                <w:lang w:eastAsia="en-AU"/>
              </w:rPr>
            </w:pPr>
            <w:r w:rsidRPr="002A6C64">
              <w:rPr>
                <w:rFonts w:cs="Calibri"/>
                <w:color w:val="000000"/>
                <w:sz w:val="16"/>
              </w:rPr>
              <w:t>(6.32-6.89)</w:t>
            </w:r>
          </w:p>
        </w:tc>
        <w:tc>
          <w:tcPr>
            <w:tcW w:w="236" w:type="dxa"/>
            <w:tcBorders>
              <w:top w:val="nil"/>
              <w:left w:val="nil"/>
              <w:bottom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7.02</w:t>
            </w:r>
          </w:p>
        </w:tc>
        <w:tc>
          <w:tcPr>
            <w:tcW w:w="1223"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(6.</w:t>
            </w:r>
            <w:r>
              <w:rPr>
                <w:rFonts w:cs="Calibri"/>
                <w:color w:val="000000"/>
                <w:sz w:val="16"/>
              </w:rPr>
              <w:t>93</w:t>
            </w:r>
            <w:r w:rsidRPr="00E836FB">
              <w:rPr>
                <w:rFonts w:cs="Calibri"/>
                <w:color w:val="000000"/>
                <w:sz w:val="16"/>
              </w:rPr>
              <w:t>—</w:t>
            </w:r>
            <w:r>
              <w:rPr>
                <w:rFonts w:cs="Calibri"/>
                <w:color w:val="000000"/>
                <w:sz w:val="16"/>
              </w:rPr>
              <w:t>7.10</w:t>
            </w:r>
            <w:r w:rsidRPr="00E836FB">
              <w:rPr>
                <w:rFonts w:cs="Calibri"/>
                <w:color w:val="000000"/>
                <w:sz w:val="16"/>
              </w:rPr>
              <w:t>)</w:t>
            </w:r>
          </w:p>
        </w:tc>
        <w:tc>
          <w:tcPr>
            <w:tcW w:w="236" w:type="dxa"/>
            <w:tcBorders>
              <w:top w:val="nil"/>
              <w:left w:val="nil"/>
              <w:bottom w:val="nil"/>
              <w:right w:val="nil"/>
            </w:tcBorders>
            <w:shd w:val="clear" w:color="auto" w:fill="auto"/>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right"/>
              <w:rPr>
                <w:rFonts w:eastAsia="Times New Roman" w:cs="Calibri"/>
                <w:color w:val="000000"/>
                <w:sz w:val="16"/>
                <w:szCs w:val="16"/>
                <w:lang w:eastAsia="en-AU"/>
              </w:rPr>
            </w:pPr>
            <w:r w:rsidRPr="00E836FB">
              <w:rPr>
                <w:rFonts w:cs="Calibri"/>
                <w:color w:val="000000"/>
                <w:sz w:val="16"/>
              </w:rPr>
              <w:t>0.008</w:t>
            </w:r>
          </w:p>
        </w:tc>
      </w:tr>
      <w:tr w:rsidR="00A079D2" w:rsidRPr="00E836FB" w:rsidTr="00631B11">
        <w:trPr>
          <w:trHeight w:val="290"/>
        </w:trPr>
        <w:tc>
          <w:tcPr>
            <w:tcW w:w="2981"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How safe feel</w:t>
            </w:r>
          </w:p>
        </w:tc>
        <w:tc>
          <w:tcPr>
            <w:tcW w:w="847"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8.59</w:t>
            </w:r>
          </w:p>
        </w:tc>
        <w:tc>
          <w:tcPr>
            <w:tcW w:w="1134" w:type="dxa"/>
            <w:tcBorders>
              <w:top w:val="nil"/>
              <w:left w:val="nil"/>
              <w:bottom w:val="nil"/>
              <w:right w:val="nil"/>
            </w:tcBorders>
            <w:shd w:val="clear" w:color="auto" w:fill="auto"/>
            <w:noWrap/>
            <w:vAlign w:val="bottom"/>
            <w:hideMark/>
          </w:tcPr>
          <w:p w:rsidR="00A079D2" w:rsidRPr="002A6C64" w:rsidRDefault="00A079D2" w:rsidP="00456860">
            <w:pPr>
              <w:spacing w:before="60" w:after="60" w:line="240" w:lineRule="auto"/>
              <w:jc w:val="center"/>
              <w:rPr>
                <w:rFonts w:eastAsia="Times New Roman" w:cs="Calibri"/>
                <w:color w:val="000000"/>
                <w:sz w:val="16"/>
                <w:szCs w:val="16"/>
                <w:lang w:eastAsia="en-AU"/>
              </w:rPr>
            </w:pPr>
            <w:r w:rsidRPr="002A6C64">
              <w:rPr>
                <w:rFonts w:cs="Calibri"/>
                <w:color w:val="000000"/>
                <w:sz w:val="16"/>
              </w:rPr>
              <w:t>(8.40-8.78)</w:t>
            </w:r>
          </w:p>
        </w:tc>
        <w:tc>
          <w:tcPr>
            <w:tcW w:w="236" w:type="dxa"/>
            <w:tcBorders>
              <w:top w:val="nil"/>
              <w:left w:val="nil"/>
              <w:bottom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8.43</w:t>
            </w:r>
          </w:p>
        </w:tc>
        <w:tc>
          <w:tcPr>
            <w:tcW w:w="1223"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(8.37—8.4</w:t>
            </w:r>
            <w:r w:rsidRPr="00631B11">
              <w:rPr>
                <w:rFonts w:cs="Calibri"/>
                <w:color w:val="000000"/>
                <w:sz w:val="16"/>
              </w:rPr>
              <w:t>8)</w:t>
            </w:r>
          </w:p>
        </w:tc>
        <w:tc>
          <w:tcPr>
            <w:tcW w:w="236" w:type="dxa"/>
            <w:tcBorders>
              <w:top w:val="nil"/>
              <w:left w:val="nil"/>
              <w:bottom w:val="nil"/>
              <w:right w:val="nil"/>
            </w:tcBorders>
            <w:shd w:val="clear" w:color="auto" w:fill="auto"/>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right"/>
              <w:rPr>
                <w:rFonts w:eastAsia="Times New Roman" w:cs="Calibri"/>
                <w:color w:val="000000"/>
                <w:sz w:val="16"/>
                <w:szCs w:val="16"/>
                <w:lang w:eastAsia="en-AU"/>
              </w:rPr>
            </w:pPr>
            <w:r w:rsidRPr="00E836FB">
              <w:rPr>
                <w:rFonts w:cs="Calibri"/>
                <w:color w:val="000000"/>
                <w:sz w:val="16"/>
              </w:rPr>
              <w:t>0.093</w:t>
            </w:r>
          </w:p>
        </w:tc>
      </w:tr>
      <w:tr w:rsidR="00A079D2" w:rsidRPr="00E836FB" w:rsidTr="00631B11">
        <w:trPr>
          <w:trHeight w:val="290"/>
        </w:trPr>
        <w:tc>
          <w:tcPr>
            <w:tcW w:w="2981" w:type="dxa"/>
            <w:tcBorders>
              <w:top w:val="nil"/>
              <w:left w:val="nil"/>
              <w:right w:val="nil"/>
            </w:tcBorders>
            <w:shd w:val="clear" w:color="auto" w:fill="auto"/>
            <w:noWrap/>
            <w:vAlign w:val="bottom"/>
            <w:hideMark/>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Neighbourhood</w:t>
            </w:r>
          </w:p>
        </w:tc>
        <w:tc>
          <w:tcPr>
            <w:tcW w:w="847" w:type="dxa"/>
            <w:tcBorders>
              <w:top w:val="nil"/>
              <w:left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7.96</w:t>
            </w:r>
          </w:p>
        </w:tc>
        <w:tc>
          <w:tcPr>
            <w:tcW w:w="1134" w:type="dxa"/>
            <w:tcBorders>
              <w:top w:val="nil"/>
              <w:left w:val="nil"/>
              <w:right w:val="nil"/>
            </w:tcBorders>
            <w:shd w:val="clear" w:color="auto" w:fill="auto"/>
            <w:noWrap/>
            <w:vAlign w:val="bottom"/>
            <w:hideMark/>
          </w:tcPr>
          <w:p w:rsidR="00A079D2" w:rsidRPr="002A6C64" w:rsidRDefault="00A079D2" w:rsidP="00456860">
            <w:pPr>
              <w:spacing w:before="60" w:after="60" w:line="240" w:lineRule="auto"/>
              <w:jc w:val="center"/>
              <w:rPr>
                <w:rFonts w:eastAsia="Times New Roman" w:cs="Calibri"/>
                <w:color w:val="000000"/>
                <w:sz w:val="16"/>
                <w:szCs w:val="16"/>
                <w:lang w:eastAsia="en-AU"/>
              </w:rPr>
            </w:pPr>
            <w:r w:rsidRPr="002A6C64">
              <w:rPr>
                <w:rFonts w:cs="Calibri"/>
                <w:color w:val="000000"/>
                <w:sz w:val="16"/>
              </w:rPr>
              <w:t>(7.75—8.16)</w:t>
            </w:r>
          </w:p>
        </w:tc>
        <w:tc>
          <w:tcPr>
            <w:tcW w:w="236" w:type="dxa"/>
            <w:tcBorders>
              <w:top w:val="nil"/>
              <w:left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nil"/>
              <w:left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8.16</w:t>
            </w:r>
          </w:p>
        </w:tc>
        <w:tc>
          <w:tcPr>
            <w:tcW w:w="1223" w:type="dxa"/>
            <w:tcBorders>
              <w:top w:val="nil"/>
              <w:left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w:t>
            </w:r>
            <w:r>
              <w:rPr>
                <w:rFonts w:cs="Calibri"/>
                <w:color w:val="000000"/>
                <w:sz w:val="16"/>
              </w:rPr>
              <w:t>8.09-8.24</w:t>
            </w:r>
            <w:r w:rsidRPr="00E836FB">
              <w:rPr>
                <w:rFonts w:cs="Calibri"/>
                <w:color w:val="000000"/>
                <w:sz w:val="16"/>
              </w:rPr>
              <w:t>)</w:t>
            </w:r>
          </w:p>
        </w:tc>
        <w:tc>
          <w:tcPr>
            <w:tcW w:w="236" w:type="dxa"/>
            <w:tcBorders>
              <w:top w:val="nil"/>
              <w:left w:val="nil"/>
              <w:right w:val="nil"/>
            </w:tcBorders>
            <w:shd w:val="clear" w:color="auto" w:fill="auto"/>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nil"/>
              <w:left w:val="nil"/>
              <w:right w:val="nil"/>
            </w:tcBorders>
            <w:shd w:val="clear" w:color="auto" w:fill="auto"/>
            <w:noWrap/>
            <w:vAlign w:val="bottom"/>
            <w:hideMark/>
          </w:tcPr>
          <w:p w:rsidR="00A079D2" w:rsidRPr="00E836FB" w:rsidRDefault="00A079D2" w:rsidP="00456860">
            <w:pPr>
              <w:spacing w:before="60" w:after="60" w:line="240" w:lineRule="auto"/>
              <w:jc w:val="right"/>
              <w:rPr>
                <w:rFonts w:eastAsia="Times New Roman" w:cs="Calibri"/>
                <w:color w:val="000000"/>
                <w:sz w:val="16"/>
                <w:szCs w:val="16"/>
                <w:lang w:eastAsia="en-AU"/>
              </w:rPr>
            </w:pPr>
            <w:r w:rsidRPr="00E836FB">
              <w:rPr>
                <w:rFonts w:cs="Calibri"/>
                <w:color w:val="000000"/>
                <w:sz w:val="16"/>
              </w:rPr>
              <w:t>0.058</w:t>
            </w:r>
          </w:p>
        </w:tc>
      </w:tr>
      <w:tr w:rsidR="00A079D2" w:rsidRPr="00E836FB" w:rsidTr="00631B11">
        <w:trPr>
          <w:trHeight w:val="290"/>
        </w:trPr>
        <w:tc>
          <w:tcPr>
            <w:tcW w:w="2981" w:type="dxa"/>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Health</w:t>
            </w:r>
          </w:p>
        </w:tc>
        <w:tc>
          <w:tcPr>
            <w:tcW w:w="847" w:type="dxa"/>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7.07</w:t>
            </w:r>
          </w:p>
        </w:tc>
        <w:tc>
          <w:tcPr>
            <w:tcW w:w="1134" w:type="dxa"/>
            <w:tcBorders>
              <w:top w:val="nil"/>
              <w:left w:val="nil"/>
              <w:bottom w:val="single" w:sz="4" w:space="0" w:color="auto"/>
              <w:right w:val="nil"/>
            </w:tcBorders>
            <w:shd w:val="clear" w:color="auto" w:fill="auto"/>
            <w:noWrap/>
            <w:vAlign w:val="bottom"/>
            <w:hideMark/>
          </w:tcPr>
          <w:p w:rsidR="00A079D2" w:rsidRPr="002A6C64" w:rsidRDefault="00A079D2" w:rsidP="00456860">
            <w:pPr>
              <w:spacing w:before="60" w:after="60" w:line="240" w:lineRule="auto"/>
              <w:jc w:val="center"/>
              <w:rPr>
                <w:rFonts w:eastAsia="Times New Roman" w:cs="Calibri"/>
                <w:color w:val="000000"/>
                <w:sz w:val="16"/>
                <w:szCs w:val="16"/>
                <w:lang w:eastAsia="en-AU"/>
              </w:rPr>
            </w:pPr>
            <w:r w:rsidRPr="002A6C64">
              <w:rPr>
                <w:rFonts w:cs="Calibri"/>
                <w:color w:val="000000"/>
                <w:sz w:val="16"/>
              </w:rPr>
              <w:t>(6.82-7.33)</w:t>
            </w:r>
          </w:p>
        </w:tc>
        <w:tc>
          <w:tcPr>
            <w:tcW w:w="236" w:type="dxa"/>
            <w:tcBorders>
              <w:top w:val="nil"/>
              <w:left w:val="nil"/>
              <w:bottom w:val="single" w:sz="4" w:space="0" w:color="auto"/>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6.99</w:t>
            </w:r>
          </w:p>
        </w:tc>
        <w:tc>
          <w:tcPr>
            <w:tcW w:w="1223" w:type="dxa"/>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w:t>
            </w:r>
            <w:r>
              <w:rPr>
                <w:rFonts w:cs="Calibri"/>
                <w:color w:val="000000"/>
                <w:sz w:val="16"/>
              </w:rPr>
              <w:t>6.92-7.07)</w:t>
            </w:r>
          </w:p>
        </w:tc>
        <w:tc>
          <w:tcPr>
            <w:tcW w:w="236" w:type="dxa"/>
            <w:tcBorders>
              <w:top w:val="nil"/>
              <w:left w:val="nil"/>
              <w:bottom w:val="single" w:sz="4" w:space="0" w:color="auto"/>
              <w:right w:val="nil"/>
            </w:tcBorders>
            <w:shd w:val="clear" w:color="auto" w:fill="auto"/>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right"/>
              <w:rPr>
                <w:rFonts w:eastAsia="Times New Roman" w:cs="Calibri"/>
                <w:color w:val="000000"/>
                <w:sz w:val="16"/>
                <w:szCs w:val="16"/>
                <w:lang w:eastAsia="en-AU"/>
              </w:rPr>
            </w:pPr>
            <w:r w:rsidRPr="00E836FB">
              <w:rPr>
                <w:rFonts w:cs="Calibri"/>
                <w:color w:val="000000"/>
                <w:sz w:val="16"/>
              </w:rPr>
              <w:t>0.530</w:t>
            </w:r>
          </w:p>
        </w:tc>
      </w:tr>
      <w:tr w:rsidR="00A079D2" w:rsidRPr="00E836FB" w:rsidTr="00456860">
        <w:trPr>
          <w:trHeight w:val="290"/>
        </w:trPr>
        <w:tc>
          <w:tcPr>
            <w:tcW w:w="2981"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rPr>
                <w:rFonts w:eastAsia="Times New Roman" w:cs="Calibri"/>
                <w:i/>
                <w:color w:val="000000"/>
                <w:sz w:val="16"/>
                <w:szCs w:val="16"/>
                <w:lang w:eastAsia="en-AU"/>
              </w:rPr>
            </w:pPr>
          </w:p>
        </w:tc>
        <w:tc>
          <w:tcPr>
            <w:tcW w:w="847"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1134"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236" w:type="dxa"/>
            <w:tcBorders>
              <w:top w:val="single" w:sz="4" w:space="0" w:color="auto"/>
              <w:left w:val="nil"/>
              <w:right w:val="nil"/>
            </w:tcBorders>
            <w:shd w:val="clear" w:color="auto" w:fill="auto"/>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1223"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236" w:type="dxa"/>
            <w:tcBorders>
              <w:top w:val="single" w:sz="4" w:space="0" w:color="auto"/>
              <w:left w:val="nil"/>
              <w:right w:val="nil"/>
            </w:tcBorders>
            <w:shd w:val="clear" w:color="auto" w:fill="auto"/>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right"/>
              <w:rPr>
                <w:rFonts w:eastAsia="Times New Roman" w:cs="Calibri"/>
                <w:color w:val="000000"/>
                <w:sz w:val="16"/>
                <w:szCs w:val="16"/>
                <w:lang w:eastAsia="en-AU"/>
              </w:rPr>
            </w:pPr>
          </w:p>
        </w:tc>
      </w:tr>
      <w:tr w:rsidR="00A079D2" w:rsidRPr="00E836FB" w:rsidTr="00456860">
        <w:trPr>
          <w:trHeight w:val="290"/>
        </w:trPr>
        <w:tc>
          <w:tcPr>
            <w:tcW w:w="2981" w:type="dxa"/>
            <w:tcBorders>
              <w:left w:val="nil"/>
              <w:bottom w:val="nil"/>
              <w:right w:val="nil"/>
            </w:tcBorders>
            <w:shd w:val="clear" w:color="auto" w:fill="auto"/>
            <w:noWrap/>
            <w:vAlign w:val="bottom"/>
          </w:tcPr>
          <w:p w:rsidR="00A079D2" w:rsidRPr="00E836FB" w:rsidRDefault="00A079D2" w:rsidP="00456860">
            <w:pPr>
              <w:spacing w:before="60" w:after="60" w:line="240" w:lineRule="auto"/>
              <w:rPr>
                <w:rFonts w:eastAsia="Times New Roman" w:cs="Calibri"/>
                <w:i/>
                <w:color w:val="000000"/>
                <w:sz w:val="16"/>
                <w:szCs w:val="16"/>
                <w:lang w:eastAsia="en-AU"/>
              </w:rPr>
            </w:pPr>
            <w:r w:rsidRPr="00E836FB">
              <w:rPr>
                <w:rFonts w:eastAsia="Times New Roman" w:cs="Calibri"/>
                <w:i/>
                <w:color w:val="000000"/>
                <w:sz w:val="18"/>
                <w:szCs w:val="16"/>
                <w:lang w:eastAsia="en-AU"/>
              </w:rPr>
              <w:t>Rest of population</w:t>
            </w:r>
          </w:p>
        </w:tc>
        <w:tc>
          <w:tcPr>
            <w:tcW w:w="1981" w:type="dxa"/>
            <w:gridSpan w:val="2"/>
            <w:tcBorders>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Moved</w:t>
            </w:r>
          </w:p>
        </w:tc>
        <w:tc>
          <w:tcPr>
            <w:tcW w:w="236" w:type="dxa"/>
            <w:tcBorders>
              <w:left w:val="nil"/>
              <w:bottom w:val="nil"/>
              <w:right w:val="nil"/>
            </w:tcBorders>
            <w:shd w:val="clear" w:color="auto" w:fill="auto"/>
          </w:tcPr>
          <w:p w:rsidR="00A079D2" w:rsidRPr="00E836FB" w:rsidRDefault="00A079D2" w:rsidP="00456860">
            <w:pPr>
              <w:spacing w:before="60" w:after="60" w:line="240" w:lineRule="auto"/>
              <w:jc w:val="center"/>
              <w:rPr>
                <w:rFonts w:eastAsia="Times New Roman" w:cs="Calibri"/>
                <w:i/>
                <w:color w:val="000000"/>
                <w:sz w:val="16"/>
                <w:szCs w:val="16"/>
                <w:lang w:eastAsia="en-AU"/>
              </w:rPr>
            </w:pPr>
          </w:p>
        </w:tc>
        <w:tc>
          <w:tcPr>
            <w:tcW w:w="2115" w:type="dxa"/>
            <w:gridSpan w:val="2"/>
            <w:tcBorders>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Have not moved</w:t>
            </w:r>
          </w:p>
        </w:tc>
        <w:tc>
          <w:tcPr>
            <w:tcW w:w="236" w:type="dxa"/>
            <w:tcBorders>
              <w:left w:val="nil"/>
              <w:bottom w:val="nil"/>
              <w:right w:val="nil"/>
            </w:tcBorders>
            <w:shd w:val="clear" w:color="auto" w:fill="auto"/>
          </w:tcPr>
          <w:p w:rsidR="00A079D2" w:rsidRPr="00E836FB" w:rsidRDefault="00A079D2" w:rsidP="00456860">
            <w:pPr>
              <w:spacing w:before="60" w:after="60" w:line="240" w:lineRule="auto"/>
              <w:jc w:val="right"/>
              <w:rPr>
                <w:rFonts w:eastAsia="Times New Roman" w:cs="Calibri"/>
                <w:i/>
                <w:color w:val="000000"/>
                <w:sz w:val="16"/>
                <w:szCs w:val="16"/>
                <w:lang w:eastAsia="en-AU"/>
              </w:rPr>
            </w:pPr>
          </w:p>
        </w:tc>
        <w:tc>
          <w:tcPr>
            <w:tcW w:w="756" w:type="dxa"/>
            <w:tcBorders>
              <w:left w:val="nil"/>
              <w:bottom w:val="nil"/>
              <w:right w:val="nil"/>
            </w:tcBorders>
            <w:shd w:val="clear" w:color="auto" w:fill="auto"/>
            <w:noWrap/>
            <w:vAlign w:val="bottom"/>
          </w:tcPr>
          <w:p w:rsidR="00A079D2" w:rsidRPr="00E836FB" w:rsidRDefault="00A079D2" w:rsidP="00456860">
            <w:pPr>
              <w:spacing w:before="60" w:after="60" w:line="240" w:lineRule="auto"/>
              <w:jc w:val="right"/>
              <w:rPr>
                <w:rFonts w:eastAsia="Times New Roman" w:cs="Calibri"/>
                <w:i/>
                <w:color w:val="000000"/>
                <w:sz w:val="16"/>
                <w:szCs w:val="16"/>
                <w:lang w:eastAsia="en-AU"/>
              </w:rPr>
            </w:pPr>
          </w:p>
        </w:tc>
      </w:tr>
      <w:tr w:rsidR="00A079D2" w:rsidRPr="00E836FB" w:rsidTr="00456860">
        <w:trPr>
          <w:trHeight w:val="290"/>
        </w:trPr>
        <w:tc>
          <w:tcPr>
            <w:tcW w:w="2981" w:type="dxa"/>
            <w:tcBorders>
              <w:top w:val="nil"/>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rPr>
                <w:rFonts w:eastAsia="Times New Roman" w:cs="Calibri"/>
                <w:i/>
                <w:color w:val="000000"/>
                <w:sz w:val="16"/>
                <w:szCs w:val="16"/>
                <w:lang w:eastAsia="en-AU"/>
              </w:rPr>
            </w:pPr>
          </w:p>
        </w:tc>
        <w:tc>
          <w:tcPr>
            <w:tcW w:w="847" w:type="dxa"/>
            <w:tcBorders>
              <w:top w:val="single" w:sz="4" w:space="0" w:color="auto"/>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Mean</w:t>
            </w:r>
          </w:p>
        </w:tc>
        <w:tc>
          <w:tcPr>
            <w:tcW w:w="1134" w:type="dxa"/>
            <w:tcBorders>
              <w:top w:val="single" w:sz="4" w:space="0" w:color="auto"/>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95% CI</w:t>
            </w:r>
          </w:p>
        </w:tc>
        <w:tc>
          <w:tcPr>
            <w:tcW w:w="236" w:type="dxa"/>
            <w:tcBorders>
              <w:top w:val="nil"/>
              <w:left w:val="nil"/>
              <w:bottom w:val="single" w:sz="4" w:space="0" w:color="auto"/>
              <w:right w:val="nil"/>
            </w:tcBorders>
          </w:tcPr>
          <w:p w:rsidR="00A079D2" w:rsidRPr="00E836FB" w:rsidRDefault="00A079D2" w:rsidP="00456860">
            <w:pPr>
              <w:spacing w:before="60" w:after="60" w:line="240" w:lineRule="auto"/>
              <w:jc w:val="center"/>
              <w:rPr>
                <w:rFonts w:eastAsia="Times New Roman" w:cs="Calibri"/>
                <w:i/>
                <w:color w:val="000000"/>
                <w:sz w:val="16"/>
                <w:szCs w:val="16"/>
                <w:lang w:eastAsia="en-AU"/>
              </w:rPr>
            </w:pPr>
          </w:p>
        </w:tc>
        <w:tc>
          <w:tcPr>
            <w:tcW w:w="892" w:type="dxa"/>
            <w:tcBorders>
              <w:top w:val="nil"/>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Mean</w:t>
            </w:r>
          </w:p>
        </w:tc>
        <w:tc>
          <w:tcPr>
            <w:tcW w:w="1223" w:type="dxa"/>
            <w:tcBorders>
              <w:top w:val="nil"/>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95% CI</w:t>
            </w:r>
          </w:p>
        </w:tc>
        <w:tc>
          <w:tcPr>
            <w:tcW w:w="236" w:type="dxa"/>
            <w:tcBorders>
              <w:top w:val="nil"/>
              <w:left w:val="nil"/>
              <w:bottom w:val="single" w:sz="4" w:space="0" w:color="auto"/>
              <w:right w:val="nil"/>
            </w:tcBorders>
          </w:tcPr>
          <w:p w:rsidR="00A079D2" w:rsidRPr="00E836FB" w:rsidRDefault="00A079D2" w:rsidP="00456860">
            <w:pPr>
              <w:spacing w:before="60" w:after="60" w:line="240" w:lineRule="auto"/>
              <w:jc w:val="right"/>
              <w:rPr>
                <w:rFonts w:eastAsia="Times New Roman" w:cs="Calibri"/>
                <w:i/>
                <w:color w:val="000000"/>
                <w:sz w:val="16"/>
                <w:szCs w:val="16"/>
                <w:lang w:eastAsia="en-AU"/>
              </w:rPr>
            </w:pPr>
          </w:p>
        </w:tc>
        <w:tc>
          <w:tcPr>
            <w:tcW w:w="756" w:type="dxa"/>
            <w:tcBorders>
              <w:top w:val="nil"/>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jc w:val="right"/>
              <w:rPr>
                <w:rFonts w:eastAsia="Times New Roman" w:cs="Calibri"/>
                <w:i/>
                <w:color w:val="000000"/>
                <w:sz w:val="16"/>
                <w:szCs w:val="16"/>
                <w:lang w:eastAsia="en-AU"/>
              </w:rPr>
            </w:pPr>
            <w:r w:rsidRPr="00E836FB">
              <w:rPr>
                <w:rFonts w:eastAsia="Times New Roman" w:cs="Calibri"/>
                <w:i/>
                <w:color w:val="000000"/>
                <w:sz w:val="16"/>
                <w:szCs w:val="16"/>
                <w:lang w:eastAsia="en-AU"/>
              </w:rPr>
              <w:t>P value</w:t>
            </w:r>
          </w:p>
        </w:tc>
      </w:tr>
      <w:tr w:rsidR="00A079D2" w:rsidRPr="00E836FB" w:rsidTr="00456860">
        <w:trPr>
          <w:trHeight w:val="290"/>
        </w:trPr>
        <w:tc>
          <w:tcPr>
            <w:tcW w:w="2981"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i/>
                <w:iCs/>
                <w:color w:val="000000"/>
                <w:sz w:val="16"/>
                <w:szCs w:val="16"/>
                <w:lang w:eastAsia="en-AU"/>
              </w:rPr>
              <w:t>Mean satisfaction (0-10 scale)</w:t>
            </w:r>
          </w:p>
        </w:tc>
        <w:tc>
          <w:tcPr>
            <w:tcW w:w="847"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center"/>
              <w:rPr>
                <w:rFonts w:cs="Calibri"/>
                <w:color w:val="000000"/>
                <w:sz w:val="16"/>
              </w:rPr>
            </w:pPr>
          </w:p>
        </w:tc>
        <w:tc>
          <w:tcPr>
            <w:tcW w:w="1134"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center"/>
              <w:rPr>
                <w:rFonts w:cs="Calibri"/>
                <w:color w:val="000000"/>
                <w:sz w:val="16"/>
              </w:rPr>
            </w:pPr>
          </w:p>
        </w:tc>
        <w:tc>
          <w:tcPr>
            <w:tcW w:w="236" w:type="dxa"/>
            <w:tcBorders>
              <w:top w:val="single" w:sz="4" w:space="0" w:color="auto"/>
              <w:left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center"/>
              <w:rPr>
                <w:rFonts w:cs="Calibri"/>
                <w:color w:val="000000"/>
                <w:sz w:val="16"/>
              </w:rPr>
            </w:pPr>
          </w:p>
        </w:tc>
        <w:tc>
          <w:tcPr>
            <w:tcW w:w="1223"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center"/>
              <w:rPr>
                <w:rFonts w:cs="Calibri"/>
                <w:color w:val="000000"/>
                <w:sz w:val="16"/>
              </w:rPr>
            </w:pPr>
          </w:p>
        </w:tc>
        <w:tc>
          <w:tcPr>
            <w:tcW w:w="236" w:type="dxa"/>
            <w:tcBorders>
              <w:top w:val="single" w:sz="4" w:space="0" w:color="auto"/>
              <w:left w:val="nil"/>
              <w:right w:val="nil"/>
            </w:tcBorders>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right"/>
              <w:rPr>
                <w:rFonts w:cs="Calibri"/>
                <w:color w:val="000000"/>
                <w:sz w:val="16"/>
              </w:rPr>
            </w:pPr>
          </w:p>
        </w:tc>
      </w:tr>
      <w:tr w:rsidR="00A079D2" w:rsidRPr="00E836FB" w:rsidTr="00456860">
        <w:trPr>
          <w:trHeight w:val="290"/>
        </w:trPr>
        <w:tc>
          <w:tcPr>
            <w:tcW w:w="2981" w:type="dxa"/>
            <w:tcBorders>
              <w:left w:val="nil"/>
              <w:bottom w:val="nil"/>
              <w:right w:val="nil"/>
            </w:tcBorders>
            <w:shd w:val="clear" w:color="auto" w:fill="auto"/>
            <w:noWrap/>
            <w:vAlign w:val="bottom"/>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Life overall</w:t>
            </w:r>
          </w:p>
        </w:tc>
        <w:tc>
          <w:tcPr>
            <w:tcW w:w="847" w:type="dxa"/>
            <w:tcBorders>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7.80</w:t>
            </w:r>
          </w:p>
        </w:tc>
        <w:tc>
          <w:tcPr>
            <w:tcW w:w="1134" w:type="dxa"/>
            <w:tcBorders>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(7.70—7.89)</w:t>
            </w:r>
          </w:p>
        </w:tc>
        <w:tc>
          <w:tcPr>
            <w:tcW w:w="236" w:type="dxa"/>
            <w:tcBorders>
              <w:left w:val="nil"/>
              <w:bottom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7.85</w:t>
            </w:r>
          </w:p>
        </w:tc>
        <w:tc>
          <w:tcPr>
            <w:tcW w:w="1223" w:type="dxa"/>
            <w:tcBorders>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(7.80—7.89)</w:t>
            </w:r>
          </w:p>
        </w:tc>
        <w:tc>
          <w:tcPr>
            <w:tcW w:w="236" w:type="dxa"/>
            <w:tcBorders>
              <w:left w:val="nil"/>
              <w:bottom w:val="nil"/>
              <w:right w:val="nil"/>
            </w:tcBorders>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left w:val="nil"/>
              <w:bottom w:val="nil"/>
              <w:right w:val="nil"/>
            </w:tcBorders>
            <w:shd w:val="clear" w:color="auto" w:fill="auto"/>
            <w:noWrap/>
            <w:vAlign w:val="bottom"/>
          </w:tcPr>
          <w:p w:rsidR="00A079D2" w:rsidRPr="00E836FB" w:rsidRDefault="00A079D2" w:rsidP="00456860">
            <w:pPr>
              <w:spacing w:before="60" w:after="60" w:line="240" w:lineRule="auto"/>
              <w:jc w:val="right"/>
              <w:rPr>
                <w:rFonts w:eastAsia="Times New Roman" w:cs="Calibri"/>
                <w:color w:val="000000"/>
                <w:sz w:val="16"/>
                <w:szCs w:val="16"/>
                <w:lang w:eastAsia="en-AU"/>
              </w:rPr>
            </w:pPr>
            <w:r w:rsidRPr="00E836FB">
              <w:rPr>
                <w:rFonts w:cs="Calibri"/>
                <w:color w:val="000000"/>
                <w:sz w:val="16"/>
              </w:rPr>
              <w:t>0.3085</w:t>
            </w:r>
          </w:p>
        </w:tc>
      </w:tr>
      <w:tr w:rsidR="00A079D2" w:rsidRPr="00E836FB" w:rsidTr="00456860">
        <w:trPr>
          <w:trHeight w:val="290"/>
        </w:trPr>
        <w:tc>
          <w:tcPr>
            <w:tcW w:w="2981"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Home</w:t>
            </w:r>
          </w:p>
        </w:tc>
        <w:tc>
          <w:tcPr>
            <w:tcW w:w="847"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8.10</w:t>
            </w:r>
          </w:p>
        </w:tc>
        <w:tc>
          <w:tcPr>
            <w:tcW w:w="1134"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(8.00—8.19)</w:t>
            </w:r>
          </w:p>
        </w:tc>
        <w:tc>
          <w:tcPr>
            <w:tcW w:w="236" w:type="dxa"/>
            <w:tcBorders>
              <w:top w:val="nil"/>
              <w:left w:val="nil"/>
              <w:bottom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8.12</w:t>
            </w:r>
          </w:p>
        </w:tc>
        <w:tc>
          <w:tcPr>
            <w:tcW w:w="1223"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(8.06—8.18)</w:t>
            </w:r>
          </w:p>
        </w:tc>
        <w:tc>
          <w:tcPr>
            <w:tcW w:w="236" w:type="dxa"/>
            <w:tcBorders>
              <w:top w:val="nil"/>
              <w:left w:val="nil"/>
              <w:bottom w:val="nil"/>
              <w:right w:val="nil"/>
            </w:tcBorders>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right"/>
              <w:rPr>
                <w:rFonts w:eastAsia="Times New Roman" w:cs="Calibri"/>
                <w:color w:val="000000"/>
                <w:sz w:val="16"/>
                <w:szCs w:val="16"/>
                <w:lang w:eastAsia="en-AU"/>
              </w:rPr>
            </w:pPr>
            <w:r w:rsidRPr="00E836FB">
              <w:rPr>
                <w:rFonts w:cs="Calibri"/>
                <w:color w:val="000000"/>
                <w:sz w:val="16"/>
              </w:rPr>
              <w:t>0.6356</w:t>
            </w:r>
          </w:p>
        </w:tc>
      </w:tr>
      <w:tr w:rsidR="00A079D2" w:rsidRPr="00E836FB" w:rsidTr="00456860">
        <w:trPr>
          <w:trHeight w:val="290"/>
        </w:trPr>
        <w:tc>
          <w:tcPr>
            <w:tcW w:w="2981"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Feeling part of local community**</w:t>
            </w:r>
          </w:p>
        </w:tc>
        <w:tc>
          <w:tcPr>
            <w:tcW w:w="847"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6.42</w:t>
            </w:r>
          </w:p>
        </w:tc>
        <w:tc>
          <w:tcPr>
            <w:tcW w:w="1134"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(6.27—6.57)</w:t>
            </w:r>
          </w:p>
        </w:tc>
        <w:tc>
          <w:tcPr>
            <w:tcW w:w="236" w:type="dxa"/>
            <w:tcBorders>
              <w:top w:val="nil"/>
              <w:left w:val="nil"/>
              <w:bottom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6.64</w:t>
            </w:r>
          </w:p>
        </w:tc>
        <w:tc>
          <w:tcPr>
            <w:tcW w:w="1223"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(6.56—6.71)</w:t>
            </w:r>
          </w:p>
        </w:tc>
        <w:tc>
          <w:tcPr>
            <w:tcW w:w="236" w:type="dxa"/>
            <w:tcBorders>
              <w:top w:val="nil"/>
              <w:left w:val="nil"/>
              <w:bottom w:val="nil"/>
              <w:right w:val="nil"/>
            </w:tcBorders>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right"/>
              <w:rPr>
                <w:rFonts w:eastAsia="Times New Roman" w:cs="Calibri"/>
                <w:color w:val="000000"/>
                <w:sz w:val="16"/>
                <w:szCs w:val="16"/>
                <w:lang w:eastAsia="en-AU"/>
              </w:rPr>
            </w:pPr>
            <w:r w:rsidRPr="00E836FB">
              <w:rPr>
                <w:rFonts w:cs="Calibri"/>
                <w:color w:val="000000"/>
                <w:sz w:val="16"/>
              </w:rPr>
              <w:t>0.0067</w:t>
            </w:r>
          </w:p>
        </w:tc>
      </w:tr>
      <w:tr w:rsidR="00A079D2" w:rsidRPr="00E836FB" w:rsidTr="00456860">
        <w:trPr>
          <w:trHeight w:val="290"/>
        </w:trPr>
        <w:tc>
          <w:tcPr>
            <w:tcW w:w="2981"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How safe feel</w:t>
            </w:r>
          </w:p>
        </w:tc>
        <w:tc>
          <w:tcPr>
            <w:tcW w:w="847"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8.43</w:t>
            </w:r>
          </w:p>
        </w:tc>
        <w:tc>
          <w:tcPr>
            <w:tcW w:w="1134"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(8.32—8.53)</w:t>
            </w:r>
          </w:p>
        </w:tc>
        <w:tc>
          <w:tcPr>
            <w:tcW w:w="236" w:type="dxa"/>
            <w:tcBorders>
              <w:top w:val="nil"/>
              <w:left w:val="nil"/>
              <w:bottom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8.38</w:t>
            </w:r>
          </w:p>
        </w:tc>
        <w:tc>
          <w:tcPr>
            <w:tcW w:w="1223"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(8.33—8.44)</w:t>
            </w:r>
          </w:p>
        </w:tc>
        <w:tc>
          <w:tcPr>
            <w:tcW w:w="236" w:type="dxa"/>
            <w:tcBorders>
              <w:top w:val="nil"/>
              <w:left w:val="nil"/>
              <w:bottom w:val="nil"/>
              <w:right w:val="nil"/>
            </w:tcBorders>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right"/>
              <w:rPr>
                <w:rFonts w:eastAsia="Times New Roman" w:cs="Calibri"/>
                <w:color w:val="000000"/>
                <w:sz w:val="16"/>
                <w:szCs w:val="16"/>
                <w:lang w:eastAsia="en-AU"/>
              </w:rPr>
            </w:pPr>
            <w:r w:rsidRPr="00E836FB">
              <w:rPr>
                <w:rFonts w:cs="Calibri"/>
                <w:color w:val="000000"/>
                <w:sz w:val="16"/>
              </w:rPr>
              <w:t>0.4497</w:t>
            </w:r>
          </w:p>
        </w:tc>
      </w:tr>
      <w:tr w:rsidR="00A079D2" w:rsidRPr="00E836FB" w:rsidTr="00456860">
        <w:trPr>
          <w:trHeight w:val="290"/>
        </w:trPr>
        <w:tc>
          <w:tcPr>
            <w:tcW w:w="2981" w:type="dxa"/>
            <w:tcBorders>
              <w:top w:val="nil"/>
              <w:left w:val="nil"/>
              <w:right w:val="nil"/>
            </w:tcBorders>
            <w:shd w:val="clear" w:color="auto" w:fill="auto"/>
            <w:noWrap/>
            <w:vAlign w:val="bottom"/>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Neighbourhood</w:t>
            </w:r>
          </w:p>
        </w:tc>
        <w:tc>
          <w:tcPr>
            <w:tcW w:w="847" w:type="dxa"/>
            <w:tcBorders>
              <w:top w:val="nil"/>
              <w:left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7.91</w:t>
            </w:r>
          </w:p>
        </w:tc>
        <w:tc>
          <w:tcPr>
            <w:tcW w:w="1134" w:type="dxa"/>
            <w:tcBorders>
              <w:top w:val="nil"/>
              <w:left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(7.81—8.02)</w:t>
            </w:r>
          </w:p>
        </w:tc>
        <w:tc>
          <w:tcPr>
            <w:tcW w:w="236" w:type="dxa"/>
            <w:tcBorders>
              <w:top w:val="nil"/>
              <w:left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nil"/>
              <w:left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7.91</w:t>
            </w:r>
          </w:p>
        </w:tc>
        <w:tc>
          <w:tcPr>
            <w:tcW w:w="1223" w:type="dxa"/>
            <w:tcBorders>
              <w:top w:val="nil"/>
              <w:left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(7.85—7.98)</w:t>
            </w:r>
          </w:p>
        </w:tc>
        <w:tc>
          <w:tcPr>
            <w:tcW w:w="236" w:type="dxa"/>
            <w:tcBorders>
              <w:top w:val="nil"/>
              <w:left w:val="nil"/>
              <w:right w:val="nil"/>
            </w:tcBorders>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nil"/>
              <w:left w:val="nil"/>
              <w:right w:val="nil"/>
            </w:tcBorders>
            <w:shd w:val="clear" w:color="auto" w:fill="auto"/>
            <w:noWrap/>
            <w:vAlign w:val="bottom"/>
          </w:tcPr>
          <w:p w:rsidR="00A079D2" w:rsidRPr="00E836FB" w:rsidRDefault="00A079D2" w:rsidP="00456860">
            <w:pPr>
              <w:spacing w:before="60" w:after="60" w:line="240" w:lineRule="auto"/>
              <w:jc w:val="right"/>
              <w:rPr>
                <w:rFonts w:eastAsia="Times New Roman" w:cs="Calibri"/>
                <w:color w:val="000000"/>
                <w:sz w:val="16"/>
                <w:szCs w:val="16"/>
                <w:lang w:eastAsia="en-AU"/>
              </w:rPr>
            </w:pPr>
            <w:r w:rsidRPr="00E836FB">
              <w:rPr>
                <w:rFonts w:cs="Calibri"/>
                <w:color w:val="000000"/>
                <w:sz w:val="16"/>
              </w:rPr>
              <w:t>0.9724</w:t>
            </w:r>
          </w:p>
        </w:tc>
      </w:tr>
      <w:tr w:rsidR="00A079D2" w:rsidRPr="00E836FB" w:rsidTr="00456860">
        <w:trPr>
          <w:trHeight w:val="290"/>
        </w:trPr>
        <w:tc>
          <w:tcPr>
            <w:tcW w:w="2981" w:type="dxa"/>
            <w:tcBorders>
              <w:top w:val="nil"/>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Health</w:t>
            </w:r>
          </w:p>
        </w:tc>
        <w:tc>
          <w:tcPr>
            <w:tcW w:w="847" w:type="dxa"/>
            <w:tcBorders>
              <w:top w:val="nil"/>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7.42</w:t>
            </w:r>
          </w:p>
        </w:tc>
        <w:tc>
          <w:tcPr>
            <w:tcW w:w="1134" w:type="dxa"/>
            <w:tcBorders>
              <w:top w:val="nil"/>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(7.32—7.53)</w:t>
            </w:r>
          </w:p>
        </w:tc>
        <w:tc>
          <w:tcPr>
            <w:tcW w:w="236" w:type="dxa"/>
            <w:tcBorders>
              <w:top w:val="nil"/>
              <w:left w:val="nil"/>
              <w:bottom w:val="single" w:sz="4" w:space="0" w:color="auto"/>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nil"/>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7.50</w:t>
            </w:r>
          </w:p>
        </w:tc>
        <w:tc>
          <w:tcPr>
            <w:tcW w:w="1223" w:type="dxa"/>
            <w:tcBorders>
              <w:top w:val="nil"/>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(7.44—7.56)</w:t>
            </w:r>
          </w:p>
        </w:tc>
        <w:tc>
          <w:tcPr>
            <w:tcW w:w="236" w:type="dxa"/>
            <w:tcBorders>
              <w:top w:val="nil"/>
              <w:left w:val="nil"/>
              <w:bottom w:val="single" w:sz="4" w:space="0" w:color="auto"/>
              <w:right w:val="nil"/>
            </w:tcBorders>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nil"/>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jc w:val="right"/>
              <w:rPr>
                <w:rFonts w:eastAsia="Times New Roman" w:cs="Calibri"/>
                <w:color w:val="000000"/>
                <w:sz w:val="16"/>
                <w:szCs w:val="16"/>
                <w:lang w:eastAsia="en-AU"/>
              </w:rPr>
            </w:pPr>
            <w:r w:rsidRPr="00E836FB">
              <w:rPr>
                <w:rFonts w:cs="Calibri"/>
                <w:color w:val="000000"/>
                <w:sz w:val="16"/>
              </w:rPr>
              <w:t>0.2045</w:t>
            </w:r>
          </w:p>
        </w:tc>
      </w:tr>
    </w:tbl>
    <w:p w:rsidR="00A079D2" w:rsidRPr="00E836FB" w:rsidRDefault="00A079D2" w:rsidP="00456860">
      <w:pPr>
        <w:spacing w:after="0"/>
        <w:rPr>
          <w:sz w:val="16"/>
        </w:rPr>
      </w:pPr>
      <w:r w:rsidRPr="00E836FB">
        <w:rPr>
          <w:sz w:val="16"/>
        </w:rPr>
        <w:t>* significant at 95% level of confidence</w:t>
      </w:r>
    </w:p>
    <w:p w:rsidR="00A079D2" w:rsidRPr="00E836FB" w:rsidRDefault="00A079D2" w:rsidP="00456860">
      <w:pPr>
        <w:spacing w:after="0"/>
        <w:rPr>
          <w:sz w:val="16"/>
        </w:rPr>
      </w:pPr>
      <w:r w:rsidRPr="00E836FB">
        <w:rPr>
          <w:sz w:val="16"/>
        </w:rPr>
        <w:t>** significant at 99% level of confidence</w:t>
      </w:r>
    </w:p>
    <w:p w:rsidR="00A079D2" w:rsidRPr="00E836FB" w:rsidRDefault="00A079D2" w:rsidP="00456860"/>
    <w:p w:rsidR="00A079D2" w:rsidRPr="00E836FB" w:rsidRDefault="00A079D2" w:rsidP="00456860">
      <w:pPr>
        <w:pStyle w:val="Heading3"/>
      </w:pPr>
      <w:bookmarkStart w:id="94" w:name="_Toc166757757"/>
      <w:r w:rsidRPr="00E836FB">
        <w:t>Life satisfaction is affected by choice in moving</w:t>
      </w:r>
      <w:bookmarkEnd w:id="94"/>
    </w:p>
    <w:p w:rsidR="00A079D2" w:rsidRPr="00E836FB" w:rsidRDefault="00A079D2" w:rsidP="00456860">
      <w:r w:rsidRPr="00E836FB">
        <w:t xml:space="preserve">The results shown in Table 4 indicate that people who moved and had ‘no choice’ in the decision to move reported significantly lower mean satisfaction with their life overall and with the home in which they lived. </w:t>
      </w:r>
    </w:p>
    <w:p w:rsidR="00A079D2" w:rsidRPr="00E836FB" w:rsidRDefault="00A079D2" w:rsidP="00456860">
      <w:r w:rsidRPr="00E836FB">
        <w:t>The increased frequency of people having to move due to their property no longer being available has trended upward over the course of the HILDA survey</w:t>
      </w:r>
      <w:r>
        <w:t>,</w:t>
      </w:r>
      <w:r w:rsidRPr="00E836FB">
        <w:t xml:space="preserve"> and a sharp increase in 2021 coincided with nation-wide tightening of the rental market. Life satisfaction of people in the population who moved for this reason was compared to the rest of the population and is shown in </w:t>
      </w:r>
      <w:r>
        <w:t>T</w:t>
      </w:r>
      <w:r w:rsidRPr="00E836FB">
        <w:t xml:space="preserve">able </w:t>
      </w:r>
      <w:r>
        <w:t>5</w:t>
      </w:r>
      <w:r w:rsidRPr="00E836FB">
        <w:t>.</w:t>
      </w:r>
    </w:p>
    <w:p w:rsidR="00A079D2" w:rsidRPr="00E836FB" w:rsidRDefault="00A079D2" w:rsidP="00456860">
      <w:r w:rsidRPr="00E836FB">
        <w:lastRenderedPageBreak/>
        <w:t>People who moved because their property was no longer available had lower mean satisfaction (at the 95% level of statistical confidence) across all domains tested except for overall life satisfaction. The adverse impact on satisfaction with the home in which they lived was significant at the 99% statistical level.</w:t>
      </w:r>
    </w:p>
    <w:p w:rsidR="00A079D2" w:rsidRPr="00DB6D37" w:rsidRDefault="00A079D2" w:rsidP="00456860">
      <w:pPr>
        <w:pStyle w:val="Captions"/>
      </w:pPr>
      <w:r w:rsidRPr="00DB6D37">
        <w:t xml:space="preserve">Table 4: Comparison of selected life satisfaction measures for people who </w:t>
      </w:r>
      <w:r>
        <w:t xml:space="preserve">had no choice in moving </w:t>
      </w:r>
      <w:r w:rsidRPr="00DB6D37">
        <w:t>and the rest of the population</w:t>
      </w:r>
      <w:r>
        <w:t xml:space="preserve"> </w:t>
      </w:r>
      <w:r w:rsidRPr="00DB6D37">
        <w:t>—</w:t>
      </w:r>
      <w:r>
        <w:t xml:space="preserve"> </w:t>
      </w:r>
      <w:r w:rsidRPr="00DB6D37">
        <w:t>2021, HILDA survey.</w:t>
      </w:r>
    </w:p>
    <w:tbl>
      <w:tblPr>
        <w:tblW w:w="8305" w:type="dxa"/>
        <w:tblLayout w:type="fixed"/>
        <w:tblLook w:val="04A0" w:firstRow="1" w:lastRow="0" w:firstColumn="1" w:lastColumn="0" w:noHBand="0" w:noVBand="1"/>
      </w:tblPr>
      <w:tblGrid>
        <w:gridCol w:w="2981"/>
        <w:gridCol w:w="847"/>
        <w:gridCol w:w="1134"/>
        <w:gridCol w:w="236"/>
        <w:gridCol w:w="892"/>
        <w:gridCol w:w="1223"/>
        <w:gridCol w:w="236"/>
        <w:gridCol w:w="756"/>
      </w:tblGrid>
      <w:tr w:rsidR="00A079D2" w:rsidRPr="00E836FB" w:rsidTr="00456860">
        <w:trPr>
          <w:trHeight w:val="290"/>
        </w:trPr>
        <w:tc>
          <w:tcPr>
            <w:tcW w:w="2981"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rPr>
                <w:rFonts w:eastAsia="Times New Roman" w:cs="Times New Roman"/>
                <w:sz w:val="16"/>
                <w:szCs w:val="16"/>
                <w:lang w:eastAsia="en-AU"/>
              </w:rPr>
            </w:pPr>
            <w:r w:rsidRPr="00E836FB">
              <w:rPr>
                <w:rFonts w:eastAsia="Times New Roman" w:cs="Calibri"/>
                <w:i/>
                <w:color w:val="000000"/>
                <w:sz w:val="18"/>
                <w:szCs w:val="16"/>
                <w:lang w:eastAsia="en-AU"/>
              </w:rPr>
              <w:t xml:space="preserve">‘No choice’ </w:t>
            </w:r>
          </w:p>
        </w:tc>
        <w:tc>
          <w:tcPr>
            <w:tcW w:w="1981" w:type="dxa"/>
            <w:gridSpan w:val="2"/>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Moved</w:t>
            </w:r>
          </w:p>
        </w:tc>
        <w:tc>
          <w:tcPr>
            <w:tcW w:w="236" w:type="dxa"/>
            <w:tcBorders>
              <w:top w:val="nil"/>
              <w:left w:val="nil"/>
              <w:bottom w:val="nil"/>
              <w:right w:val="nil"/>
            </w:tcBorders>
          </w:tcPr>
          <w:p w:rsidR="00A079D2" w:rsidRPr="00E836FB" w:rsidRDefault="00A079D2" w:rsidP="00456860">
            <w:pPr>
              <w:spacing w:before="60" w:after="60" w:line="240" w:lineRule="auto"/>
              <w:jc w:val="center"/>
              <w:rPr>
                <w:rFonts w:eastAsia="Times New Roman" w:cs="Calibri"/>
                <w:i/>
                <w:color w:val="000000"/>
                <w:sz w:val="16"/>
                <w:szCs w:val="16"/>
                <w:lang w:eastAsia="en-AU"/>
              </w:rPr>
            </w:pPr>
          </w:p>
        </w:tc>
        <w:tc>
          <w:tcPr>
            <w:tcW w:w="2115" w:type="dxa"/>
            <w:gridSpan w:val="2"/>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Rest of population</w:t>
            </w:r>
          </w:p>
        </w:tc>
        <w:tc>
          <w:tcPr>
            <w:tcW w:w="236" w:type="dxa"/>
            <w:tcBorders>
              <w:top w:val="nil"/>
              <w:left w:val="nil"/>
              <w:bottom w:val="nil"/>
              <w:right w:val="nil"/>
            </w:tcBorders>
          </w:tcPr>
          <w:p w:rsidR="00A079D2" w:rsidRPr="00E836FB" w:rsidRDefault="00A079D2" w:rsidP="00456860">
            <w:pPr>
              <w:spacing w:before="60" w:after="60" w:line="240" w:lineRule="auto"/>
              <w:rPr>
                <w:rFonts w:eastAsia="Times New Roman" w:cs="Calibri"/>
                <w:i/>
                <w:color w:val="000000"/>
                <w:sz w:val="16"/>
                <w:szCs w:val="16"/>
                <w:lang w:eastAsia="en-AU"/>
              </w:rPr>
            </w:pPr>
          </w:p>
        </w:tc>
        <w:tc>
          <w:tcPr>
            <w:tcW w:w="756"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rPr>
                <w:rFonts w:eastAsia="Times New Roman" w:cs="Calibri"/>
                <w:i/>
                <w:color w:val="000000"/>
                <w:sz w:val="16"/>
                <w:szCs w:val="16"/>
                <w:lang w:eastAsia="en-AU"/>
              </w:rPr>
            </w:pPr>
          </w:p>
        </w:tc>
      </w:tr>
      <w:tr w:rsidR="00A079D2" w:rsidRPr="00E836FB" w:rsidTr="00456860">
        <w:trPr>
          <w:trHeight w:val="290"/>
        </w:trPr>
        <w:tc>
          <w:tcPr>
            <w:tcW w:w="2981" w:type="dxa"/>
            <w:tcBorders>
              <w:top w:val="nil"/>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rPr>
                <w:rFonts w:eastAsia="Times New Roman" w:cs="Calibri"/>
                <w:i/>
                <w:iCs/>
                <w:color w:val="000000"/>
                <w:sz w:val="16"/>
                <w:szCs w:val="16"/>
                <w:lang w:eastAsia="en-AU"/>
              </w:rPr>
            </w:pPr>
          </w:p>
        </w:tc>
        <w:tc>
          <w:tcPr>
            <w:tcW w:w="847" w:type="dxa"/>
            <w:tcBorders>
              <w:top w:val="single" w:sz="4" w:space="0" w:color="auto"/>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Mean</w:t>
            </w:r>
          </w:p>
        </w:tc>
        <w:tc>
          <w:tcPr>
            <w:tcW w:w="1134" w:type="dxa"/>
            <w:tcBorders>
              <w:top w:val="single" w:sz="4" w:space="0" w:color="auto"/>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95% CI</w:t>
            </w:r>
          </w:p>
        </w:tc>
        <w:tc>
          <w:tcPr>
            <w:tcW w:w="236" w:type="dxa"/>
            <w:tcBorders>
              <w:top w:val="nil"/>
              <w:left w:val="nil"/>
              <w:bottom w:val="single" w:sz="4" w:space="0" w:color="auto"/>
              <w:right w:val="nil"/>
            </w:tcBorders>
          </w:tcPr>
          <w:p w:rsidR="00A079D2" w:rsidRPr="00E836FB" w:rsidRDefault="00A079D2" w:rsidP="00456860">
            <w:pPr>
              <w:spacing w:before="60" w:after="60" w:line="240" w:lineRule="auto"/>
              <w:jc w:val="center"/>
              <w:rPr>
                <w:rFonts w:eastAsia="Times New Roman" w:cs="Calibri"/>
                <w:i/>
                <w:color w:val="000000"/>
                <w:sz w:val="16"/>
                <w:szCs w:val="16"/>
                <w:lang w:eastAsia="en-AU"/>
              </w:rPr>
            </w:pPr>
          </w:p>
        </w:tc>
        <w:tc>
          <w:tcPr>
            <w:tcW w:w="892" w:type="dxa"/>
            <w:tcBorders>
              <w:top w:val="single" w:sz="4" w:space="0" w:color="auto"/>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Mean</w:t>
            </w:r>
          </w:p>
        </w:tc>
        <w:tc>
          <w:tcPr>
            <w:tcW w:w="1223" w:type="dxa"/>
            <w:tcBorders>
              <w:top w:val="single" w:sz="4" w:space="0" w:color="auto"/>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95% CI</w:t>
            </w:r>
          </w:p>
        </w:tc>
        <w:tc>
          <w:tcPr>
            <w:tcW w:w="236" w:type="dxa"/>
            <w:tcBorders>
              <w:top w:val="nil"/>
              <w:left w:val="nil"/>
              <w:bottom w:val="single" w:sz="4" w:space="0" w:color="auto"/>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756" w:type="dxa"/>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eastAsia="Times New Roman" w:cs="Calibri"/>
                <w:i/>
                <w:color w:val="000000"/>
                <w:sz w:val="16"/>
                <w:szCs w:val="16"/>
                <w:lang w:eastAsia="en-AU"/>
              </w:rPr>
              <w:t>P value</w:t>
            </w:r>
          </w:p>
        </w:tc>
      </w:tr>
      <w:tr w:rsidR="00A079D2" w:rsidRPr="00E836FB" w:rsidTr="00456860">
        <w:trPr>
          <w:trHeight w:val="290"/>
        </w:trPr>
        <w:tc>
          <w:tcPr>
            <w:tcW w:w="2981"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i/>
                <w:iCs/>
                <w:color w:val="000000"/>
                <w:sz w:val="16"/>
                <w:szCs w:val="16"/>
                <w:lang w:eastAsia="en-AU"/>
              </w:rPr>
              <w:t>Mean satisfaction (0-10 scale)</w:t>
            </w:r>
          </w:p>
        </w:tc>
        <w:tc>
          <w:tcPr>
            <w:tcW w:w="847"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1134"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236" w:type="dxa"/>
            <w:tcBorders>
              <w:top w:val="single" w:sz="4" w:space="0" w:color="auto"/>
              <w:left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1223"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236" w:type="dxa"/>
            <w:tcBorders>
              <w:top w:val="single" w:sz="4" w:space="0" w:color="auto"/>
              <w:left w:val="nil"/>
              <w:right w:val="nil"/>
            </w:tcBorders>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right"/>
              <w:rPr>
                <w:rFonts w:eastAsia="Times New Roman" w:cs="Calibri"/>
                <w:color w:val="000000"/>
                <w:sz w:val="16"/>
                <w:szCs w:val="16"/>
                <w:lang w:eastAsia="en-AU"/>
              </w:rPr>
            </w:pPr>
          </w:p>
        </w:tc>
      </w:tr>
      <w:tr w:rsidR="00A079D2" w:rsidRPr="00E836FB" w:rsidTr="00456860">
        <w:trPr>
          <w:trHeight w:val="290"/>
        </w:trPr>
        <w:tc>
          <w:tcPr>
            <w:tcW w:w="2981" w:type="dxa"/>
            <w:tcBorders>
              <w:left w:val="nil"/>
              <w:bottom w:val="nil"/>
              <w:right w:val="nil"/>
            </w:tcBorders>
            <w:shd w:val="clear" w:color="auto" w:fill="auto"/>
            <w:noWrap/>
            <w:vAlign w:val="bottom"/>
            <w:hideMark/>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Life overall*</w:t>
            </w:r>
          </w:p>
        </w:tc>
        <w:tc>
          <w:tcPr>
            <w:tcW w:w="847" w:type="dxa"/>
            <w:tcBorders>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7.66</w:t>
            </w:r>
          </w:p>
        </w:tc>
        <w:tc>
          <w:tcPr>
            <w:tcW w:w="1134" w:type="dxa"/>
            <w:tcBorders>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(7.41—7.91)</w:t>
            </w:r>
          </w:p>
        </w:tc>
        <w:tc>
          <w:tcPr>
            <w:tcW w:w="236" w:type="dxa"/>
            <w:tcBorders>
              <w:left w:val="nil"/>
              <w:bottom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7.91</w:t>
            </w:r>
          </w:p>
        </w:tc>
        <w:tc>
          <w:tcPr>
            <w:tcW w:w="1223" w:type="dxa"/>
            <w:tcBorders>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(7.88—7.94)</w:t>
            </w:r>
          </w:p>
        </w:tc>
        <w:tc>
          <w:tcPr>
            <w:tcW w:w="236" w:type="dxa"/>
            <w:tcBorders>
              <w:left w:val="nil"/>
              <w:bottom w:val="nil"/>
              <w:right w:val="nil"/>
            </w:tcBorders>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left w:val="nil"/>
              <w:bottom w:val="nil"/>
              <w:right w:val="nil"/>
            </w:tcBorders>
            <w:shd w:val="clear" w:color="auto" w:fill="auto"/>
            <w:noWrap/>
            <w:vAlign w:val="bottom"/>
            <w:hideMark/>
          </w:tcPr>
          <w:p w:rsidR="00A079D2" w:rsidRPr="00E836FB" w:rsidRDefault="00A079D2" w:rsidP="00456860">
            <w:pPr>
              <w:spacing w:before="60" w:after="60" w:line="240" w:lineRule="auto"/>
              <w:jc w:val="right"/>
              <w:rPr>
                <w:rFonts w:eastAsia="Times New Roman" w:cs="Calibri"/>
                <w:color w:val="000000"/>
                <w:sz w:val="16"/>
                <w:szCs w:val="16"/>
                <w:lang w:eastAsia="en-AU"/>
              </w:rPr>
            </w:pPr>
            <w:r w:rsidRPr="00E836FB">
              <w:rPr>
                <w:rFonts w:cs="Calibri"/>
                <w:color w:val="000000"/>
                <w:sz w:val="16"/>
              </w:rPr>
              <w:t>0.040</w:t>
            </w:r>
          </w:p>
        </w:tc>
      </w:tr>
      <w:tr w:rsidR="00A079D2" w:rsidRPr="00E836FB" w:rsidTr="00456860">
        <w:trPr>
          <w:trHeight w:val="290"/>
        </w:trPr>
        <w:tc>
          <w:tcPr>
            <w:tcW w:w="2981"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Home**</w:t>
            </w:r>
          </w:p>
        </w:tc>
        <w:tc>
          <w:tcPr>
            <w:tcW w:w="847"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7.70</w:t>
            </w:r>
          </w:p>
        </w:tc>
        <w:tc>
          <w:tcPr>
            <w:tcW w:w="1134"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(7.41—7.98)</w:t>
            </w:r>
          </w:p>
        </w:tc>
        <w:tc>
          <w:tcPr>
            <w:tcW w:w="236" w:type="dxa"/>
            <w:tcBorders>
              <w:top w:val="nil"/>
              <w:left w:val="nil"/>
              <w:bottom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8.25</w:t>
            </w:r>
          </w:p>
        </w:tc>
        <w:tc>
          <w:tcPr>
            <w:tcW w:w="1223"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(8.07—8.16)</w:t>
            </w:r>
          </w:p>
        </w:tc>
        <w:tc>
          <w:tcPr>
            <w:tcW w:w="236" w:type="dxa"/>
            <w:tcBorders>
              <w:top w:val="nil"/>
              <w:left w:val="nil"/>
              <w:bottom w:val="nil"/>
              <w:right w:val="nil"/>
            </w:tcBorders>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right"/>
              <w:rPr>
                <w:rFonts w:eastAsia="Times New Roman" w:cs="Calibri"/>
                <w:color w:val="000000"/>
                <w:sz w:val="16"/>
                <w:szCs w:val="16"/>
                <w:lang w:eastAsia="en-AU"/>
              </w:rPr>
            </w:pPr>
            <w:r>
              <w:rPr>
                <w:rFonts w:cs="Calibri"/>
                <w:color w:val="000000"/>
                <w:sz w:val="16"/>
              </w:rPr>
              <w:t>&lt;</w:t>
            </w:r>
            <w:r w:rsidRPr="00E836FB">
              <w:rPr>
                <w:rFonts w:cs="Calibri"/>
                <w:color w:val="000000"/>
                <w:sz w:val="16"/>
              </w:rPr>
              <w:t>0.00</w:t>
            </w:r>
            <w:r>
              <w:rPr>
                <w:rFonts w:cs="Calibri"/>
                <w:color w:val="000000"/>
                <w:sz w:val="16"/>
              </w:rPr>
              <w:t>1</w:t>
            </w:r>
          </w:p>
        </w:tc>
      </w:tr>
      <w:tr w:rsidR="00A079D2" w:rsidRPr="00E836FB" w:rsidTr="00456860">
        <w:trPr>
          <w:trHeight w:val="290"/>
        </w:trPr>
        <w:tc>
          <w:tcPr>
            <w:tcW w:w="2981"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Feeling part of local community**</w:t>
            </w:r>
          </w:p>
        </w:tc>
        <w:tc>
          <w:tcPr>
            <w:tcW w:w="847"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5.97</w:t>
            </w:r>
          </w:p>
        </w:tc>
        <w:tc>
          <w:tcPr>
            <w:tcW w:w="1134"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(5.55—6.38)</w:t>
            </w:r>
          </w:p>
        </w:tc>
        <w:tc>
          <w:tcPr>
            <w:tcW w:w="236" w:type="dxa"/>
            <w:tcBorders>
              <w:top w:val="nil"/>
              <w:left w:val="nil"/>
              <w:bottom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6.75</w:t>
            </w:r>
          </w:p>
        </w:tc>
        <w:tc>
          <w:tcPr>
            <w:tcW w:w="1223"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(6.69—6.81)</w:t>
            </w:r>
          </w:p>
        </w:tc>
        <w:tc>
          <w:tcPr>
            <w:tcW w:w="236" w:type="dxa"/>
            <w:tcBorders>
              <w:top w:val="nil"/>
              <w:left w:val="nil"/>
              <w:bottom w:val="nil"/>
              <w:right w:val="nil"/>
            </w:tcBorders>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right"/>
              <w:rPr>
                <w:rFonts w:eastAsia="Times New Roman" w:cs="Calibri"/>
                <w:color w:val="000000"/>
                <w:sz w:val="16"/>
                <w:szCs w:val="16"/>
                <w:lang w:eastAsia="en-AU"/>
              </w:rPr>
            </w:pPr>
            <w:r>
              <w:rPr>
                <w:rFonts w:cs="Calibri"/>
                <w:color w:val="000000"/>
                <w:sz w:val="16"/>
              </w:rPr>
              <w:t>&lt;</w:t>
            </w:r>
            <w:r w:rsidRPr="00E836FB">
              <w:rPr>
                <w:rFonts w:cs="Calibri"/>
                <w:color w:val="000000"/>
                <w:sz w:val="16"/>
              </w:rPr>
              <w:t>0.00</w:t>
            </w:r>
            <w:r>
              <w:rPr>
                <w:rFonts w:cs="Calibri"/>
                <w:color w:val="000000"/>
                <w:sz w:val="16"/>
              </w:rPr>
              <w:t>1</w:t>
            </w:r>
          </w:p>
        </w:tc>
      </w:tr>
      <w:tr w:rsidR="00A079D2" w:rsidRPr="00E836FB" w:rsidTr="00456860">
        <w:trPr>
          <w:trHeight w:val="290"/>
        </w:trPr>
        <w:tc>
          <w:tcPr>
            <w:tcW w:w="2981"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How safe feel</w:t>
            </w:r>
          </w:p>
        </w:tc>
        <w:tc>
          <w:tcPr>
            <w:tcW w:w="847"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8.22</w:t>
            </w:r>
          </w:p>
        </w:tc>
        <w:tc>
          <w:tcPr>
            <w:tcW w:w="1134"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(7.97—8.47)</w:t>
            </w:r>
          </w:p>
        </w:tc>
        <w:tc>
          <w:tcPr>
            <w:tcW w:w="236" w:type="dxa"/>
            <w:tcBorders>
              <w:top w:val="nil"/>
              <w:left w:val="nil"/>
              <w:bottom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8.41</w:t>
            </w:r>
          </w:p>
        </w:tc>
        <w:tc>
          <w:tcPr>
            <w:tcW w:w="1223"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(8.37—8.45)</w:t>
            </w:r>
          </w:p>
        </w:tc>
        <w:tc>
          <w:tcPr>
            <w:tcW w:w="236" w:type="dxa"/>
            <w:tcBorders>
              <w:top w:val="nil"/>
              <w:left w:val="nil"/>
              <w:bottom w:val="nil"/>
              <w:right w:val="nil"/>
            </w:tcBorders>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nil"/>
              <w:left w:val="nil"/>
              <w:bottom w:val="nil"/>
              <w:right w:val="nil"/>
            </w:tcBorders>
            <w:shd w:val="clear" w:color="auto" w:fill="auto"/>
            <w:noWrap/>
            <w:vAlign w:val="bottom"/>
            <w:hideMark/>
          </w:tcPr>
          <w:p w:rsidR="00A079D2" w:rsidRPr="00E836FB" w:rsidRDefault="00A079D2" w:rsidP="00456860">
            <w:pPr>
              <w:spacing w:before="60" w:after="60" w:line="240" w:lineRule="auto"/>
              <w:jc w:val="right"/>
              <w:rPr>
                <w:rFonts w:eastAsia="Times New Roman" w:cs="Calibri"/>
                <w:color w:val="000000"/>
                <w:sz w:val="16"/>
                <w:szCs w:val="16"/>
                <w:lang w:eastAsia="en-AU"/>
              </w:rPr>
            </w:pPr>
            <w:r w:rsidRPr="00E836FB">
              <w:rPr>
                <w:rFonts w:cs="Calibri"/>
                <w:color w:val="000000"/>
                <w:sz w:val="16"/>
              </w:rPr>
              <w:t>0.138</w:t>
            </w:r>
          </w:p>
        </w:tc>
      </w:tr>
      <w:tr w:rsidR="00A079D2" w:rsidRPr="00E836FB" w:rsidTr="00456860">
        <w:trPr>
          <w:trHeight w:val="290"/>
        </w:trPr>
        <w:tc>
          <w:tcPr>
            <w:tcW w:w="2981" w:type="dxa"/>
            <w:tcBorders>
              <w:top w:val="nil"/>
              <w:left w:val="nil"/>
              <w:right w:val="nil"/>
            </w:tcBorders>
            <w:shd w:val="clear" w:color="auto" w:fill="auto"/>
            <w:noWrap/>
            <w:vAlign w:val="bottom"/>
            <w:hideMark/>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Neighbourhood</w:t>
            </w:r>
            <w:r w:rsidRPr="00631B11">
              <w:rPr>
                <w:rFonts w:eastAsia="Times New Roman" w:cs="Calibri"/>
                <w:color w:val="000000"/>
                <w:sz w:val="16"/>
                <w:szCs w:val="16"/>
                <w:lang w:eastAsia="en-AU"/>
              </w:rPr>
              <w:t>*</w:t>
            </w:r>
          </w:p>
        </w:tc>
        <w:tc>
          <w:tcPr>
            <w:tcW w:w="847" w:type="dxa"/>
            <w:tcBorders>
              <w:top w:val="nil"/>
              <w:left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7.65</w:t>
            </w:r>
          </w:p>
        </w:tc>
        <w:tc>
          <w:tcPr>
            <w:tcW w:w="1134" w:type="dxa"/>
            <w:tcBorders>
              <w:top w:val="nil"/>
              <w:left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(7.39—7.91)</w:t>
            </w:r>
          </w:p>
        </w:tc>
        <w:tc>
          <w:tcPr>
            <w:tcW w:w="236" w:type="dxa"/>
            <w:tcBorders>
              <w:top w:val="nil"/>
              <w:left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nil"/>
              <w:left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8.00</w:t>
            </w:r>
          </w:p>
        </w:tc>
        <w:tc>
          <w:tcPr>
            <w:tcW w:w="1223" w:type="dxa"/>
            <w:tcBorders>
              <w:top w:val="nil"/>
              <w:left w:val="nil"/>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(7.95—8.05)</w:t>
            </w:r>
          </w:p>
        </w:tc>
        <w:tc>
          <w:tcPr>
            <w:tcW w:w="236" w:type="dxa"/>
            <w:tcBorders>
              <w:top w:val="nil"/>
              <w:left w:val="nil"/>
              <w:right w:val="nil"/>
            </w:tcBorders>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nil"/>
              <w:left w:val="nil"/>
              <w:right w:val="nil"/>
            </w:tcBorders>
            <w:shd w:val="clear" w:color="auto" w:fill="auto"/>
            <w:noWrap/>
            <w:vAlign w:val="bottom"/>
            <w:hideMark/>
          </w:tcPr>
          <w:p w:rsidR="00A079D2" w:rsidRPr="00E836FB" w:rsidRDefault="00A079D2" w:rsidP="00456860">
            <w:pPr>
              <w:spacing w:before="60" w:after="60" w:line="240" w:lineRule="auto"/>
              <w:jc w:val="right"/>
              <w:rPr>
                <w:rFonts w:eastAsia="Times New Roman" w:cs="Calibri"/>
                <w:color w:val="000000"/>
                <w:sz w:val="16"/>
                <w:szCs w:val="16"/>
                <w:lang w:eastAsia="en-AU"/>
              </w:rPr>
            </w:pPr>
            <w:r w:rsidRPr="00E836FB">
              <w:rPr>
                <w:rFonts w:cs="Calibri"/>
                <w:color w:val="000000"/>
                <w:sz w:val="16"/>
              </w:rPr>
              <w:t>0.010</w:t>
            </w:r>
          </w:p>
        </w:tc>
      </w:tr>
      <w:tr w:rsidR="00A079D2" w:rsidRPr="00E836FB" w:rsidTr="00456860">
        <w:trPr>
          <w:trHeight w:val="290"/>
        </w:trPr>
        <w:tc>
          <w:tcPr>
            <w:tcW w:w="2981" w:type="dxa"/>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Health</w:t>
            </w:r>
          </w:p>
        </w:tc>
        <w:tc>
          <w:tcPr>
            <w:tcW w:w="847" w:type="dxa"/>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7.08</w:t>
            </w:r>
          </w:p>
        </w:tc>
        <w:tc>
          <w:tcPr>
            <w:tcW w:w="1134" w:type="dxa"/>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(6.77—7.39)</w:t>
            </w:r>
          </w:p>
        </w:tc>
        <w:tc>
          <w:tcPr>
            <w:tcW w:w="236" w:type="dxa"/>
            <w:tcBorders>
              <w:top w:val="nil"/>
              <w:left w:val="nil"/>
              <w:bottom w:val="single" w:sz="4" w:space="0" w:color="auto"/>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7.32</w:t>
            </w:r>
          </w:p>
        </w:tc>
        <w:tc>
          <w:tcPr>
            <w:tcW w:w="1223" w:type="dxa"/>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(7.27—7.37)</w:t>
            </w:r>
          </w:p>
        </w:tc>
        <w:tc>
          <w:tcPr>
            <w:tcW w:w="236" w:type="dxa"/>
            <w:tcBorders>
              <w:top w:val="nil"/>
              <w:left w:val="nil"/>
              <w:bottom w:val="single" w:sz="4" w:space="0" w:color="auto"/>
              <w:right w:val="nil"/>
            </w:tcBorders>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nil"/>
              <w:left w:val="nil"/>
              <w:bottom w:val="single" w:sz="4" w:space="0" w:color="auto"/>
              <w:right w:val="nil"/>
            </w:tcBorders>
            <w:shd w:val="clear" w:color="auto" w:fill="auto"/>
            <w:noWrap/>
            <w:vAlign w:val="bottom"/>
            <w:hideMark/>
          </w:tcPr>
          <w:p w:rsidR="00A079D2" w:rsidRPr="00E836FB" w:rsidRDefault="00A079D2" w:rsidP="00456860">
            <w:pPr>
              <w:spacing w:before="60" w:after="60" w:line="240" w:lineRule="auto"/>
              <w:jc w:val="right"/>
              <w:rPr>
                <w:rFonts w:eastAsia="Times New Roman" w:cs="Calibri"/>
                <w:color w:val="000000"/>
                <w:sz w:val="16"/>
                <w:szCs w:val="16"/>
                <w:lang w:eastAsia="en-AU"/>
              </w:rPr>
            </w:pPr>
            <w:r w:rsidRPr="00E836FB">
              <w:rPr>
                <w:rFonts w:cs="Calibri"/>
                <w:color w:val="000000"/>
                <w:sz w:val="16"/>
              </w:rPr>
              <w:t>0.137</w:t>
            </w:r>
          </w:p>
        </w:tc>
      </w:tr>
      <w:tr w:rsidR="00A079D2" w:rsidRPr="00E836FB" w:rsidTr="00456860">
        <w:trPr>
          <w:trHeight w:val="290"/>
        </w:trPr>
        <w:tc>
          <w:tcPr>
            <w:tcW w:w="3828" w:type="dxa"/>
            <w:gridSpan w:val="2"/>
            <w:tcBorders>
              <w:top w:val="single" w:sz="4" w:space="0" w:color="auto"/>
              <w:left w:val="nil"/>
              <w:right w:val="nil"/>
            </w:tcBorders>
            <w:shd w:val="clear" w:color="auto" w:fill="auto"/>
            <w:noWrap/>
            <w:vAlign w:val="bottom"/>
          </w:tcPr>
          <w:p w:rsidR="00A079D2" w:rsidRPr="00E836FB" w:rsidRDefault="00A079D2" w:rsidP="00456860">
            <w:pPr>
              <w:spacing w:after="0" w:line="240" w:lineRule="auto"/>
              <w:rPr>
                <w:sz w:val="16"/>
              </w:rPr>
            </w:pPr>
            <w:r w:rsidRPr="00E836FB">
              <w:rPr>
                <w:sz w:val="16"/>
              </w:rPr>
              <w:t>* significant at 95% level of confidence</w:t>
            </w:r>
          </w:p>
          <w:p w:rsidR="00A079D2" w:rsidRPr="00E836FB" w:rsidRDefault="00A079D2" w:rsidP="00456860">
            <w:pPr>
              <w:spacing w:after="0" w:line="240" w:lineRule="auto"/>
              <w:rPr>
                <w:rFonts w:eastAsia="Times New Roman" w:cs="Calibri"/>
                <w:color w:val="000000"/>
                <w:sz w:val="16"/>
                <w:szCs w:val="16"/>
                <w:lang w:eastAsia="en-AU"/>
              </w:rPr>
            </w:pPr>
            <w:r w:rsidRPr="00E836FB">
              <w:rPr>
                <w:sz w:val="16"/>
              </w:rPr>
              <w:t>** significant at 99% level of confidence</w:t>
            </w:r>
          </w:p>
        </w:tc>
        <w:tc>
          <w:tcPr>
            <w:tcW w:w="1134"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236" w:type="dxa"/>
            <w:tcBorders>
              <w:top w:val="single" w:sz="4" w:space="0" w:color="auto"/>
              <w:left w:val="nil"/>
              <w:right w:val="nil"/>
            </w:tcBorders>
            <w:shd w:val="clear" w:color="auto" w:fill="auto"/>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1223"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236" w:type="dxa"/>
            <w:tcBorders>
              <w:top w:val="single" w:sz="4" w:space="0" w:color="auto"/>
              <w:left w:val="nil"/>
              <w:right w:val="nil"/>
            </w:tcBorders>
            <w:shd w:val="clear" w:color="auto" w:fill="auto"/>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right"/>
              <w:rPr>
                <w:rFonts w:eastAsia="Times New Roman" w:cs="Calibri"/>
                <w:color w:val="000000"/>
                <w:sz w:val="16"/>
                <w:szCs w:val="16"/>
                <w:lang w:eastAsia="en-AU"/>
              </w:rPr>
            </w:pPr>
          </w:p>
        </w:tc>
      </w:tr>
    </w:tbl>
    <w:p w:rsidR="00A079D2" w:rsidRDefault="00A079D2" w:rsidP="00456860">
      <w:pPr>
        <w:pStyle w:val="Captions"/>
        <w:spacing w:after="0"/>
      </w:pPr>
    </w:p>
    <w:p w:rsidR="00A079D2" w:rsidRPr="00DB6D37" w:rsidRDefault="00A079D2" w:rsidP="00456860">
      <w:pPr>
        <w:pStyle w:val="Captions"/>
      </w:pPr>
      <w:r w:rsidRPr="00DB6D37">
        <w:t>Table 5: Comparison of selected life satisfaction measures for people who moved because the property was no longer available and the rest of the population</w:t>
      </w:r>
      <w:r>
        <w:t xml:space="preserve"> </w:t>
      </w:r>
      <w:r w:rsidRPr="00DB6D37">
        <w:t>—</w:t>
      </w:r>
      <w:r>
        <w:t xml:space="preserve"> </w:t>
      </w:r>
      <w:r w:rsidRPr="00DB6D37">
        <w:t>2021, HILDA survey.</w:t>
      </w:r>
    </w:p>
    <w:tbl>
      <w:tblPr>
        <w:tblW w:w="8305" w:type="dxa"/>
        <w:tblLayout w:type="fixed"/>
        <w:tblLook w:val="04A0" w:firstRow="1" w:lastRow="0" w:firstColumn="1" w:lastColumn="0" w:noHBand="0" w:noVBand="1"/>
      </w:tblPr>
      <w:tblGrid>
        <w:gridCol w:w="2981"/>
        <w:gridCol w:w="847"/>
        <w:gridCol w:w="1134"/>
        <w:gridCol w:w="236"/>
        <w:gridCol w:w="892"/>
        <w:gridCol w:w="1223"/>
        <w:gridCol w:w="236"/>
        <w:gridCol w:w="756"/>
      </w:tblGrid>
      <w:tr w:rsidR="00A079D2" w:rsidRPr="00E836FB" w:rsidTr="00456860">
        <w:trPr>
          <w:trHeight w:val="290"/>
        </w:trPr>
        <w:tc>
          <w:tcPr>
            <w:tcW w:w="2981" w:type="dxa"/>
            <w:tcBorders>
              <w:left w:val="nil"/>
              <w:bottom w:val="nil"/>
              <w:right w:val="nil"/>
            </w:tcBorders>
            <w:shd w:val="clear" w:color="auto" w:fill="auto"/>
            <w:noWrap/>
            <w:vAlign w:val="bottom"/>
          </w:tcPr>
          <w:p w:rsidR="00A079D2" w:rsidRPr="00E836FB" w:rsidRDefault="00A079D2" w:rsidP="00456860">
            <w:pPr>
              <w:spacing w:before="60" w:after="60" w:line="240" w:lineRule="auto"/>
              <w:rPr>
                <w:rFonts w:eastAsia="Times New Roman" w:cs="Calibri"/>
                <w:i/>
                <w:color w:val="000000"/>
                <w:sz w:val="16"/>
                <w:szCs w:val="16"/>
                <w:lang w:eastAsia="en-AU"/>
              </w:rPr>
            </w:pPr>
            <w:r w:rsidRPr="00E836FB">
              <w:rPr>
                <w:rFonts w:eastAsia="Times New Roman" w:cs="Calibri"/>
                <w:i/>
                <w:color w:val="000000"/>
                <w:sz w:val="18"/>
                <w:szCs w:val="16"/>
                <w:lang w:eastAsia="en-AU"/>
              </w:rPr>
              <w:t>Property no longer available</w:t>
            </w:r>
          </w:p>
        </w:tc>
        <w:tc>
          <w:tcPr>
            <w:tcW w:w="1981" w:type="dxa"/>
            <w:gridSpan w:val="2"/>
            <w:tcBorders>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Moved</w:t>
            </w:r>
          </w:p>
        </w:tc>
        <w:tc>
          <w:tcPr>
            <w:tcW w:w="236" w:type="dxa"/>
            <w:tcBorders>
              <w:left w:val="nil"/>
              <w:bottom w:val="nil"/>
              <w:right w:val="nil"/>
            </w:tcBorders>
            <w:shd w:val="clear" w:color="auto" w:fill="auto"/>
          </w:tcPr>
          <w:p w:rsidR="00A079D2" w:rsidRPr="00E836FB" w:rsidRDefault="00A079D2" w:rsidP="00456860">
            <w:pPr>
              <w:spacing w:before="60" w:after="60" w:line="240" w:lineRule="auto"/>
              <w:jc w:val="center"/>
              <w:rPr>
                <w:rFonts w:eastAsia="Times New Roman" w:cs="Calibri"/>
                <w:i/>
                <w:color w:val="000000"/>
                <w:sz w:val="16"/>
                <w:szCs w:val="16"/>
                <w:lang w:eastAsia="en-AU"/>
              </w:rPr>
            </w:pPr>
          </w:p>
        </w:tc>
        <w:tc>
          <w:tcPr>
            <w:tcW w:w="2115" w:type="dxa"/>
            <w:gridSpan w:val="2"/>
            <w:tcBorders>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Have not moved</w:t>
            </w:r>
          </w:p>
        </w:tc>
        <w:tc>
          <w:tcPr>
            <w:tcW w:w="236" w:type="dxa"/>
            <w:tcBorders>
              <w:left w:val="nil"/>
              <w:bottom w:val="nil"/>
              <w:right w:val="nil"/>
            </w:tcBorders>
            <w:shd w:val="clear" w:color="auto" w:fill="auto"/>
          </w:tcPr>
          <w:p w:rsidR="00A079D2" w:rsidRPr="00E836FB" w:rsidRDefault="00A079D2" w:rsidP="00456860">
            <w:pPr>
              <w:spacing w:before="60" w:after="60" w:line="240" w:lineRule="auto"/>
              <w:jc w:val="right"/>
              <w:rPr>
                <w:rFonts w:eastAsia="Times New Roman" w:cs="Calibri"/>
                <w:i/>
                <w:color w:val="000000"/>
                <w:sz w:val="16"/>
                <w:szCs w:val="16"/>
                <w:lang w:eastAsia="en-AU"/>
              </w:rPr>
            </w:pPr>
          </w:p>
        </w:tc>
        <w:tc>
          <w:tcPr>
            <w:tcW w:w="756" w:type="dxa"/>
            <w:tcBorders>
              <w:left w:val="nil"/>
              <w:bottom w:val="nil"/>
              <w:right w:val="nil"/>
            </w:tcBorders>
            <w:shd w:val="clear" w:color="auto" w:fill="auto"/>
            <w:noWrap/>
            <w:vAlign w:val="bottom"/>
          </w:tcPr>
          <w:p w:rsidR="00A079D2" w:rsidRPr="00E836FB" w:rsidRDefault="00A079D2" w:rsidP="00456860">
            <w:pPr>
              <w:spacing w:before="60" w:after="60" w:line="240" w:lineRule="auto"/>
              <w:jc w:val="right"/>
              <w:rPr>
                <w:rFonts w:eastAsia="Times New Roman" w:cs="Calibri"/>
                <w:i/>
                <w:color w:val="000000"/>
                <w:sz w:val="16"/>
                <w:szCs w:val="16"/>
                <w:lang w:eastAsia="en-AU"/>
              </w:rPr>
            </w:pPr>
          </w:p>
        </w:tc>
      </w:tr>
      <w:tr w:rsidR="00A079D2" w:rsidRPr="00E836FB" w:rsidTr="00456860">
        <w:trPr>
          <w:trHeight w:val="290"/>
        </w:trPr>
        <w:tc>
          <w:tcPr>
            <w:tcW w:w="2981" w:type="dxa"/>
            <w:tcBorders>
              <w:top w:val="nil"/>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rPr>
                <w:rFonts w:eastAsia="Times New Roman" w:cs="Calibri"/>
                <w:i/>
                <w:color w:val="000000"/>
                <w:sz w:val="16"/>
                <w:szCs w:val="16"/>
                <w:lang w:eastAsia="en-AU"/>
              </w:rPr>
            </w:pPr>
          </w:p>
        </w:tc>
        <w:tc>
          <w:tcPr>
            <w:tcW w:w="847" w:type="dxa"/>
            <w:tcBorders>
              <w:top w:val="single" w:sz="4" w:space="0" w:color="auto"/>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Mean</w:t>
            </w:r>
          </w:p>
        </w:tc>
        <w:tc>
          <w:tcPr>
            <w:tcW w:w="1134" w:type="dxa"/>
            <w:tcBorders>
              <w:top w:val="single" w:sz="4" w:space="0" w:color="auto"/>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95% CI</w:t>
            </w:r>
          </w:p>
        </w:tc>
        <w:tc>
          <w:tcPr>
            <w:tcW w:w="236" w:type="dxa"/>
            <w:tcBorders>
              <w:top w:val="nil"/>
              <w:left w:val="nil"/>
              <w:bottom w:val="single" w:sz="4" w:space="0" w:color="auto"/>
              <w:right w:val="nil"/>
            </w:tcBorders>
          </w:tcPr>
          <w:p w:rsidR="00A079D2" w:rsidRPr="00E836FB" w:rsidRDefault="00A079D2" w:rsidP="00456860">
            <w:pPr>
              <w:spacing w:before="60" w:after="60" w:line="240" w:lineRule="auto"/>
              <w:jc w:val="center"/>
              <w:rPr>
                <w:rFonts w:eastAsia="Times New Roman" w:cs="Calibri"/>
                <w:i/>
                <w:color w:val="000000"/>
                <w:sz w:val="16"/>
                <w:szCs w:val="16"/>
                <w:lang w:eastAsia="en-AU"/>
              </w:rPr>
            </w:pPr>
          </w:p>
        </w:tc>
        <w:tc>
          <w:tcPr>
            <w:tcW w:w="892" w:type="dxa"/>
            <w:tcBorders>
              <w:top w:val="nil"/>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Mean</w:t>
            </w:r>
          </w:p>
        </w:tc>
        <w:tc>
          <w:tcPr>
            <w:tcW w:w="1223" w:type="dxa"/>
            <w:tcBorders>
              <w:top w:val="nil"/>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i/>
                <w:color w:val="000000"/>
                <w:sz w:val="16"/>
                <w:szCs w:val="16"/>
                <w:lang w:eastAsia="en-AU"/>
              </w:rPr>
            </w:pPr>
            <w:r w:rsidRPr="00E836FB">
              <w:rPr>
                <w:rFonts w:eastAsia="Times New Roman" w:cs="Calibri"/>
                <w:i/>
                <w:color w:val="000000"/>
                <w:sz w:val="16"/>
                <w:szCs w:val="16"/>
                <w:lang w:eastAsia="en-AU"/>
              </w:rPr>
              <w:t>95% CI</w:t>
            </w:r>
          </w:p>
        </w:tc>
        <w:tc>
          <w:tcPr>
            <w:tcW w:w="236" w:type="dxa"/>
            <w:tcBorders>
              <w:top w:val="nil"/>
              <w:left w:val="nil"/>
              <w:bottom w:val="single" w:sz="4" w:space="0" w:color="auto"/>
              <w:right w:val="nil"/>
            </w:tcBorders>
          </w:tcPr>
          <w:p w:rsidR="00A079D2" w:rsidRPr="00E836FB" w:rsidRDefault="00A079D2" w:rsidP="00456860">
            <w:pPr>
              <w:spacing w:before="60" w:after="60" w:line="240" w:lineRule="auto"/>
              <w:jc w:val="right"/>
              <w:rPr>
                <w:rFonts w:eastAsia="Times New Roman" w:cs="Calibri"/>
                <w:i/>
                <w:color w:val="000000"/>
                <w:sz w:val="16"/>
                <w:szCs w:val="16"/>
                <w:lang w:eastAsia="en-AU"/>
              </w:rPr>
            </w:pPr>
          </w:p>
        </w:tc>
        <w:tc>
          <w:tcPr>
            <w:tcW w:w="756" w:type="dxa"/>
            <w:tcBorders>
              <w:top w:val="nil"/>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jc w:val="right"/>
              <w:rPr>
                <w:rFonts w:eastAsia="Times New Roman" w:cs="Calibri"/>
                <w:i/>
                <w:color w:val="000000"/>
                <w:sz w:val="16"/>
                <w:szCs w:val="16"/>
                <w:lang w:eastAsia="en-AU"/>
              </w:rPr>
            </w:pPr>
            <w:r w:rsidRPr="00E836FB">
              <w:rPr>
                <w:rFonts w:eastAsia="Times New Roman" w:cs="Calibri"/>
                <w:i/>
                <w:color w:val="000000"/>
                <w:sz w:val="16"/>
                <w:szCs w:val="16"/>
                <w:lang w:eastAsia="en-AU"/>
              </w:rPr>
              <w:t>P value</w:t>
            </w:r>
          </w:p>
        </w:tc>
      </w:tr>
      <w:tr w:rsidR="00A079D2" w:rsidRPr="00E836FB" w:rsidTr="00456860">
        <w:trPr>
          <w:trHeight w:val="290"/>
        </w:trPr>
        <w:tc>
          <w:tcPr>
            <w:tcW w:w="2981"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i/>
                <w:iCs/>
                <w:color w:val="000000"/>
                <w:sz w:val="16"/>
                <w:szCs w:val="16"/>
                <w:lang w:eastAsia="en-AU"/>
              </w:rPr>
              <w:t>Mean satisfaction (0-10 scale)</w:t>
            </w:r>
          </w:p>
        </w:tc>
        <w:tc>
          <w:tcPr>
            <w:tcW w:w="847"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center"/>
              <w:rPr>
                <w:rFonts w:cs="Calibri"/>
                <w:color w:val="000000"/>
                <w:sz w:val="16"/>
              </w:rPr>
            </w:pPr>
          </w:p>
        </w:tc>
        <w:tc>
          <w:tcPr>
            <w:tcW w:w="1134"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center"/>
              <w:rPr>
                <w:rFonts w:cs="Calibri"/>
                <w:color w:val="000000"/>
                <w:sz w:val="16"/>
              </w:rPr>
            </w:pPr>
          </w:p>
        </w:tc>
        <w:tc>
          <w:tcPr>
            <w:tcW w:w="236" w:type="dxa"/>
            <w:tcBorders>
              <w:top w:val="single" w:sz="4" w:space="0" w:color="auto"/>
              <w:left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center"/>
              <w:rPr>
                <w:rFonts w:cs="Calibri"/>
                <w:color w:val="000000"/>
                <w:sz w:val="16"/>
              </w:rPr>
            </w:pPr>
          </w:p>
        </w:tc>
        <w:tc>
          <w:tcPr>
            <w:tcW w:w="1223"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center"/>
              <w:rPr>
                <w:rFonts w:cs="Calibri"/>
                <w:color w:val="000000"/>
                <w:sz w:val="16"/>
              </w:rPr>
            </w:pPr>
          </w:p>
        </w:tc>
        <w:tc>
          <w:tcPr>
            <w:tcW w:w="236" w:type="dxa"/>
            <w:tcBorders>
              <w:top w:val="single" w:sz="4" w:space="0" w:color="auto"/>
              <w:left w:val="nil"/>
              <w:right w:val="nil"/>
            </w:tcBorders>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single" w:sz="4" w:space="0" w:color="auto"/>
              <w:left w:val="nil"/>
              <w:right w:val="nil"/>
            </w:tcBorders>
            <w:shd w:val="clear" w:color="auto" w:fill="auto"/>
            <w:noWrap/>
            <w:vAlign w:val="bottom"/>
          </w:tcPr>
          <w:p w:rsidR="00A079D2" w:rsidRPr="00E836FB" w:rsidRDefault="00A079D2" w:rsidP="00456860">
            <w:pPr>
              <w:spacing w:before="60" w:after="60" w:line="240" w:lineRule="auto"/>
              <w:jc w:val="right"/>
              <w:rPr>
                <w:rFonts w:cs="Calibri"/>
                <w:color w:val="000000"/>
                <w:sz w:val="16"/>
              </w:rPr>
            </w:pPr>
          </w:p>
        </w:tc>
      </w:tr>
      <w:tr w:rsidR="00A079D2" w:rsidRPr="00E836FB" w:rsidTr="00456860">
        <w:trPr>
          <w:trHeight w:val="290"/>
        </w:trPr>
        <w:tc>
          <w:tcPr>
            <w:tcW w:w="2981" w:type="dxa"/>
            <w:tcBorders>
              <w:left w:val="nil"/>
              <w:bottom w:val="nil"/>
              <w:right w:val="nil"/>
            </w:tcBorders>
            <w:shd w:val="clear" w:color="auto" w:fill="auto"/>
            <w:noWrap/>
            <w:vAlign w:val="bottom"/>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Life overall</w:t>
            </w:r>
          </w:p>
        </w:tc>
        <w:tc>
          <w:tcPr>
            <w:tcW w:w="847" w:type="dxa"/>
            <w:tcBorders>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7.68</w:t>
            </w:r>
          </w:p>
        </w:tc>
        <w:tc>
          <w:tcPr>
            <w:tcW w:w="1134" w:type="dxa"/>
            <w:tcBorders>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(7.43—7.93)</w:t>
            </w:r>
          </w:p>
        </w:tc>
        <w:tc>
          <w:tcPr>
            <w:tcW w:w="236" w:type="dxa"/>
            <w:tcBorders>
              <w:left w:val="nil"/>
              <w:bottom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7.82</w:t>
            </w:r>
          </w:p>
        </w:tc>
        <w:tc>
          <w:tcPr>
            <w:tcW w:w="1223" w:type="dxa"/>
            <w:tcBorders>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(7.74—7.90)</w:t>
            </w:r>
          </w:p>
        </w:tc>
        <w:tc>
          <w:tcPr>
            <w:tcW w:w="236" w:type="dxa"/>
            <w:tcBorders>
              <w:left w:val="nil"/>
              <w:bottom w:val="nil"/>
              <w:right w:val="nil"/>
            </w:tcBorders>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left w:val="nil"/>
              <w:bottom w:val="nil"/>
              <w:right w:val="nil"/>
            </w:tcBorders>
            <w:shd w:val="clear" w:color="auto" w:fill="auto"/>
            <w:noWrap/>
            <w:vAlign w:val="bottom"/>
          </w:tcPr>
          <w:p w:rsidR="00A079D2" w:rsidRPr="00E836FB" w:rsidRDefault="00A079D2" w:rsidP="00456860">
            <w:pPr>
              <w:spacing w:before="60" w:after="60" w:line="240" w:lineRule="auto"/>
              <w:jc w:val="right"/>
              <w:rPr>
                <w:rFonts w:eastAsia="Times New Roman" w:cs="Calibri"/>
                <w:color w:val="000000"/>
                <w:sz w:val="16"/>
                <w:szCs w:val="16"/>
                <w:lang w:eastAsia="en-AU"/>
              </w:rPr>
            </w:pPr>
            <w:r w:rsidRPr="00E836FB">
              <w:rPr>
                <w:rFonts w:cs="Calibri"/>
                <w:color w:val="000000"/>
                <w:sz w:val="16"/>
              </w:rPr>
              <w:t>0.341</w:t>
            </w:r>
          </w:p>
        </w:tc>
      </w:tr>
      <w:tr w:rsidR="00A079D2" w:rsidRPr="00E836FB" w:rsidTr="00456860">
        <w:trPr>
          <w:trHeight w:val="290"/>
        </w:trPr>
        <w:tc>
          <w:tcPr>
            <w:tcW w:w="2981"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Home**</w:t>
            </w:r>
          </w:p>
        </w:tc>
        <w:tc>
          <w:tcPr>
            <w:tcW w:w="847"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7.69</w:t>
            </w:r>
          </w:p>
        </w:tc>
        <w:tc>
          <w:tcPr>
            <w:tcW w:w="1134"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(7.40—7.99)</w:t>
            </w:r>
          </w:p>
        </w:tc>
        <w:tc>
          <w:tcPr>
            <w:tcW w:w="236" w:type="dxa"/>
            <w:tcBorders>
              <w:top w:val="nil"/>
              <w:left w:val="nil"/>
              <w:bottom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8.20</w:t>
            </w:r>
          </w:p>
        </w:tc>
        <w:tc>
          <w:tcPr>
            <w:tcW w:w="1223"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(8.11—8.29)</w:t>
            </w:r>
          </w:p>
        </w:tc>
        <w:tc>
          <w:tcPr>
            <w:tcW w:w="236" w:type="dxa"/>
            <w:tcBorders>
              <w:top w:val="nil"/>
              <w:left w:val="nil"/>
              <w:bottom w:val="nil"/>
              <w:right w:val="nil"/>
            </w:tcBorders>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right"/>
              <w:rPr>
                <w:rFonts w:eastAsia="Times New Roman" w:cs="Calibri"/>
                <w:color w:val="000000"/>
                <w:sz w:val="16"/>
                <w:szCs w:val="16"/>
                <w:lang w:eastAsia="en-AU"/>
              </w:rPr>
            </w:pPr>
            <w:r w:rsidRPr="00E836FB">
              <w:rPr>
                <w:rFonts w:cs="Calibri"/>
                <w:color w:val="000000"/>
                <w:sz w:val="16"/>
              </w:rPr>
              <w:t>0.001</w:t>
            </w:r>
          </w:p>
        </w:tc>
      </w:tr>
      <w:tr w:rsidR="00A079D2" w:rsidRPr="00E836FB" w:rsidTr="00456860">
        <w:trPr>
          <w:trHeight w:val="290"/>
        </w:trPr>
        <w:tc>
          <w:tcPr>
            <w:tcW w:w="2981"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Feeling part of local community*</w:t>
            </w:r>
          </w:p>
        </w:tc>
        <w:tc>
          <w:tcPr>
            <w:tcW w:w="847"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5.97</w:t>
            </w:r>
          </w:p>
        </w:tc>
        <w:tc>
          <w:tcPr>
            <w:tcW w:w="1134"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(5.55—6.39)</w:t>
            </w:r>
          </w:p>
        </w:tc>
        <w:tc>
          <w:tcPr>
            <w:tcW w:w="236" w:type="dxa"/>
            <w:tcBorders>
              <w:top w:val="nil"/>
              <w:left w:val="nil"/>
              <w:bottom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6.50</w:t>
            </w:r>
          </w:p>
        </w:tc>
        <w:tc>
          <w:tcPr>
            <w:tcW w:w="1223"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(6.36—6.64)</w:t>
            </w:r>
          </w:p>
        </w:tc>
        <w:tc>
          <w:tcPr>
            <w:tcW w:w="236" w:type="dxa"/>
            <w:tcBorders>
              <w:top w:val="nil"/>
              <w:left w:val="nil"/>
              <w:bottom w:val="nil"/>
              <w:right w:val="nil"/>
            </w:tcBorders>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right"/>
              <w:rPr>
                <w:rFonts w:eastAsia="Times New Roman" w:cs="Calibri"/>
                <w:color w:val="000000"/>
                <w:sz w:val="16"/>
                <w:szCs w:val="16"/>
                <w:lang w:eastAsia="en-AU"/>
              </w:rPr>
            </w:pPr>
            <w:r w:rsidRPr="00E836FB">
              <w:rPr>
                <w:rFonts w:cs="Calibri"/>
                <w:color w:val="000000"/>
                <w:sz w:val="16"/>
              </w:rPr>
              <w:t>0.017</w:t>
            </w:r>
          </w:p>
        </w:tc>
      </w:tr>
      <w:tr w:rsidR="00A079D2" w:rsidRPr="00E836FB" w:rsidTr="00456860">
        <w:trPr>
          <w:trHeight w:val="290"/>
        </w:trPr>
        <w:tc>
          <w:tcPr>
            <w:tcW w:w="2981"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How safe feel*</w:t>
            </w:r>
          </w:p>
        </w:tc>
        <w:tc>
          <w:tcPr>
            <w:tcW w:w="847"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8.22</w:t>
            </w:r>
          </w:p>
        </w:tc>
        <w:tc>
          <w:tcPr>
            <w:tcW w:w="1134"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(7.95—8.48)</w:t>
            </w:r>
          </w:p>
        </w:tc>
        <w:tc>
          <w:tcPr>
            <w:tcW w:w="236" w:type="dxa"/>
            <w:tcBorders>
              <w:top w:val="nil"/>
              <w:left w:val="nil"/>
              <w:bottom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8.49</w:t>
            </w:r>
          </w:p>
        </w:tc>
        <w:tc>
          <w:tcPr>
            <w:tcW w:w="1223"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(8.40—8.58)</w:t>
            </w:r>
          </w:p>
        </w:tc>
        <w:tc>
          <w:tcPr>
            <w:tcW w:w="236" w:type="dxa"/>
            <w:tcBorders>
              <w:top w:val="nil"/>
              <w:left w:val="nil"/>
              <w:bottom w:val="nil"/>
              <w:right w:val="nil"/>
            </w:tcBorders>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nil"/>
              <w:left w:val="nil"/>
              <w:bottom w:val="nil"/>
              <w:right w:val="nil"/>
            </w:tcBorders>
            <w:shd w:val="clear" w:color="auto" w:fill="auto"/>
            <w:noWrap/>
            <w:vAlign w:val="bottom"/>
          </w:tcPr>
          <w:p w:rsidR="00A079D2" w:rsidRPr="00E836FB" w:rsidRDefault="00A079D2" w:rsidP="00456860">
            <w:pPr>
              <w:spacing w:before="60" w:after="60" w:line="240" w:lineRule="auto"/>
              <w:jc w:val="right"/>
              <w:rPr>
                <w:rFonts w:eastAsia="Times New Roman" w:cs="Calibri"/>
                <w:color w:val="000000"/>
                <w:sz w:val="16"/>
                <w:szCs w:val="16"/>
                <w:lang w:eastAsia="en-AU"/>
              </w:rPr>
            </w:pPr>
            <w:r w:rsidRPr="00E836FB">
              <w:rPr>
                <w:rFonts w:cs="Calibri"/>
                <w:color w:val="000000"/>
                <w:sz w:val="16"/>
              </w:rPr>
              <w:t>0.042</w:t>
            </w:r>
          </w:p>
        </w:tc>
      </w:tr>
      <w:tr w:rsidR="00A079D2" w:rsidRPr="00E836FB" w:rsidTr="00456860">
        <w:trPr>
          <w:trHeight w:val="290"/>
        </w:trPr>
        <w:tc>
          <w:tcPr>
            <w:tcW w:w="2981" w:type="dxa"/>
            <w:tcBorders>
              <w:top w:val="nil"/>
              <w:left w:val="nil"/>
              <w:right w:val="nil"/>
            </w:tcBorders>
            <w:shd w:val="clear" w:color="auto" w:fill="auto"/>
            <w:noWrap/>
            <w:vAlign w:val="bottom"/>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Neighbourhood*</w:t>
            </w:r>
          </w:p>
        </w:tc>
        <w:tc>
          <w:tcPr>
            <w:tcW w:w="847" w:type="dxa"/>
            <w:tcBorders>
              <w:top w:val="nil"/>
              <w:left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7.66</w:t>
            </w:r>
          </w:p>
        </w:tc>
        <w:tc>
          <w:tcPr>
            <w:tcW w:w="1134" w:type="dxa"/>
            <w:tcBorders>
              <w:top w:val="nil"/>
              <w:left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(7.38—7.93)</w:t>
            </w:r>
          </w:p>
        </w:tc>
        <w:tc>
          <w:tcPr>
            <w:tcW w:w="236" w:type="dxa"/>
            <w:tcBorders>
              <w:top w:val="nil"/>
              <w:left w:val="nil"/>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nil"/>
              <w:left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8.00</w:t>
            </w:r>
          </w:p>
        </w:tc>
        <w:tc>
          <w:tcPr>
            <w:tcW w:w="1223" w:type="dxa"/>
            <w:tcBorders>
              <w:top w:val="nil"/>
              <w:left w:val="nil"/>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(7.88—8.07)</w:t>
            </w:r>
          </w:p>
        </w:tc>
        <w:tc>
          <w:tcPr>
            <w:tcW w:w="236" w:type="dxa"/>
            <w:tcBorders>
              <w:top w:val="nil"/>
              <w:left w:val="nil"/>
              <w:right w:val="nil"/>
            </w:tcBorders>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nil"/>
              <w:left w:val="nil"/>
              <w:right w:val="nil"/>
            </w:tcBorders>
            <w:shd w:val="clear" w:color="auto" w:fill="auto"/>
            <w:noWrap/>
            <w:vAlign w:val="bottom"/>
          </w:tcPr>
          <w:p w:rsidR="00A079D2" w:rsidRPr="00E836FB" w:rsidRDefault="00A079D2" w:rsidP="00456860">
            <w:pPr>
              <w:spacing w:before="60" w:after="60" w:line="240" w:lineRule="auto"/>
              <w:jc w:val="right"/>
              <w:rPr>
                <w:rFonts w:eastAsia="Times New Roman" w:cs="Calibri"/>
                <w:color w:val="000000"/>
                <w:sz w:val="16"/>
                <w:szCs w:val="16"/>
                <w:lang w:eastAsia="en-AU"/>
              </w:rPr>
            </w:pPr>
            <w:r w:rsidRPr="00E836FB">
              <w:rPr>
                <w:rFonts w:cs="Calibri"/>
                <w:color w:val="000000"/>
                <w:sz w:val="16"/>
              </w:rPr>
              <w:t>0.03</w:t>
            </w:r>
            <w:r>
              <w:rPr>
                <w:rFonts w:cs="Calibri"/>
                <w:color w:val="000000"/>
                <w:sz w:val="16"/>
              </w:rPr>
              <w:t>1</w:t>
            </w:r>
          </w:p>
        </w:tc>
      </w:tr>
      <w:tr w:rsidR="00A079D2" w:rsidRPr="00E836FB" w:rsidTr="00456860">
        <w:trPr>
          <w:trHeight w:val="290"/>
        </w:trPr>
        <w:tc>
          <w:tcPr>
            <w:tcW w:w="2981" w:type="dxa"/>
            <w:tcBorders>
              <w:top w:val="nil"/>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rPr>
                <w:rFonts w:eastAsia="Times New Roman" w:cs="Calibri"/>
                <w:color w:val="000000"/>
                <w:sz w:val="16"/>
                <w:szCs w:val="16"/>
                <w:lang w:eastAsia="en-AU"/>
              </w:rPr>
            </w:pPr>
            <w:r w:rsidRPr="00E836FB">
              <w:rPr>
                <w:rFonts w:eastAsia="Times New Roman" w:cs="Calibri"/>
                <w:color w:val="000000"/>
                <w:sz w:val="16"/>
                <w:szCs w:val="16"/>
                <w:lang w:eastAsia="en-AU"/>
              </w:rPr>
              <w:t>Health*</w:t>
            </w:r>
          </w:p>
        </w:tc>
        <w:tc>
          <w:tcPr>
            <w:tcW w:w="847" w:type="dxa"/>
            <w:tcBorders>
              <w:top w:val="nil"/>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7.06</w:t>
            </w:r>
          </w:p>
        </w:tc>
        <w:tc>
          <w:tcPr>
            <w:tcW w:w="1134" w:type="dxa"/>
            <w:tcBorders>
              <w:top w:val="nil"/>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(6.73—7.39)</w:t>
            </w:r>
          </w:p>
        </w:tc>
        <w:tc>
          <w:tcPr>
            <w:tcW w:w="236" w:type="dxa"/>
            <w:tcBorders>
              <w:top w:val="nil"/>
              <w:left w:val="nil"/>
              <w:bottom w:val="single" w:sz="4" w:space="0" w:color="auto"/>
              <w:right w:val="nil"/>
            </w:tcBorders>
          </w:tcPr>
          <w:p w:rsidR="00A079D2" w:rsidRPr="00E836FB" w:rsidRDefault="00A079D2" w:rsidP="00456860">
            <w:pPr>
              <w:spacing w:before="60" w:after="60" w:line="240" w:lineRule="auto"/>
              <w:jc w:val="center"/>
              <w:rPr>
                <w:rFonts w:eastAsia="Times New Roman" w:cs="Calibri"/>
                <w:color w:val="000000"/>
                <w:sz w:val="16"/>
                <w:szCs w:val="16"/>
                <w:lang w:eastAsia="en-AU"/>
              </w:rPr>
            </w:pPr>
          </w:p>
        </w:tc>
        <w:tc>
          <w:tcPr>
            <w:tcW w:w="892" w:type="dxa"/>
            <w:tcBorders>
              <w:top w:val="nil"/>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7.44</w:t>
            </w:r>
          </w:p>
        </w:tc>
        <w:tc>
          <w:tcPr>
            <w:tcW w:w="1223" w:type="dxa"/>
            <w:tcBorders>
              <w:top w:val="nil"/>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jc w:val="center"/>
              <w:rPr>
                <w:rFonts w:eastAsia="Times New Roman" w:cs="Calibri"/>
                <w:color w:val="000000"/>
                <w:sz w:val="16"/>
                <w:szCs w:val="16"/>
                <w:lang w:eastAsia="en-AU"/>
              </w:rPr>
            </w:pPr>
            <w:r w:rsidRPr="00E836FB">
              <w:rPr>
                <w:rFonts w:cs="Calibri"/>
                <w:color w:val="000000"/>
                <w:sz w:val="16"/>
              </w:rPr>
              <w:t>(7.33—7.54)</w:t>
            </w:r>
          </w:p>
        </w:tc>
        <w:tc>
          <w:tcPr>
            <w:tcW w:w="236" w:type="dxa"/>
            <w:tcBorders>
              <w:top w:val="nil"/>
              <w:left w:val="nil"/>
              <w:bottom w:val="single" w:sz="4" w:space="0" w:color="auto"/>
              <w:right w:val="nil"/>
            </w:tcBorders>
          </w:tcPr>
          <w:p w:rsidR="00A079D2" w:rsidRPr="00E836FB" w:rsidRDefault="00A079D2" w:rsidP="00456860">
            <w:pPr>
              <w:spacing w:before="60" w:after="60" w:line="240" w:lineRule="auto"/>
              <w:jc w:val="right"/>
              <w:rPr>
                <w:rFonts w:eastAsia="Times New Roman" w:cs="Calibri"/>
                <w:color w:val="000000"/>
                <w:sz w:val="16"/>
                <w:szCs w:val="16"/>
                <w:lang w:eastAsia="en-AU"/>
              </w:rPr>
            </w:pPr>
          </w:p>
        </w:tc>
        <w:tc>
          <w:tcPr>
            <w:tcW w:w="756" w:type="dxa"/>
            <w:tcBorders>
              <w:top w:val="nil"/>
              <w:left w:val="nil"/>
              <w:bottom w:val="single" w:sz="4" w:space="0" w:color="auto"/>
              <w:right w:val="nil"/>
            </w:tcBorders>
            <w:shd w:val="clear" w:color="auto" w:fill="auto"/>
            <w:noWrap/>
            <w:vAlign w:val="bottom"/>
          </w:tcPr>
          <w:p w:rsidR="00A079D2" w:rsidRPr="00E836FB" w:rsidRDefault="00A079D2" w:rsidP="00456860">
            <w:pPr>
              <w:spacing w:before="60" w:after="60" w:line="240" w:lineRule="auto"/>
              <w:jc w:val="right"/>
              <w:rPr>
                <w:rFonts w:eastAsia="Times New Roman" w:cs="Calibri"/>
                <w:color w:val="000000"/>
                <w:sz w:val="16"/>
                <w:szCs w:val="16"/>
                <w:lang w:eastAsia="en-AU"/>
              </w:rPr>
            </w:pPr>
            <w:r w:rsidRPr="00E836FB">
              <w:rPr>
                <w:rFonts w:cs="Calibri"/>
                <w:color w:val="000000"/>
                <w:sz w:val="16"/>
              </w:rPr>
              <w:t>0.03</w:t>
            </w:r>
            <w:r>
              <w:rPr>
                <w:rFonts w:cs="Calibri"/>
                <w:color w:val="000000"/>
                <w:sz w:val="16"/>
              </w:rPr>
              <w:t>4</w:t>
            </w:r>
          </w:p>
        </w:tc>
      </w:tr>
    </w:tbl>
    <w:p w:rsidR="00A079D2" w:rsidRPr="00E836FB" w:rsidRDefault="00A079D2" w:rsidP="00456860">
      <w:pPr>
        <w:spacing w:after="0"/>
        <w:rPr>
          <w:sz w:val="16"/>
        </w:rPr>
      </w:pPr>
      <w:r w:rsidRPr="00E836FB">
        <w:rPr>
          <w:sz w:val="16"/>
        </w:rPr>
        <w:t>* significant at 95% level of confidence</w:t>
      </w:r>
    </w:p>
    <w:p w:rsidR="00A079D2" w:rsidRPr="00E836FB" w:rsidRDefault="00A079D2" w:rsidP="00456860">
      <w:r w:rsidRPr="00E836FB">
        <w:rPr>
          <w:sz w:val="16"/>
        </w:rPr>
        <w:t>** significant at 99% level of confidence</w:t>
      </w:r>
    </w:p>
    <w:p w:rsidR="00A079D2" w:rsidRPr="00E836FB" w:rsidRDefault="00A079D2" w:rsidP="00456860">
      <w:r w:rsidRPr="00E836FB">
        <w:t xml:space="preserve">In summary, this preliminary cross-sectional analysis of 2021 data suggests that moving for any reason has an initial impact on satisfaction with feeling part of your community. For younger people, moving has no measurable impact on other domains of satisfaction analysed. However, for older people, moving appears to be associated with greater adverse impacts on life satisfaction than for the rest of the population. For people of all ages, moves that are not by choice also adversely impact life satisfaction. </w:t>
      </w:r>
    </w:p>
    <w:p w:rsidR="00A079D2" w:rsidRPr="00E836FB" w:rsidRDefault="00A079D2" w:rsidP="00456860">
      <w:r w:rsidRPr="00E836FB">
        <w:t>It is reasonable to conclude that for older Tasmanians, reducing the frequency of moving, uncertainty about moving and unforced moves will have a positive and significant impact on wellbeing at the population level.</w:t>
      </w:r>
    </w:p>
    <w:p w:rsidR="00A079D2" w:rsidRDefault="00A079D2" w:rsidP="00456860"/>
    <w:p w:rsidR="00A079D2" w:rsidRPr="00E836FB" w:rsidRDefault="00A079D2" w:rsidP="00456860">
      <w:pPr>
        <w:pStyle w:val="Heading3"/>
      </w:pPr>
      <w:bookmarkStart w:id="95" w:name="_Toc166757758"/>
      <w:r w:rsidRPr="00E836FB">
        <w:lastRenderedPageBreak/>
        <w:t>Social functioning</w:t>
      </w:r>
      <w:bookmarkEnd w:id="95"/>
    </w:p>
    <w:p w:rsidR="00A079D2" w:rsidRPr="00E836FB" w:rsidRDefault="00A079D2" w:rsidP="00456860">
      <w:r w:rsidRPr="00E836FB">
        <w:t xml:space="preserve">Social functioning was explored using the categorical variable ‘Physical/emotional problems interfered with social activities’ (5 category scale ’none of the time’ to ’all of the time’). Preliminary analysis of the relationship between life satisfaction and social functioning suggests that mean satisfaction across the selected domains </w:t>
      </w:r>
      <w:r>
        <w:t>—</w:t>
      </w:r>
      <w:r w:rsidRPr="00E836FB">
        <w:t xml:space="preserve"> life overall, home, feeling part of your local community, how safe you feel, the neighbourhood, your health </w:t>
      </w:r>
      <w:r>
        <w:t>—</w:t>
      </w:r>
      <w:r w:rsidRPr="00E836FB">
        <w:t xml:space="preserve"> generally declines as social functioning decreases</w:t>
      </w:r>
      <w:r>
        <w:t>.</w:t>
      </w:r>
    </w:p>
    <w:p w:rsidR="00A079D2" w:rsidRDefault="00A079D2" w:rsidP="00456860">
      <w:r w:rsidRPr="00E836FB">
        <w:t xml:space="preserve">The relationship between social functioning and tenure type was also examined. Physical/emotional problems were more likely to interfere with social activities at some level for people renting and people living rent-free in the 2021 sample (see </w:t>
      </w:r>
      <w:r>
        <w:t>Figure 16).</w:t>
      </w:r>
    </w:p>
    <w:p w:rsidR="00631B11" w:rsidRPr="00E836FB" w:rsidRDefault="00631B11" w:rsidP="00456860">
      <w:r>
        <w:t>The</w:t>
      </w:r>
      <w:r w:rsidRPr="00E836FB">
        <w:t xml:space="preserve"> relationship between social functioning and tenure</w:t>
      </w:r>
      <w:r>
        <w:t xml:space="preserve"> is likely to be complex with a range of factors that are correlated </w:t>
      </w:r>
      <w:r w:rsidRPr="00E836FB">
        <w:t>with tenure, including incom</w:t>
      </w:r>
      <w:r>
        <w:t xml:space="preserve">e. </w:t>
      </w:r>
    </w:p>
    <w:p w:rsidR="00A079D2" w:rsidRPr="00E836FB" w:rsidRDefault="00A079D2" w:rsidP="00456860">
      <w:pPr>
        <w:spacing w:after="0" w:line="240" w:lineRule="auto"/>
      </w:pPr>
    </w:p>
    <w:p w:rsidR="00A079D2" w:rsidRPr="00E836FB" w:rsidRDefault="00A079D2" w:rsidP="00456860">
      <w:pPr>
        <w:spacing w:after="0" w:line="240" w:lineRule="auto"/>
      </w:pPr>
      <w:r w:rsidRPr="00E836FB">
        <w:rPr>
          <w:noProof/>
        </w:rPr>
        <mc:AlternateContent>
          <mc:Choice Requires="wps">
            <w:drawing>
              <wp:anchor distT="0" distB="0" distL="114300" distR="114300" simplePos="0" relativeHeight="251665408" behindDoc="0" locked="0" layoutInCell="1" allowOverlap="1" wp14:anchorId="40E628D4" wp14:editId="5ACBDCBE">
                <wp:simplePos x="0" y="0"/>
                <wp:positionH relativeFrom="margin">
                  <wp:posOffset>4352842</wp:posOffset>
                </wp:positionH>
                <wp:positionV relativeFrom="paragraph">
                  <wp:posOffset>7951</wp:posOffset>
                </wp:positionV>
                <wp:extent cx="1343660" cy="911750"/>
                <wp:effectExtent l="0" t="0" r="0" b="3175"/>
                <wp:wrapNone/>
                <wp:docPr id="31" name="Text Box 31"/>
                <wp:cNvGraphicFramePr/>
                <a:graphic xmlns:a="http://schemas.openxmlformats.org/drawingml/2006/main">
                  <a:graphicData uri="http://schemas.microsoft.com/office/word/2010/wordprocessingShape">
                    <wps:wsp>
                      <wps:cNvSpPr txBox="1"/>
                      <wps:spPr>
                        <a:xfrm>
                          <a:off x="0" y="0"/>
                          <a:ext cx="1343660" cy="911750"/>
                        </a:xfrm>
                        <a:prstGeom prst="rect">
                          <a:avLst/>
                        </a:prstGeom>
                        <a:noFill/>
                        <a:ln w="6350">
                          <a:noFill/>
                        </a:ln>
                      </wps:spPr>
                      <wps:txbx>
                        <w:txbxContent>
                          <w:p w:rsidR="004D1C0F" w:rsidRPr="003A3705" w:rsidRDefault="004D1C0F" w:rsidP="00456860">
                            <w:pPr>
                              <w:rPr>
                                <w:color w:val="595959" w:themeColor="text1" w:themeTint="A6"/>
                                <w:sz w:val="20"/>
                              </w:rPr>
                            </w:pPr>
                            <w:r w:rsidRPr="003A3705">
                              <w:rPr>
                                <w:color w:val="595959" w:themeColor="text1" w:themeTint="A6"/>
                                <w:sz w:val="20"/>
                              </w:rPr>
                              <w:t>Physical/emotional problems interfered with social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628D4" id="_x0000_t202" coordsize="21600,21600" o:spt="202" path="m,l,21600r21600,l21600,xe">
                <v:stroke joinstyle="miter"/>
                <v:path gradientshapeok="t" o:connecttype="rect"/>
              </v:shapetype>
              <v:shape id="Text Box 31" o:spid="_x0000_s1026" type="#_x0000_t202" style="position:absolute;margin-left:342.75pt;margin-top:.65pt;width:105.8pt;height:71.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" filled="f" stroked="f" strokeweight=".5pt">
                <v:textbox>
                  <w:txbxContent>
                    <w:p w:rsidR="004D1C0F" w:rsidRPr="003A3705" w:rsidRDefault="004D1C0F" w:rsidP="00456860">
                      <w:pPr>
                        <w:rPr>
                          <w:color w:val="595959" w:themeColor="text1" w:themeTint="A6"/>
                          <w:sz w:val="20"/>
                        </w:rPr>
                      </w:pPr>
                      <w:r w:rsidRPr="003A3705">
                        <w:rPr>
                          <w:color w:val="595959" w:themeColor="text1" w:themeTint="A6"/>
                          <w:sz w:val="20"/>
                        </w:rPr>
                        <w:t>Physical/emotional problems interfered with social activities:</w:t>
                      </w:r>
                    </w:p>
                  </w:txbxContent>
                </v:textbox>
                <w10:wrap anchorx="margin"/>
              </v:shape>
            </w:pict>
          </mc:Fallback>
        </mc:AlternateContent>
      </w:r>
      <w:r w:rsidRPr="00E836FB">
        <w:rPr>
          <w:noProof/>
        </w:rPr>
        <w:drawing>
          <wp:inline distT="0" distB="0" distL="0" distR="0" wp14:anchorId="535F025B" wp14:editId="7EEA4F3F">
            <wp:extent cx="5731510" cy="2764155"/>
            <wp:effectExtent l="0" t="0" r="2540" b="0"/>
            <wp:docPr id="35" name="Chart 35" descr="Column graph">
              <a:extLst xmlns:a="http://schemas.openxmlformats.org/drawingml/2006/main">
                <a:ext uri="{FF2B5EF4-FFF2-40B4-BE49-F238E27FC236}">
                  <a16:creationId xmlns:a16="http://schemas.microsoft.com/office/drawing/2014/main" id="{675512C5-6BB0-4471-BB08-0AFA423CE9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079D2" w:rsidRPr="00E836FB" w:rsidRDefault="00A079D2" w:rsidP="00456860">
      <w:pPr>
        <w:pStyle w:val="Captions"/>
      </w:pPr>
      <w:r w:rsidRPr="00E836FB">
        <w:t>Figure 16: Proportion of respondents in each tenure category reporting ‘</w:t>
      </w:r>
      <w:r w:rsidRPr="00E7409F">
        <w:t>physical</w:t>
      </w:r>
      <w:r w:rsidRPr="00E836FB">
        <w:t>/emotional problems interfered with social activities’ on a 5-category scale</w:t>
      </w:r>
      <w:r>
        <w:t xml:space="preserve"> </w:t>
      </w:r>
      <w:r w:rsidRPr="00E836FB">
        <w:t>– age cohort of interest, 2021, HILDA.</w:t>
      </w:r>
    </w:p>
    <w:p w:rsidR="00A079D2" w:rsidRDefault="00A079D2">
      <w:pPr>
        <w:spacing w:line="259" w:lineRule="auto"/>
      </w:pPr>
      <w:r>
        <w:br w:type="page"/>
      </w:r>
    </w:p>
    <w:p w:rsidR="00A079D2" w:rsidRPr="00E836FB" w:rsidRDefault="00A079D2" w:rsidP="00456860">
      <w:pPr>
        <w:pStyle w:val="Heading1"/>
        <w:rPr>
          <w:lang w:eastAsia="en-AU"/>
        </w:rPr>
      </w:pPr>
      <w:bookmarkStart w:id="96" w:name="_Toc166757759"/>
      <w:bookmarkStart w:id="97" w:name="_Hlk152914022"/>
      <w:bookmarkEnd w:id="52"/>
      <w:r w:rsidRPr="00E836FB">
        <w:rPr>
          <w:lang w:eastAsia="en-AU"/>
        </w:rPr>
        <w:lastRenderedPageBreak/>
        <w:t>Final comments</w:t>
      </w:r>
      <w:bookmarkEnd w:id="96"/>
    </w:p>
    <w:p w:rsidR="00A079D2" w:rsidRPr="00E836FB" w:rsidRDefault="00A079D2" w:rsidP="00456860">
      <w:pPr>
        <w:spacing w:after="120"/>
      </w:pPr>
      <w:r w:rsidRPr="00E836FB">
        <w:t xml:space="preserve">The Council on </w:t>
      </w:r>
      <w:r>
        <w:t>t</w:t>
      </w:r>
      <w:r w:rsidRPr="00E836FB">
        <w:t xml:space="preserve">he Ageing’s </w:t>
      </w:r>
      <w:r w:rsidRPr="00E836FB">
        <w:rPr>
          <w:i/>
        </w:rPr>
        <w:t xml:space="preserve">State of </w:t>
      </w:r>
      <w:r w:rsidRPr="00184F01">
        <w:rPr>
          <w:i/>
        </w:rPr>
        <w:t>the Older Nation</w:t>
      </w:r>
      <w:r w:rsidRPr="00184F01">
        <w:t xml:space="preserve"> report </w:t>
      </w:r>
      <w:r>
        <w:rPr>
          <w:noProof/>
        </w:rPr>
        <w:t>(Polidoras et al. 2023)</w:t>
      </w:r>
      <w:r w:rsidRPr="00184F01">
        <w:t xml:space="preserve"> found that more than half of older Tasmanians say their lives are getting worse and that housing, health and cost of living were driving this pessimism. When a phenomenon is as widespread as the housing insecurity affecting older people, it is no longer a personal trouble but a public issue, requiring public solutions.</w:t>
      </w:r>
      <w:r w:rsidRPr="00E836FB">
        <w:t xml:space="preserve"> </w:t>
      </w:r>
    </w:p>
    <w:p w:rsidR="00A079D2" w:rsidRPr="00E836FB" w:rsidRDefault="00A079D2" w:rsidP="00456860">
      <w:pPr>
        <w:spacing w:after="120"/>
        <w:rPr>
          <w:lang w:eastAsia="en-AU"/>
        </w:rPr>
      </w:pPr>
      <w:r w:rsidRPr="00E836FB">
        <w:rPr>
          <w:lang w:eastAsia="en-AU"/>
        </w:rPr>
        <w:t xml:space="preserve">Security, safety, respectful treatment and a sense that they can be their complete selves matter to older Tasmanians. </w:t>
      </w:r>
      <w:r w:rsidRPr="00E836FB">
        <w:t xml:space="preserve">For those who contributed their stories through a walking interview, an end to housing insecurity had brought a sense of peace and safety and an opportunity to re-establish self. But for too many older Tasmanians, this remains out of reach. This particularly affects Aboriginal Tasmanians and older men, though it appears that the housing insecurity of older women may be ‘hidden’ by their relationships with family. </w:t>
      </w:r>
    </w:p>
    <w:p w:rsidR="00A079D2" w:rsidRPr="00E836FB" w:rsidRDefault="00A079D2" w:rsidP="00456860">
      <w:pPr>
        <w:spacing w:after="120"/>
      </w:pPr>
      <w:r w:rsidRPr="00E836FB">
        <w:t xml:space="preserve">Older people want to feel that they are part of something, whether it is a close relationship, a local community, cultural or religious group. This sustains people even when their housing circumstances are poor. Reducing the frequency of moving, uncertainty about moving and forced moves </w:t>
      </w:r>
      <w:r>
        <w:t>are</w:t>
      </w:r>
      <w:r w:rsidRPr="00E836FB">
        <w:t xml:space="preserve"> also important to maintaining wellbeing in older age. </w:t>
      </w:r>
    </w:p>
    <w:p w:rsidR="00A079D2" w:rsidRPr="00E836FB" w:rsidRDefault="00A079D2" w:rsidP="00456860">
      <w:pPr>
        <w:spacing w:after="120"/>
      </w:pPr>
      <w:r w:rsidRPr="00E836FB">
        <w:t>This means that private, community and social housing needs to be accessible</w:t>
      </w:r>
      <w:r>
        <w:t xml:space="preserve"> </w:t>
      </w:r>
      <w:r w:rsidRPr="00E836FB">
        <w:t>—</w:t>
      </w:r>
      <w:r>
        <w:t xml:space="preserve"> </w:t>
      </w:r>
      <w:r w:rsidRPr="00E836FB">
        <w:t>with affordable transport, shopping, and medical services within reach</w:t>
      </w:r>
      <w:r>
        <w:t xml:space="preserve"> </w:t>
      </w:r>
      <w:r w:rsidRPr="00E836FB">
        <w:t>—</w:t>
      </w:r>
      <w:r>
        <w:t xml:space="preserve"> </w:t>
      </w:r>
      <w:r w:rsidRPr="00E836FB">
        <w:t xml:space="preserve">so that people can remain where they have community and safety into older and oldest age. </w:t>
      </w:r>
      <w:bookmarkStart w:id="98" w:name="_Toc154131639"/>
      <w:bookmarkStart w:id="99" w:name="_Toc155254376"/>
    </w:p>
    <w:p w:rsidR="00A079D2" w:rsidRDefault="00A079D2" w:rsidP="00456860">
      <w:bookmarkStart w:id="100" w:name="_Toc154131641"/>
      <w:bookmarkStart w:id="101" w:name="_Toc155254378"/>
      <w:bookmarkEnd w:id="97"/>
      <w:bookmarkEnd w:id="98"/>
      <w:bookmarkEnd w:id="99"/>
    </w:p>
    <w:p w:rsidR="00A079D2" w:rsidRPr="00E836FB" w:rsidRDefault="00A079D2" w:rsidP="00456860">
      <w:pPr>
        <w:pStyle w:val="Heading2"/>
      </w:pPr>
      <w:bookmarkStart w:id="102" w:name="_Toc166757760"/>
      <w:r w:rsidRPr="00E836FB">
        <w:t>Further research</w:t>
      </w:r>
      <w:bookmarkEnd w:id="100"/>
      <w:bookmarkEnd w:id="101"/>
      <w:bookmarkEnd w:id="102"/>
      <w:r w:rsidRPr="00E836FB">
        <w:t xml:space="preserve"> </w:t>
      </w:r>
    </w:p>
    <w:p w:rsidR="00A079D2" w:rsidRPr="00E836FB" w:rsidRDefault="00A079D2" w:rsidP="00456860">
      <w:r w:rsidRPr="00E836FB">
        <w:t xml:space="preserve">A high proportion of older people in the </w:t>
      </w:r>
      <w:r>
        <w:t xml:space="preserve">Anglicare </w:t>
      </w:r>
      <w:r w:rsidRPr="00E836FB">
        <w:t xml:space="preserve">Aged Care and Front Door data were living alone, and almost two-fifths of all Front Door clients cited a lack of family and/or community support as one of their reasons for presenting to the service; such isolation is detrimental to wellbeing. We need to know more about the drivers involved. </w:t>
      </w:r>
    </w:p>
    <w:p w:rsidR="00A079D2" w:rsidRPr="00E836FB" w:rsidRDefault="00A079D2" w:rsidP="00456860">
      <w:r w:rsidRPr="00E836FB">
        <w:t>Further research could also explore the nature of the family living arrangements that keep older people (especially women) out of housing services. Women are more likely to be living with family members than are men, but there are concerns that in some situations living with family is not a satisfactory or safe solution. At the very least there may be overcrowding</w:t>
      </w:r>
      <w:r>
        <w:t>;</w:t>
      </w:r>
      <w:r w:rsidRPr="00E836FB">
        <w:t xml:space="preserve"> at worst, exploitation and abuse, possibly exacerbated by the housing stressors that affect younger people. Providing good care and an accessible environment for an older person is not always possible in the family home. The widespread negative view of residential aged care is making older people averse to what may in fact be their best option for safety and appropriate care.</w:t>
      </w:r>
    </w:p>
    <w:p w:rsidR="00A079D2" w:rsidRPr="00E836FB" w:rsidRDefault="00A079D2" w:rsidP="00456860">
      <w:pPr>
        <w:sectPr w:rsidR="00A079D2" w:rsidRPr="00E836FB" w:rsidSect="00456860">
          <w:footerReference w:type="first" r:id="rId32"/>
          <w:pgSz w:w="11906" w:h="16838" w:code="9"/>
          <w:pgMar w:top="1440" w:right="1440" w:bottom="1440" w:left="1440" w:header="709" w:footer="709" w:gutter="0"/>
          <w:cols w:space="708"/>
          <w:titlePg/>
          <w:docGrid w:linePitch="360"/>
        </w:sectPr>
      </w:pPr>
    </w:p>
    <w:p w:rsidR="00A079D2" w:rsidRPr="00E836FB" w:rsidRDefault="00A079D2" w:rsidP="00456860">
      <w:pPr>
        <w:pStyle w:val="Heading1"/>
      </w:pPr>
      <w:bookmarkStart w:id="103" w:name="_Toc154131644"/>
      <w:bookmarkStart w:id="104" w:name="_Toc155254381"/>
      <w:bookmarkStart w:id="105" w:name="_Toc166757761"/>
      <w:r w:rsidRPr="00E836FB">
        <w:lastRenderedPageBreak/>
        <w:t>Glossary</w:t>
      </w:r>
      <w:bookmarkEnd w:id="103"/>
      <w:bookmarkEnd w:id="104"/>
      <w:bookmarkEnd w:id="105"/>
    </w:p>
    <w:p w:rsidR="00A079D2" w:rsidRPr="00E836FB" w:rsidRDefault="00A079D2" w:rsidP="00456860">
      <w:r w:rsidRPr="00E836FB">
        <w:t xml:space="preserve">The following acronyms and terms are used in this report. </w:t>
      </w:r>
    </w:p>
    <w:p w:rsidR="00A079D2" w:rsidRPr="00E836FB" w:rsidRDefault="00A079D2" w:rsidP="00456860">
      <w:pPr>
        <w:pStyle w:val="BodyText"/>
        <w:rPr>
          <w:rFonts w:ascii="Avenir Next LT Pro" w:hAnsi="Avenir Next LT Pro"/>
        </w:rPr>
      </w:pPr>
    </w:p>
    <w:tbl>
      <w:tblPr>
        <w:tblW w:w="9445" w:type="dxa"/>
        <w:tblLook w:val="04A0" w:firstRow="1" w:lastRow="0" w:firstColumn="1" w:lastColumn="0" w:noHBand="0" w:noVBand="1"/>
        <w:tblCaption w:val="Glossary"/>
        <w:tblDescription w:val="Administrative and civil penalties. In law, penalties may be criminal, civil or administrative. Administrative penalties include things like parking fines. They can be imposed by a regulator or agency. Civil penalties are usually monetary but can include community service or compensation orders.&#10;Chronic conditions. Chronic conditions are health conditions or illnesses that are persistent or long-lasting. Examples include diabetes, kidney and heart disease, some cancers and lung diseases. Chronic conditions are linked with the social determinants of health and the risks of chronic illness developing are reduced when people have reliable access to economic resources, secure and good quality housing, good diet, hygiene, health services, social networks and education.&#10;Comorbidity. Morbidities are medical (including psychological and psychiatric) conditions. Where there is more than one condition, these are called comorbidities.&#10;Day fines. Day fines are “founded on recognition of the principle of equal treatment, that is, the impact of the sentence should be similar despite the wealth or financial disadvantage of the offender” [61]. Day fines are applied, usually by police, on the basis of (1) an assessment of the gravity of the offence to determine the applicable number of fine units, and (2) the means of the offender to pay. Thus, a wealthier offender will receive a heavier fine than a poorer offender for the same offence. Offenders would also be offered the chance to replace fine payment with undertaking approved activities through a work and development order (WDO).&#10;DALY, YLL and YLD. &#10;DALY is the acronym for disability-adjusted life years. One DALY represents the loss of the equivalent of one year of full health. DALYs for a disease or health condition are the sum of the years of life lost to due to premature mortality (YLLs) and the years lived with a disability (YLDs) due to prevalent cases of the disease or health condition in a population.&#10;YLL is the acronym for years of life lost from mortality. One YLL represents the loss of one year of life. YLLs are calculated from the number of deaths multiplied by a global standard life expectancy at the age at which death occurs.&#10;YLD is the acronym for years of health life lost to disability. One YLD represents the equivalent of one full year of healthy life lost due to disability or ill-health [62].&#10;Decriminalisation. There are two forms of decriminalisation. &#10;In de facto decriminalisation, the misuse of drugs remains a criminal offence, but courts and police may exercise discretion in enforcing laws. Tasmania has several de facto decriminalisation measures in place, including Court Mandated Diversion, and Tasmania Police’s Illicit Drug Diversion Initiative. &#10;In de jure decriminalisation, legislation is changed to remove criminal penalties and replace them with civil and/or administrative penalties. &#10;Decriminalisation is NOT legalisation. Decriminalisation does not allow for the sale and supply of illicit drugs [14].&#10;Discrimination. While discrimination means identifying differences, in justice terms it refers to unequal and worse treatment of people based on characteristics like race, sexuality or culture.&#10;Diversion and deflection. Deflection happens at the point of arrest, with the police officer helping the offender to access treatment (e.g., by calling a case work who assesses the person’s needs and finds a suitable treatment program) [63].&#10;Diversion involves the Court making an order that usually includes a custodial element, which is activated only if the offender does not meet treatment and supervision requirements (e.g., a Drug Treatment Order) [64].&#10;Drug use disorder (DUD). A person has a drug use disorder (also known by the terms ‘problematic drug use’ or ‘high-risk drug user’) when their drug use causes significant distress or harm to the user or those around them [65].&#10;Intergenerational trauma. Trauma refers to physical or emotional harms, which may or may not be directly life-threatening and that have a lasting and adverse effect. Violence and abuse are forms of trauma, as is living in poverty. Intergenerational trauma is “psychological trauma transmitted within families and communities” [66].&#10;Marginalisation. People can be pushed to the margins (or edges) of society by characteristics that they may be unable to alter, or because of a mismatch between their culture or beliefs and those of more powerful people. Marginalisation is a result of discrimination.&#10;Moral injury. Moral injury can happen when one is “Perpetrating, failing to prevent, bearing witness to, or learning about acts that transgress deeply held moral beliefs and expectations” [60].&#10;Naloxone. Naloxone is an “opioid antagonist”, used to reverse the effects of opioids. Its main application is in temporarily reversing overdose. This enables responders to seek urgent medical help. Naloxone is available, free of charge, in Tasmanian needle and syringe program (NSP) outlets.&#10;Needle and syringe program (NSP). The needle and syringe program is a Department of Health service that provides a range of information and equipment to people who inject drugs. &#10;Recidivism. Recidivism is another word for reoffending, or returning to criminal behaviour. &#10;Restorative justice. Restorative justice is informed by Indigenous and other approaches in which the aim is to “repair and restore the relationships and community affected by an offence” [67]. Offenders acknowledge the harms caused by their actions and work with community to be reintegrated and to restore the community to health. &#10;Therapeutic jurisprudence. Therapeutic justice is a form of restorative justice. It is a way of using the law to “prevent conflict, promote procedural fairness, facilitate mediation, protect crime victims, and promote alternative dispute resolution” [68].&#10;Social determinants of health. The social determinants of health are the conditions in which we are born, we grow, and age, and in which we live and work. They impact upon our health and wellbeing and have been identified as: childhood experiences, housing, education, social supports, family income, meaningful employment, communities and access to health services. These determinants are also called upstream factors [69-71].&#10;Stigma and vicarious stigma. Stigma is a characteristic that sets a person apart from others, and is a source of lower status or discredit. When this taint spreads to those associated with the stigmatised person, it is called vicarious stigma.&#10;Work and Development Order. New South Wales has piloted and introduced Work and Development Orders (WDOs). People who are assessed as eligible can replace paying a fine—in part or in full—with completion of approved activities. Approved activities include treatment programs and work in approved organisations, including government agencies, NGOs, and health practitioners. WDOs can be seen as part of restoring the offender’s place in the community, and repairing damage done.&#10;"/>
      </w:tblPr>
      <w:tblGrid>
        <w:gridCol w:w="2268"/>
        <w:gridCol w:w="7177"/>
      </w:tblGrid>
      <w:tr w:rsidR="00A079D2" w:rsidRPr="00E836FB" w:rsidTr="00456860">
        <w:tc>
          <w:tcPr>
            <w:tcW w:w="2268" w:type="dxa"/>
          </w:tcPr>
          <w:p w:rsidR="00A079D2" w:rsidRPr="00E836FB" w:rsidRDefault="00A079D2" w:rsidP="00456860">
            <w:r w:rsidRPr="00E836FB">
              <w:t>ABS</w:t>
            </w:r>
          </w:p>
        </w:tc>
        <w:tc>
          <w:tcPr>
            <w:tcW w:w="7177" w:type="dxa"/>
          </w:tcPr>
          <w:p w:rsidR="00A079D2" w:rsidRPr="00E836FB" w:rsidRDefault="00A079D2" w:rsidP="00456860">
            <w:bookmarkStart w:id="106" w:name="_Hlk133835480"/>
            <w:r w:rsidRPr="00E836FB">
              <w:t xml:space="preserve">Australian Bureau of Statistics. </w:t>
            </w:r>
            <w:bookmarkEnd w:id="106"/>
          </w:p>
        </w:tc>
      </w:tr>
      <w:tr w:rsidR="00A079D2" w:rsidRPr="00E836FB" w:rsidTr="00456860">
        <w:tc>
          <w:tcPr>
            <w:tcW w:w="2268" w:type="dxa"/>
          </w:tcPr>
          <w:p w:rsidR="00A079D2" w:rsidRPr="00E836FB" w:rsidRDefault="00A079D2" w:rsidP="00456860">
            <w:r w:rsidRPr="00F845AA">
              <w:t>Aboriginal</w:t>
            </w:r>
          </w:p>
        </w:tc>
        <w:tc>
          <w:tcPr>
            <w:tcW w:w="7177" w:type="dxa"/>
          </w:tcPr>
          <w:p w:rsidR="00A079D2" w:rsidRPr="00E836FB" w:rsidRDefault="00A079D2" w:rsidP="00456860">
            <w:r w:rsidRPr="007E16CD">
              <w:t>In this report ‘Aboriginal’ refers to people who identify as Aboriginal, Torres Strait Islander, or Aboriginal and Torres Strait Islander.</w:t>
            </w:r>
          </w:p>
        </w:tc>
      </w:tr>
      <w:tr w:rsidR="00A079D2" w:rsidRPr="00E836FB" w:rsidTr="00456860">
        <w:tc>
          <w:tcPr>
            <w:tcW w:w="2268" w:type="dxa"/>
          </w:tcPr>
          <w:p w:rsidR="00A079D2" w:rsidRPr="00E836FB" w:rsidRDefault="00A079D2" w:rsidP="00456860">
            <w:r w:rsidRPr="00F845AA">
              <w:t>Affordable</w:t>
            </w:r>
          </w:p>
        </w:tc>
        <w:tc>
          <w:tcPr>
            <w:tcW w:w="7177" w:type="dxa"/>
          </w:tcPr>
          <w:p w:rsidR="00A079D2" w:rsidRPr="00E836FB" w:rsidRDefault="00A079D2" w:rsidP="00456860">
            <w:r w:rsidRPr="007E16CD">
              <w:t>For lower-income people, housing is ‘affordable’ if no more than 30% of income is spent on rent. This is a widely-recognised, internationally accepted standard that leaves sufficient income left over for a reasonable standard of living</w:t>
            </w:r>
            <w:r>
              <w:t xml:space="preserve"> </w:t>
            </w:r>
            <w:r>
              <w:rPr>
                <w:noProof/>
              </w:rPr>
              <w:t>(Claxton &amp; Bennett 2024)</w:t>
            </w:r>
            <w:r w:rsidRPr="007E16CD">
              <w:t xml:space="preserve">. </w:t>
            </w:r>
          </w:p>
        </w:tc>
      </w:tr>
      <w:tr w:rsidR="00A079D2" w:rsidRPr="00E836FB" w:rsidTr="00456860">
        <w:tc>
          <w:tcPr>
            <w:tcW w:w="2268" w:type="dxa"/>
          </w:tcPr>
          <w:p w:rsidR="00A079D2" w:rsidRPr="00E836FB" w:rsidRDefault="00A079D2" w:rsidP="00456860">
            <w:r w:rsidRPr="00E836FB">
              <w:t>AHURI</w:t>
            </w:r>
          </w:p>
        </w:tc>
        <w:tc>
          <w:tcPr>
            <w:tcW w:w="7177" w:type="dxa"/>
          </w:tcPr>
          <w:p w:rsidR="00A079D2" w:rsidRPr="00E836FB" w:rsidRDefault="00A079D2" w:rsidP="00456860">
            <w:r w:rsidRPr="00E836FB">
              <w:t>Australian Housing and Urban Research Institute</w:t>
            </w:r>
          </w:p>
        </w:tc>
      </w:tr>
      <w:tr w:rsidR="00A079D2" w:rsidRPr="00E836FB" w:rsidTr="00456860">
        <w:tc>
          <w:tcPr>
            <w:tcW w:w="2268" w:type="dxa"/>
          </w:tcPr>
          <w:p w:rsidR="00A079D2" w:rsidRPr="00E836FB" w:rsidRDefault="00A079D2" w:rsidP="00456860">
            <w:r w:rsidRPr="00E836FB">
              <w:t>Aged Care</w:t>
            </w:r>
          </w:p>
        </w:tc>
        <w:tc>
          <w:tcPr>
            <w:tcW w:w="7177" w:type="dxa"/>
          </w:tcPr>
          <w:p w:rsidR="00A079D2" w:rsidRPr="00E836FB" w:rsidRDefault="00A079D2" w:rsidP="00456860">
            <w:r w:rsidRPr="00E836FB">
              <w:t>Aged Home Care services (Anglicare)</w:t>
            </w:r>
          </w:p>
        </w:tc>
      </w:tr>
      <w:tr w:rsidR="00A079D2" w:rsidRPr="00E836FB" w:rsidTr="00456860">
        <w:tc>
          <w:tcPr>
            <w:tcW w:w="2268" w:type="dxa"/>
          </w:tcPr>
          <w:p w:rsidR="00A079D2" w:rsidRPr="00E836FB" w:rsidRDefault="00A079D2" w:rsidP="00456860">
            <w:r w:rsidRPr="00E836FB">
              <w:t>COI</w:t>
            </w:r>
          </w:p>
        </w:tc>
        <w:tc>
          <w:tcPr>
            <w:tcW w:w="7177" w:type="dxa"/>
          </w:tcPr>
          <w:p w:rsidR="00A079D2" w:rsidRPr="00E836FB" w:rsidRDefault="00A079D2" w:rsidP="00456860">
            <w:r w:rsidRPr="00E836FB">
              <w:t>Cohort of interest</w:t>
            </w:r>
            <w:r>
              <w:t xml:space="preserve"> </w:t>
            </w:r>
            <w:r w:rsidRPr="00E836FB">
              <w:t>—</w:t>
            </w:r>
            <w:r>
              <w:t xml:space="preserve"> </w:t>
            </w:r>
            <w:r w:rsidRPr="00E836FB">
              <w:t>that is, Aboriginal people aged 45 and older, and non-Aboriginal people age 55 and older</w:t>
            </w:r>
          </w:p>
        </w:tc>
      </w:tr>
      <w:tr w:rsidR="00A079D2" w:rsidRPr="00E836FB" w:rsidTr="00456860">
        <w:tc>
          <w:tcPr>
            <w:tcW w:w="2268" w:type="dxa"/>
          </w:tcPr>
          <w:p w:rsidR="00A079D2" w:rsidRPr="00E836FB" w:rsidRDefault="00A079D2" w:rsidP="00456860">
            <w:r w:rsidRPr="00E836FB">
              <w:t>COTA</w:t>
            </w:r>
          </w:p>
        </w:tc>
        <w:tc>
          <w:tcPr>
            <w:tcW w:w="7177" w:type="dxa"/>
          </w:tcPr>
          <w:p w:rsidR="00A079D2" w:rsidRPr="00E836FB" w:rsidRDefault="00A079D2" w:rsidP="00456860">
            <w:r>
              <w:t>Council on the Ag</w:t>
            </w:r>
            <w:r w:rsidR="00DB3192">
              <w:t>e</w:t>
            </w:r>
            <w:r>
              <w:t>ing (Tas) Inc</w:t>
            </w:r>
          </w:p>
        </w:tc>
      </w:tr>
      <w:tr w:rsidR="00A079D2" w:rsidRPr="00E836FB" w:rsidTr="00456860">
        <w:tc>
          <w:tcPr>
            <w:tcW w:w="2268" w:type="dxa"/>
          </w:tcPr>
          <w:p w:rsidR="00A079D2" w:rsidRPr="00E836FB" w:rsidRDefault="00A079D2" w:rsidP="00456860">
            <w:r w:rsidRPr="00E836FB">
              <w:t>Front Door</w:t>
            </w:r>
          </w:p>
        </w:tc>
        <w:tc>
          <w:tcPr>
            <w:tcW w:w="7177" w:type="dxa"/>
          </w:tcPr>
          <w:p w:rsidR="00A079D2" w:rsidRPr="00E836FB" w:rsidRDefault="00A079D2" w:rsidP="00456860">
            <w:bookmarkStart w:id="107" w:name="_Hlk133835572"/>
            <w:r w:rsidRPr="00E836FB">
              <w:t>Front Door</w:t>
            </w:r>
            <w:r>
              <w:t xml:space="preserve"> housing support</w:t>
            </w:r>
            <w:r w:rsidRPr="00E836FB">
              <w:t xml:space="preserve"> (</w:t>
            </w:r>
            <w:bookmarkEnd w:id="107"/>
            <w:r w:rsidRPr="00E836FB">
              <w:t>gateway service for housing and homelessness clients)</w:t>
            </w:r>
          </w:p>
        </w:tc>
      </w:tr>
      <w:tr w:rsidR="00A079D2" w:rsidRPr="00E836FB" w:rsidTr="00456860">
        <w:tc>
          <w:tcPr>
            <w:tcW w:w="2268" w:type="dxa"/>
          </w:tcPr>
          <w:p w:rsidR="00A079D2" w:rsidRPr="00E836FB" w:rsidRDefault="00A079D2" w:rsidP="00456860">
            <w:r w:rsidRPr="00E836FB">
              <w:t>HILDA</w:t>
            </w:r>
          </w:p>
        </w:tc>
        <w:tc>
          <w:tcPr>
            <w:tcW w:w="7177" w:type="dxa"/>
          </w:tcPr>
          <w:p w:rsidR="00A079D2" w:rsidRPr="00E836FB" w:rsidRDefault="00A079D2" w:rsidP="00456860">
            <w:bookmarkStart w:id="108" w:name="_Hlk133835550"/>
            <w:r w:rsidRPr="00E836FB">
              <w:t xml:space="preserve">Household Income and Labour Dynamics in Australia. </w:t>
            </w:r>
            <w:bookmarkEnd w:id="108"/>
          </w:p>
        </w:tc>
      </w:tr>
      <w:tr w:rsidR="00A079D2" w:rsidRPr="00E836FB" w:rsidTr="00456860">
        <w:tc>
          <w:tcPr>
            <w:tcW w:w="2268" w:type="dxa"/>
          </w:tcPr>
          <w:p w:rsidR="00A079D2" w:rsidRPr="00E836FB" w:rsidRDefault="00A079D2" w:rsidP="00456860">
            <w:r w:rsidRPr="00E836FB">
              <w:t xml:space="preserve">Older </w:t>
            </w:r>
            <w:r>
              <w:t>person</w:t>
            </w:r>
          </w:p>
        </w:tc>
        <w:tc>
          <w:tcPr>
            <w:tcW w:w="7177" w:type="dxa"/>
          </w:tcPr>
          <w:p w:rsidR="00A079D2" w:rsidRPr="00E836FB" w:rsidRDefault="00631B11" w:rsidP="00631B11">
            <w:r>
              <w:t>Aboriginal people aged 45 and older, and non-Aboriginal people age 55 and older</w:t>
            </w:r>
          </w:p>
        </w:tc>
      </w:tr>
      <w:tr w:rsidR="00A079D2" w:rsidRPr="00E836FB" w:rsidTr="00456860">
        <w:tc>
          <w:tcPr>
            <w:tcW w:w="2268" w:type="dxa"/>
          </w:tcPr>
          <w:p w:rsidR="00A079D2" w:rsidRPr="00E836FB" w:rsidRDefault="00A079D2" w:rsidP="00456860">
            <w:r w:rsidRPr="00E836FB">
              <w:t>Older Tasmanians</w:t>
            </w:r>
          </w:p>
        </w:tc>
        <w:tc>
          <w:tcPr>
            <w:tcW w:w="7177" w:type="dxa"/>
          </w:tcPr>
          <w:p w:rsidR="00A079D2" w:rsidRPr="00E836FB" w:rsidRDefault="00A079D2" w:rsidP="00456860">
            <w:r w:rsidRPr="00E836FB">
              <w:t>Aboriginal people aged 45 and older, and non-Aboriginal people age 55 and older who reside in Tasmania</w:t>
            </w:r>
          </w:p>
        </w:tc>
      </w:tr>
      <w:tr w:rsidR="00A079D2" w:rsidRPr="00E836FB" w:rsidTr="00456860">
        <w:tc>
          <w:tcPr>
            <w:tcW w:w="2268" w:type="dxa"/>
          </w:tcPr>
          <w:p w:rsidR="00A079D2" w:rsidRPr="00E836FB" w:rsidRDefault="00A079D2" w:rsidP="00456860">
            <w:r w:rsidRPr="00F845AA">
              <w:t>Spouse</w:t>
            </w:r>
          </w:p>
        </w:tc>
        <w:tc>
          <w:tcPr>
            <w:tcW w:w="7177" w:type="dxa"/>
          </w:tcPr>
          <w:p w:rsidR="00A079D2" w:rsidRPr="00E836FB" w:rsidRDefault="00A079D2" w:rsidP="00456860">
            <w:r w:rsidRPr="007E16CD">
              <w:t>Includes any sort of intimate partner, whether married or a de facto or other similar relationship.</w:t>
            </w:r>
          </w:p>
        </w:tc>
      </w:tr>
    </w:tbl>
    <w:p w:rsidR="00A079D2" w:rsidRPr="00E836FB" w:rsidRDefault="00A079D2" w:rsidP="00456860"/>
    <w:p w:rsidR="00A079D2" w:rsidRPr="00E836FB" w:rsidRDefault="00A079D2" w:rsidP="00456860"/>
    <w:p w:rsidR="00A079D2" w:rsidRPr="00E836FB" w:rsidRDefault="00A079D2" w:rsidP="00456860">
      <w:pPr>
        <w:sectPr w:rsidR="00A079D2" w:rsidRPr="00E836FB" w:rsidSect="00456860">
          <w:type w:val="oddPage"/>
          <w:pgSz w:w="11906" w:h="16838" w:code="9"/>
          <w:pgMar w:top="1440" w:right="1440" w:bottom="1440" w:left="1440" w:header="709" w:footer="709" w:gutter="0"/>
          <w:cols w:space="708"/>
          <w:titlePg/>
          <w:docGrid w:linePitch="360"/>
        </w:sectPr>
      </w:pPr>
    </w:p>
    <w:p w:rsidR="00A079D2" w:rsidRDefault="00A079D2" w:rsidP="008E0DF0">
      <w:pPr>
        <w:pStyle w:val="Heading1"/>
      </w:pPr>
      <w:bookmarkStart w:id="109" w:name="_Toc166757762"/>
      <w:bookmarkStart w:id="110" w:name="_Toc154131649"/>
      <w:bookmarkStart w:id="111" w:name="_Toc155254386"/>
      <w:r>
        <w:lastRenderedPageBreak/>
        <w:t>Appendix</w:t>
      </w:r>
      <w:r w:rsidR="009B47F0">
        <w:t xml:space="preserve">: </w:t>
      </w:r>
      <w:r>
        <w:t xml:space="preserve">The </w:t>
      </w:r>
      <w:r w:rsidRPr="00DC63F3">
        <w:t>Household, Income and Labour Dynamics in Australia (HILDA) Survey</w:t>
      </w:r>
      <w:bookmarkEnd w:id="109"/>
    </w:p>
    <w:p w:rsidR="00A079D2" w:rsidRDefault="00A079D2" w:rsidP="00456860">
      <w:r w:rsidRPr="00DC63F3">
        <w:t>The Household, Income and Labour Dynamics in Australia (HILDA) Survey is a household-based panel study that collects information about economic and personal wellbeing, labour market dynamics and family life.</w:t>
      </w:r>
      <w:r>
        <w:t xml:space="preserve"> Commencing in 2001, i</w:t>
      </w:r>
      <w:r w:rsidRPr="00DC63F3">
        <w:t xml:space="preserve">t aims to tell the stories of the same group of Australians over the course of their lives. </w:t>
      </w:r>
    </w:p>
    <w:p w:rsidR="00A079D2" w:rsidRDefault="00A079D2" w:rsidP="00456860">
      <w:r>
        <w:t xml:space="preserve">The survey is produced by the Melbourne Institute of Applied Economic and Social Research at the University of Melbourne. Further information about the HILDA survey can be found at </w:t>
      </w:r>
      <w:hyperlink r:id="rId33" w:anchor="program" w:history="1">
        <w:r>
          <w:rPr>
            <w:color w:val="0000FF"/>
            <w:u w:val="single"/>
          </w:rPr>
          <w:t>https://melbourneinstitute.unimelb.edu.au/hilda</w:t>
        </w:r>
      </w:hyperlink>
      <w:r>
        <w:t>.</w:t>
      </w:r>
    </w:p>
    <w:p w:rsidR="00A079D2" w:rsidRDefault="00A079D2" w:rsidP="00456860">
      <w:r>
        <w:t xml:space="preserve">This research used data from waves 16 and 21 of the HILDA survey. Advantages of this survey are that it is collected from a sample of 17,000 people, weighting of data enables population-wide estimates to be made and information is collected independent of any particular research question. A limitation of this dataset is that the sample does not include Aboriginal Tasmanians aged 45 years and over at the time of this project. </w:t>
      </w:r>
    </w:p>
    <w:p w:rsidR="008E0DF0" w:rsidRDefault="00A079D2" w:rsidP="00456860">
      <w:r>
        <w:t xml:space="preserve">Analysis of the relationship between life satisfaction and housing was undertaken on wave 21, applying cross-sectional weights in order to make population level estimates and compare means for the age group of interest with the rest of the population. </w:t>
      </w:r>
      <w:r w:rsidR="00DB3192">
        <w:t>E</w:t>
      </w:r>
      <w:r>
        <w:t>xtract</w:t>
      </w:r>
      <w:r w:rsidR="00DB3192">
        <w:t>s</w:t>
      </w:r>
      <w:r>
        <w:t xml:space="preserve"> of the questionnaire showing </w:t>
      </w:r>
      <w:r w:rsidR="00DB3192">
        <w:t xml:space="preserve">relevant </w:t>
      </w:r>
      <w:r>
        <w:t xml:space="preserve">life satisfaction </w:t>
      </w:r>
      <w:r w:rsidR="00DB3192">
        <w:t xml:space="preserve">and social functioning </w:t>
      </w:r>
      <w:r>
        <w:t>items of the survey and the response options are shown below.</w:t>
      </w:r>
    </w:p>
    <w:p w:rsidR="008E0DF0" w:rsidRDefault="008E0DF0" w:rsidP="00456860">
      <w:r w:rsidRPr="0043381F">
        <w:rPr>
          <w:noProof/>
        </w:rPr>
        <w:lastRenderedPageBreak/>
        <w:drawing>
          <wp:inline distT="0" distB="0" distL="0" distR="0" wp14:anchorId="5C353FBF" wp14:editId="01DB57E2">
            <wp:extent cx="5731510" cy="4587240"/>
            <wp:effectExtent l="0" t="0" r="2540" b="3810"/>
            <wp:docPr id="5" name="Picture 5" descr="Question reads: I am now going to ask you some questions about how satisfied or dissatisfied you are with some of the things happening in your life. I am going to read out a list of different aspects of life and I want you to pick a number between 0 and 10 that indicates your level of satisfaction with each. An answer of 0 means you are totally dissatisfied and an answer of 10 means you are totally satisfied. The home in which you live; your employment opportunities; your financial situation; how safe you feel; feeling part of your local community; your health; the neighbourhood in which you live; the amount of free time you have. &#10;Second question reads: All things considered, how satisfied are you withy your life? Again, pick a number between 0 and 10 to indicate how satisfied you 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31510" cy="4587240"/>
                    </a:xfrm>
                    <a:prstGeom prst="rect">
                      <a:avLst/>
                    </a:prstGeom>
                  </pic:spPr>
                </pic:pic>
              </a:graphicData>
            </a:graphic>
          </wp:inline>
        </w:drawing>
      </w:r>
    </w:p>
    <w:p w:rsidR="00A079D2" w:rsidRDefault="00A079D2" w:rsidP="00456860"/>
    <w:p w:rsidR="00A079D2" w:rsidRDefault="00A079D2" w:rsidP="00456860">
      <w:r>
        <w:t xml:space="preserve">The relationship between social functioning and housing was explored using the social function item of the survey shown below. </w:t>
      </w:r>
    </w:p>
    <w:p w:rsidR="008E0DF0" w:rsidRDefault="008E0DF0" w:rsidP="00456860"/>
    <w:p w:rsidR="00A079D2" w:rsidRDefault="00A079D2" w:rsidP="00456860">
      <w:r w:rsidRPr="00B30255">
        <w:rPr>
          <w:noProof/>
        </w:rPr>
        <w:drawing>
          <wp:inline distT="0" distB="0" distL="0" distR="0" wp14:anchorId="31383B9F" wp14:editId="499D2127">
            <wp:extent cx="5616147" cy="1847850"/>
            <wp:effectExtent l="0" t="0" r="3810" b="0"/>
            <wp:docPr id="8" name="Picture 8" descr="Question reads: During the past 4 weeks, how much of the time has your physical health or emotional problems interfered with your social activities (like visiting friends, relatives etc)? All of the time, most of the time, some of the time, a little of the time, or none of the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r="7434"/>
                    <a:stretch/>
                  </pic:blipFill>
                  <pic:spPr bwMode="auto">
                    <a:xfrm>
                      <a:off x="0" y="0"/>
                      <a:ext cx="5620661" cy="1849335"/>
                    </a:xfrm>
                    <a:prstGeom prst="rect">
                      <a:avLst/>
                    </a:prstGeom>
                    <a:ln>
                      <a:noFill/>
                    </a:ln>
                    <a:extLst>
                      <a:ext uri="{53640926-AAD7-44D8-BBD7-CCE9431645EC}">
                        <a14:shadowObscured xmlns:a14="http://schemas.microsoft.com/office/drawing/2010/main"/>
                      </a:ext>
                    </a:extLst>
                  </pic:spPr>
                </pic:pic>
              </a:graphicData>
            </a:graphic>
          </wp:inline>
        </w:drawing>
      </w:r>
    </w:p>
    <w:p w:rsidR="00A079D2" w:rsidRDefault="00A079D2" w:rsidP="00456860">
      <w:r>
        <w:rPr>
          <w:noProof/>
        </w:rPr>
        <w:t>(Melbourne Institute</w:t>
      </w:r>
      <w:r w:rsidR="00631B11">
        <w:rPr>
          <w:noProof/>
        </w:rPr>
        <w:t xml:space="preserve"> of</w:t>
      </w:r>
      <w:r>
        <w:rPr>
          <w:noProof/>
        </w:rPr>
        <w:t xml:space="preserve"> Applied Economic &amp; Social Research 2022)</w:t>
      </w:r>
    </w:p>
    <w:p w:rsidR="00A079D2" w:rsidRDefault="00A079D2" w:rsidP="00456860">
      <w:pPr>
        <w:rPr>
          <w:sz w:val="32"/>
          <w:szCs w:val="32"/>
        </w:rPr>
      </w:pPr>
      <w:r>
        <w:br w:type="page"/>
      </w:r>
    </w:p>
    <w:p w:rsidR="00A079D2" w:rsidRPr="00E836FB" w:rsidRDefault="00A079D2" w:rsidP="00456860">
      <w:pPr>
        <w:pStyle w:val="Heading1"/>
      </w:pPr>
      <w:bookmarkStart w:id="112" w:name="_Toc166757763"/>
      <w:r w:rsidRPr="00E836FB">
        <w:lastRenderedPageBreak/>
        <w:t>References</w:t>
      </w:r>
      <w:bookmarkEnd w:id="110"/>
      <w:bookmarkEnd w:id="111"/>
      <w:bookmarkEnd w:id="112"/>
    </w:p>
    <w:p w:rsidR="00A079D2" w:rsidRDefault="00A079D2" w:rsidP="00456860">
      <w:pPr>
        <w:pStyle w:val="EndNoteBibliography"/>
      </w:pPr>
      <w:r w:rsidRPr="00E24C50">
        <w:t xml:space="preserve">Agarwal, N, Gao, R &amp; Garner, M 2023, "Renters, Rent Inflation and Renter Stress", </w:t>
      </w:r>
      <w:r w:rsidRPr="00E24C50">
        <w:rPr>
          <w:i/>
        </w:rPr>
        <w:t>RBA Bulletin,</w:t>
      </w:r>
      <w:r w:rsidRPr="00E24C50">
        <w:t xml:space="preserve"> viewed</w:t>
      </w:r>
      <w:r w:rsidR="00510A51">
        <w:t xml:space="preserve"> May 2024,</w:t>
      </w:r>
      <w:r w:rsidRPr="00E24C50">
        <w:t xml:space="preserve"> </w:t>
      </w:r>
      <w:hyperlink r:id="rId36" w:history="1">
        <w:r w:rsidR="00510A51" w:rsidRPr="004B736E">
          <w:rPr>
            <w:rStyle w:val="Hyperlink"/>
          </w:rPr>
          <w:t>https://www.rba.gov.au/publications/bulletin/2023/mar/renters-rent-inflation-and-renter-stress.html</w:t>
        </w:r>
      </w:hyperlink>
    </w:p>
    <w:p w:rsidR="00A079D2" w:rsidRPr="00E24C50" w:rsidRDefault="00A079D2" w:rsidP="00456860">
      <w:pPr>
        <w:pStyle w:val="EndNoteBibliography"/>
        <w:spacing w:after="0"/>
      </w:pPr>
    </w:p>
    <w:p w:rsidR="009A71E6" w:rsidRDefault="009A71E6" w:rsidP="009A71E6">
      <w:pPr>
        <w:autoSpaceDE w:val="0"/>
        <w:autoSpaceDN w:val="0"/>
        <w:adjustRightInd w:val="0"/>
        <w:spacing w:after="0" w:line="240" w:lineRule="auto"/>
        <w:rPr>
          <w:rFonts w:ascii="Segoe UI" w:hAnsi="Segoe UI" w:cs="Segoe UI"/>
          <w:color w:val="000000"/>
          <w:sz w:val="21"/>
          <w:szCs w:val="21"/>
        </w:rPr>
      </w:pPr>
      <w:r w:rsidRPr="009A71E6">
        <w:rPr>
          <w:rFonts w:ascii="Calibri" w:hAnsi="Calibri" w:cs="Calibri"/>
          <w:noProof/>
          <w:lang w:val="en-US"/>
        </w:rPr>
        <w:t>Anglicare Australia</w:t>
      </w:r>
      <w:r>
        <w:rPr>
          <w:rFonts w:ascii="Calibri" w:hAnsi="Calibri" w:cs="Calibri"/>
          <w:noProof/>
          <w:lang w:val="en-US"/>
        </w:rPr>
        <w:t xml:space="preserve"> 2024</w:t>
      </w:r>
      <w:r w:rsidRPr="009A71E6">
        <w:rPr>
          <w:rFonts w:ascii="Calibri" w:hAnsi="Calibri" w:cs="Calibri"/>
          <w:noProof/>
          <w:lang w:val="en-US"/>
        </w:rPr>
        <w:t xml:space="preserve">, </w:t>
      </w:r>
      <w:r w:rsidRPr="009A71E6">
        <w:rPr>
          <w:rFonts w:ascii="Calibri" w:hAnsi="Calibri" w:cs="Calibri"/>
          <w:i/>
          <w:noProof/>
          <w:lang w:val="en-US"/>
        </w:rPr>
        <w:t>Rental Affordability Snapshot National Report 2024</w:t>
      </w:r>
      <w:r w:rsidRPr="009A71E6">
        <w:rPr>
          <w:rFonts w:ascii="Calibri" w:hAnsi="Calibri" w:cs="Calibri"/>
          <w:noProof/>
          <w:lang w:val="en-US"/>
        </w:rPr>
        <w:t>, viewed May 2024,</w:t>
      </w:r>
      <w:r>
        <w:t xml:space="preserve"> </w:t>
      </w:r>
      <w:hyperlink r:id="rId37" w:history="1">
        <w:r w:rsidRPr="009A71E6">
          <w:rPr>
            <w:rStyle w:val="Hyperlink"/>
            <w:rFonts w:ascii="Calibri" w:hAnsi="Calibri" w:cs="Calibri"/>
            <w:noProof/>
            <w:lang w:val="en-US"/>
          </w:rPr>
          <w:t>https://www.anglicare.asn.au/wp-content/uploads/2024/04/Rental-Affordability-Snapshot-National-Report.pdf</w:t>
        </w:r>
      </w:hyperlink>
    </w:p>
    <w:p w:rsidR="009A71E6" w:rsidRDefault="009A71E6" w:rsidP="00456860">
      <w:pPr>
        <w:pStyle w:val="EndNoteBibliography"/>
      </w:pPr>
    </w:p>
    <w:p w:rsidR="00A079D2" w:rsidRPr="00E24C50" w:rsidRDefault="00A079D2" w:rsidP="00456860">
      <w:pPr>
        <w:pStyle w:val="EndNoteBibliography"/>
      </w:pPr>
      <w:r w:rsidRPr="00E24C50">
        <w:t>Australian Bureau of Statistics</w:t>
      </w:r>
      <w:r w:rsidR="00631B11">
        <w:t xml:space="preserve"> (ABS)</w:t>
      </w:r>
      <w:r w:rsidRPr="00E24C50">
        <w:t xml:space="preserve"> 2020, </w:t>
      </w:r>
      <w:r w:rsidRPr="00E24C50">
        <w:rPr>
          <w:i/>
        </w:rPr>
        <w:t>Housing Mobility and Conditions</w:t>
      </w:r>
      <w:r w:rsidRPr="00E24C50">
        <w:t>, viewed</w:t>
      </w:r>
      <w:r w:rsidR="00510A51">
        <w:t xml:space="preserve"> May 2024</w:t>
      </w:r>
      <w:r w:rsidRPr="00E24C50">
        <w:t xml:space="preserve">, </w:t>
      </w:r>
      <w:hyperlink r:id="rId38" w:history="1">
        <w:r w:rsidR="00510A51" w:rsidRPr="004B736E">
          <w:rPr>
            <w:rStyle w:val="Hyperlink"/>
          </w:rPr>
          <w:t>https://www.abs.gov.au/statistics/people/housing/housing-mobility-and-conditions/latest-release</w:t>
        </w:r>
      </w:hyperlink>
      <w:r w:rsidRPr="00E24C50">
        <w:t>.</w:t>
      </w:r>
    </w:p>
    <w:p w:rsidR="00A079D2" w:rsidRPr="00E24C50" w:rsidRDefault="00A079D2" w:rsidP="00456860">
      <w:pPr>
        <w:pStyle w:val="EndNoteBibliography"/>
        <w:spacing w:after="0"/>
      </w:pPr>
    </w:p>
    <w:p w:rsidR="00631B11" w:rsidRDefault="00A079D2" w:rsidP="00456860">
      <w:pPr>
        <w:pStyle w:val="EndNoteBibliography"/>
      </w:pPr>
      <w:r w:rsidRPr="00E24C50">
        <w:t xml:space="preserve">--- 2021, </w:t>
      </w:r>
      <w:r w:rsidRPr="00E24C50">
        <w:rPr>
          <w:i/>
        </w:rPr>
        <w:t>Census of population and housing</w:t>
      </w:r>
      <w:r w:rsidRPr="00E24C50">
        <w:t xml:space="preserve">, viewed </w:t>
      </w:r>
      <w:r w:rsidR="00631B11">
        <w:t xml:space="preserve">May </w:t>
      </w:r>
      <w:r w:rsidRPr="00E24C50">
        <w:t>202</w:t>
      </w:r>
      <w:r w:rsidR="00631B11">
        <w:t>4</w:t>
      </w:r>
      <w:r w:rsidRPr="00E24C50">
        <w:t xml:space="preserve">, </w:t>
      </w:r>
      <w:hyperlink r:id="rId39" w:history="1">
        <w:r w:rsidR="00631B11" w:rsidRPr="004B736E">
          <w:rPr>
            <w:rStyle w:val="Hyperlink"/>
          </w:rPr>
          <w:t>https://www.abs.gov.au/census/find-census-data/census-data-topic</w:t>
        </w:r>
      </w:hyperlink>
    </w:p>
    <w:p w:rsidR="00A079D2" w:rsidRPr="00E24C50" w:rsidRDefault="00A079D2" w:rsidP="00456860">
      <w:pPr>
        <w:pStyle w:val="EndNoteBibliography"/>
        <w:spacing w:after="0"/>
      </w:pPr>
    </w:p>
    <w:p w:rsidR="00631B11" w:rsidRDefault="00A079D2" w:rsidP="00456860">
      <w:pPr>
        <w:pStyle w:val="EndNoteBibliography"/>
      </w:pPr>
      <w:r w:rsidRPr="00E24C50">
        <w:t>--- 2023</w:t>
      </w:r>
      <w:r w:rsidR="002124E5">
        <w:t>a</w:t>
      </w:r>
      <w:r w:rsidRPr="00E24C50">
        <w:t xml:space="preserve">, </w:t>
      </w:r>
      <w:r w:rsidRPr="00E24C50">
        <w:rPr>
          <w:i/>
        </w:rPr>
        <w:t>National, state and territory population</w:t>
      </w:r>
      <w:r w:rsidRPr="00E24C50">
        <w:t>, viewed</w:t>
      </w:r>
      <w:r w:rsidR="00631B11">
        <w:t xml:space="preserve"> May 2024</w:t>
      </w:r>
      <w:r w:rsidRPr="00E24C50">
        <w:t xml:space="preserve">, </w:t>
      </w:r>
      <w:hyperlink r:id="rId40" w:history="1">
        <w:r w:rsidR="00631B11" w:rsidRPr="004B736E">
          <w:rPr>
            <w:rStyle w:val="Hyperlink"/>
          </w:rPr>
          <w:t>https://www.abs.gov.au/statistics/people/population/national-state-and-territory-population/latest-release</w:t>
        </w:r>
      </w:hyperlink>
    </w:p>
    <w:p w:rsidR="002124E5" w:rsidRDefault="002124E5" w:rsidP="00456860">
      <w:pPr>
        <w:pStyle w:val="EndNoteBibliography"/>
      </w:pPr>
    </w:p>
    <w:p w:rsidR="002124E5" w:rsidRDefault="002124E5" w:rsidP="00456860">
      <w:pPr>
        <w:pStyle w:val="EndNoteBibliography"/>
      </w:pPr>
      <w:r>
        <w:t xml:space="preserve">--- 2023b, </w:t>
      </w:r>
      <w:r w:rsidRPr="002124E5">
        <w:rPr>
          <w:i/>
        </w:rPr>
        <w:t>New insights into the rental market</w:t>
      </w:r>
      <w:r>
        <w:t xml:space="preserve">, viewed May 2024, </w:t>
      </w:r>
      <w:hyperlink r:id="rId41" w:history="1">
        <w:r w:rsidRPr="004B736E">
          <w:rPr>
            <w:rStyle w:val="Hyperlink"/>
          </w:rPr>
          <w:t>https://www.abs.gov.au/statistics/detailed-methodology-information/information-papers/new-insights-rental-market</w:t>
        </w:r>
      </w:hyperlink>
    </w:p>
    <w:p w:rsidR="00A079D2" w:rsidRPr="00E24C50" w:rsidRDefault="00A079D2" w:rsidP="00456860">
      <w:pPr>
        <w:pStyle w:val="EndNoteBibliography"/>
        <w:spacing w:after="0"/>
      </w:pPr>
    </w:p>
    <w:p w:rsidR="00631B11" w:rsidRDefault="00A079D2" w:rsidP="00456860">
      <w:pPr>
        <w:pStyle w:val="EndNoteBibliography"/>
      </w:pPr>
      <w:r w:rsidRPr="00E24C50">
        <w:t xml:space="preserve">Australian Institute of Health and Welfare (AIHW) 2021, </w:t>
      </w:r>
      <w:r w:rsidRPr="00E24C50">
        <w:rPr>
          <w:i/>
        </w:rPr>
        <w:t>Health of people experiencing homelessness</w:t>
      </w:r>
      <w:r w:rsidRPr="00E24C50">
        <w:t xml:space="preserve">, viewed 15 August 2023, </w:t>
      </w:r>
      <w:hyperlink r:id="rId42" w:history="1">
        <w:r w:rsidR="00631B11" w:rsidRPr="004B736E">
          <w:rPr>
            <w:rStyle w:val="Hyperlink"/>
          </w:rPr>
          <w:t>https://www.aihw.gov.au/reports/australias-health/health-of-people-experiencing-homelessness</w:t>
        </w:r>
      </w:hyperlink>
    </w:p>
    <w:p w:rsidR="00A079D2" w:rsidRPr="00E24C50" w:rsidRDefault="00A079D2" w:rsidP="00456860">
      <w:pPr>
        <w:pStyle w:val="EndNoteBibliography"/>
        <w:spacing w:after="0"/>
      </w:pPr>
    </w:p>
    <w:p w:rsidR="00A079D2" w:rsidRPr="00E24C50" w:rsidRDefault="00A079D2" w:rsidP="00456860">
      <w:pPr>
        <w:pStyle w:val="EndNoteBibliography"/>
      </w:pPr>
      <w:r w:rsidRPr="00E24C50">
        <w:t xml:space="preserve">Banks, S, Krabbe, R, Vandenberg, M &amp; Murray, T 2021, </w:t>
      </w:r>
      <w:r w:rsidRPr="00E24C50">
        <w:rPr>
          <w:i/>
        </w:rPr>
        <w:t>Engaging communities for future health: The Anticipatory Care Action Learning Project</w:t>
      </w:r>
      <w:r w:rsidR="00631B11">
        <w:rPr>
          <w:i/>
        </w:rPr>
        <w:t>:</w:t>
      </w:r>
      <w:r w:rsidRPr="00E24C50">
        <w:rPr>
          <w:i/>
        </w:rPr>
        <w:t xml:space="preserve"> Final report</w:t>
      </w:r>
      <w:r w:rsidRPr="00E24C50">
        <w:t>, Hobart, TAS.</w:t>
      </w:r>
    </w:p>
    <w:p w:rsidR="00A079D2" w:rsidRPr="00E24C50" w:rsidRDefault="00A079D2" w:rsidP="00456860">
      <w:pPr>
        <w:pStyle w:val="EndNoteBibliography"/>
        <w:spacing w:after="0"/>
      </w:pPr>
    </w:p>
    <w:p w:rsidR="00A079D2" w:rsidRPr="00E24C50" w:rsidRDefault="00A079D2" w:rsidP="00456860">
      <w:pPr>
        <w:pStyle w:val="EndNoteBibliography"/>
      </w:pPr>
      <w:r w:rsidRPr="00E24C50">
        <w:t xml:space="preserve">Bates, L, Wiles, J, Kearns, R &amp; Coleman, T 2019, "Precariously placed: Home, housing and wellbeing for older renters", </w:t>
      </w:r>
      <w:r w:rsidRPr="00E24C50">
        <w:rPr>
          <w:i/>
        </w:rPr>
        <w:t>Health Place</w:t>
      </w:r>
      <w:r w:rsidRPr="00E24C50">
        <w:t>, vol. 58, p. 102152.</w:t>
      </w:r>
    </w:p>
    <w:p w:rsidR="00A079D2" w:rsidRPr="00E24C50" w:rsidRDefault="00A079D2" w:rsidP="00456860">
      <w:pPr>
        <w:pStyle w:val="EndNoteBibliography"/>
        <w:spacing w:after="0"/>
      </w:pPr>
    </w:p>
    <w:p w:rsidR="00A079D2" w:rsidRPr="00E24C50" w:rsidRDefault="00A079D2" w:rsidP="00456860">
      <w:pPr>
        <w:pStyle w:val="EndNoteBibliography"/>
      </w:pPr>
      <w:r w:rsidRPr="00E24C50">
        <w:t xml:space="preserve">Clare, R 2023, </w:t>
      </w:r>
      <w:r w:rsidRPr="00E24C50">
        <w:rPr>
          <w:i/>
        </w:rPr>
        <w:t>An update on superannuation account balances</w:t>
      </w:r>
      <w:r w:rsidRPr="00E24C50">
        <w:t>, Association of Superannuation Funds of Australia.</w:t>
      </w:r>
    </w:p>
    <w:p w:rsidR="00A079D2" w:rsidRPr="00E24C50" w:rsidRDefault="00A079D2" w:rsidP="00456860">
      <w:pPr>
        <w:pStyle w:val="EndNoteBibliography"/>
        <w:spacing w:after="0"/>
      </w:pPr>
    </w:p>
    <w:p w:rsidR="00A079D2" w:rsidRPr="00E24C50" w:rsidRDefault="00A079D2" w:rsidP="00456860">
      <w:pPr>
        <w:pStyle w:val="EndNoteBibliography"/>
      </w:pPr>
      <w:r w:rsidRPr="00E24C50">
        <w:t xml:space="preserve">Claxton, S &amp; Bennett, M 2023, </w:t>
      </w:r>
      <w:r w:rsidRPr="00E24C50">
        <w:rPr>
          <w:i/>
        </w:rPr>
        <w:t>Rental Affordability Snapshot Tasmania</w:t>
      </w:r>
      <w:r w:rsidRPr="00E24C50">
        <w:t>, Anglicare Tasmania, Hobart.</w:t>
      </w:r>
    </w:p>
    <w:p w:rsidR="00A079D2" w:rsidRPr="00E24C50" w:rsidRDefault="00A079D2" w:rsidP="00456860">
      <w:pPr>
        <w:pStyle w:val="EndNoteBibliography"/>
        <w:spacing w:after="0"/>
      </w:pPr>
    </w:p>
    <w:p w:rsidR="00A079D2" w:rsidRPr="00E24C50" w:rsidRDefault="00A079D2" w:rsidP="00456860">
      <w:pPr>
        <w:pStyle w:val="EndNoteBibliography"/>
      </w:pPr>
      <w:r w:rsidRPr="00E24C50">
        <w:t xml:space="preserve">--- 2024, </w:t>
      </w:r>
      <w:r w:rsidRPr="00E24C50">
        <w:rPr>
          <w:i/>
        </w:rPr>
        <w:t>Rental Affordability Snapshot Tasmania</w:t>
      </w:r>
      <w:r w:rsidRPr="00E24C50">
        <w:t>, Anglicare Tasmania, Hobart.</w:t>
      </w:r>
    </w:p>
    <w:p w:rsidR="00A079D2" w:rsidRPr="00E24C50" w:rsidRDefault="00A079D2" w:rsidP="00456860">
      <w:pPr>
        <w:pStyle w:val="EndNoteBibliography"/>
        <w:spacing w:after="0"/>
      </w:pPr>
    </w:p>
    <w:p w:rsidR="00A079D2" w:rsidRPr="00E24C50" w:rsidRDefault="00A079D2" w:rsidP="00456860">
      <w:pPr>
        <w:pStyle w:val="EndNoteBibliography"/>
      </w:pPr>
      <w:r w:rsidRPr="00E24C50">
        <w:t xml:space="preserve">Coates, B &amp; Moloney, J 2023, </w:t>
      </w:r>
      <w:r w:rsidRPr="00E24C50">
        <w:rPr>
          <w:i/>
        </w:rPr>
        <w:t>Super savings: Practical policies for fairer superannuation and a stronger budget</w:t>
      </w:r>
      <w:r w:rsidRPr="00E24C50">
        <w:t>, Grattan Institute, Melborune.</w:t>
      </w:r>
    </w:p>
    <w:p w:rsidR="00A079D2" w:rsidRPr="00E24C50" w:rsidRDefault="00A079D2" w:rsidP="00456860">
      <w:pPr>
        <w:pStyle w:val="EndNoteBibliography"/>
        <w:spacing w:after="0"/>
      </w:pPr>
    </w:p>
    <w:p w:rsidR="00631B11" w:rsidRDefault="00A079D2" w:rsidP="00456860">
      <w:pPr>
        <w:pStyle w:val="EndNoteBibliography"/>
      </w:pPr>
      <w:r w:rsidRPr="00E24C50">
        <w:lastRenderedPageBreak/>
        <w:t>Commonwealth of Australia 2023, "Meeting of National Cabinet - Working together to deliver better housing outcomes" [media release], 16 August, viewed</w:t>
      </w:r>
      <w:r w:rsidR="00631B11">
        <w:t xml:space="preserve"> May 2024</w:t>
      </w:r>
      <w:r w:rsidRPr="00E24C50">
        <w:t xml:space="preserve">, </w:t>
      </w:r>
      <w:hyperlink r:id="rId43" w:history="1">
        <w:r w:rsidR="00631B11" w:rsidRPr="004B736E">
          <w:rPr>
            <w:rStyle w:val="Hyperlink"/>
          </w:rPr>
          <w:t>https://www.pm.gov.au/media/meeting-national-cabinet-working-together-deliver-better-housing-outcomes</w:t>
        </w:r>
      </w:hyperlink>
    </w:p>
    <w:p w:rsidR="00A079D2" w:rsidRPr="00E24C50" w:rsidRDefault="00A079D2" w:rsidP="00456860">
      <w:pPr>
        <w:pStyle w:val="EndNoteBibliography"/>
        <w:spacing w:after="0"/>
      </w:pPr>
    </w:p>
    <w:p w:rsidR="00A079D2" w:rsidRPr="00E24C50" w:rsidRDefault="00A079D2" w:rsidP="00456860">
      <w:pPr>
        <w:pStyle w:val="EndNoteBibliography"/>
      </w:pPr>
      <w:r w:rsidRPr="00E24C50">
        <w:t xml:space="preserve">Hobbs, C 2022, </w:t>
      </w:r>
      <w:r w:rsidRPr="00E24C50">
        <w:rPr>
          <w:i/>
        </w:rPr>
        <w:t>Young, in love and in danger: Teen domestic violence and abuse in Tasmania</w:t>
      </w:r>
      <w:r w:rsidRPr="00E24C50">
        <w:t xml:space="preserve">, </w:t>
      </w:r>
      <w:r w:rsidR="002124E5">
        <w:t xml:space="preserve">Anglicare Tasmania, </w:t>
      </w:r>
      <w:r w:rsidRPr="00E24C50">
        <w:t>Hobart.</w:t>
      </w:r>
    </w:p>
    <w:p w:rsidR="00A079D2" w:rsidRPr="00E24C50" w:rsidRDefault="00A079D2" w:rsidP="00456860">
      <w:pPr>
        <w:pStyle w:val="EndNoteBibliography"/>
        <w:spacing w:after="0"/>
      </w:pPr>
    </w:p>
    <w:p w:rsidR="002124E5" w:rsidRDefault="00A079D2" w:rsidP="00456860">
      <w:pPr>
        <w:pStyle w:val="EndNoteBibliography"/>
      </w:pPr>
      <w:r w:rsidRPr="00E24C50">
        <w:t xml:space="preserve">Homes Tasmania 2023a, </w:t>
      </w:r>
      <w:r w:rsidRPr="00E24C50">
        <w:rPr>
          <w:i/>
        </w:rPr>
        <w:t>Tasmanian Housing Strategy 2023-2043</w:t>
      </w:r>
      <w:r w:rsidRPr="00E24C50">
        <w:t xml:space="preserve">, viewed </w:t>
      </w:r>
      <w:r w:rsidR="002124E5">
        <w:t>May 2024</w:t>
      </w:r>
      <w:r w:rsidRPr="00E24C50">
        <w:t xml:space="preserve">, </w:t>
      </w:r>
      <w:hyperlink r:id="rId44" w:history="1">
        <w:r w:rsidR="002124E5" w:rsidRPr="004B736E">
          <w:rPr>
            <w:rStyle w:val="Hyperlink"/>
          </w:rPr>
          <w:t>https://www.homestasmania.com.au/__data/assets/pdf_file/0028/276931/230265_Homes_Tas_Strategy_document_wcag.pdf</w:t>
        </w:r>
      </w:hyperlink>
    </w:p>
    <w:p w:rsidR="00A079D2" w:rsidRPr="00E24C50" w:rsidRDefault="00A079D2" w:rsidP="00456860">
      <w:pPr>
        <w:pStyle w:val="EndNoteBibliography"/>
        <w:spacing w:after="0"/>
      </w:pPr>
    </w:p>
    <w:p w:rsidR="002124E5" w:rsidRDefault="00A079D2" w:rsidP="00456860">
      <w:pPr>
        <w:pStyle w:val="EndNoteBibliography"/>
      </w:pPr>
      <w:r w:rsidRPr="00E24C50">
        <w:t xml:space="preserve">--- 2023b, </w:t>
      </w:r>
      <w:r w:rsidRPr="00E24C50">
        <w:rPr>
          <w:i/>
        </w:rPr>
        <w:t>Tasmanian Housing Strategy Action Plan 2023-2027</w:t>
      </w:r>
      <w:r w:rsidRPr="00E24C50">
        <w:t xml:space="preserve">, viewed </w:t>
      </w:r>
      <w:r w:rsidR="002124E5">
        <w:t>May 2024</w:t>
      </w:r>
      <w:r w:rsidRPr="00E24C50">
        <w:t xml:space="preserve">, </w:t>
      </w:r>
      <w:hyperlink r:id="rId45" w:history="1">
        <w:r w:rsidR="002124E5" w:rsidRPr="004B736E">
          <w:rPr>
            <w:rStyle w:val="Hyperlink"/>
          </w:rPr>
          <w:t>https://www.homestasmania.com.au/__data/assets/pdf_file/0027/276930/Housing_Tasmania_Strategy_Action_Plan_2023-2027.pdf</w:t>
        </w:r>
      </w:hyperlink>
    </w:p>
    <w:p w:rsidR="00A079D2" w:rsidRPr="00E24C50" w:rsidRDefault="00A079D2" w:rsidP="00456860">
      <w:pPr>
        <w:pStyle w:val="EndNoteBibliography"/>
        <w:spacing w:after="0"/>
      </w:pPr>
    </w:p>
    <w:p w:rsidR="00A079D2" w:rsidRPr="00E24C50" w:rsidRDefault="00A079D2" w:rsidP="00456860">
      <w:pPr>
        <w:pStyle w:val="EndNoteBibliography"/>
      </w:pPr>
      <w:r w:rsidRPr="00E24C50">
        <w:t xml:space="preserve">Jacobs, K &amp; Flanagan, K 2013, "Public housing and the politics of stigma", </w:t>
      </w:r>
      <w:r w:rsidRPr="00E24C50">
        <w:rPr>
          <w:i/>
        </w:rPr>
        <w:t>Australian Journal of Social Issues</w:t>
      </w:r>
      <w:r w:rsidRPr="00E24C50">
        <w:t>, vol. 48, no. 3, pp. 319-.</w:t>
      </w:r>
    </w:p>
    <w:p w:rsidR="00A079D2" w:rsidRPr="00E24C50" w:rsidRDefault="00A079D2" w:rsidP="00456860">
      <w:pPr>
        <w:pStyle w:val="EndNoteBibliography"/>
        <w:spacing w:after="0"/>
      </w:pPr>
    </w:p>
    <w:p w:rsidR="00A079D2" w:rsidRPr="00E24C50" w:rsidRDefault="00A079D2" w:rsidP="00456860">
      <w:pPr>
        <w:pStyle w:val="EndNoteBibliography"/>
      </w:pPr>
      <w:r w:rsidRPr="00E24C50">
        <w:t xml:space="preserve">King, AC &amp; Woodroffe, J 2019, "Walking Interviews", in P Liamputtong (ed.), </w:t>
      </w:r>
      <w:r w:rsidRPr="00E24C50">
        <w:rPr>
          <w:i/>
        </w:rPr>
        <w:t>Handbook of Research Methods in Health Social Sciences</w:t>
      </w:r>
      <w:r w:rsidRPr="00E24C50">
        <w:t>,</w:t>
      </w:r>
      <w:r w:rsidRPr="00E24C50">
        <w:rPr>
          <w:i/>
        </w:rPr>
        <w:t xml:space="preserve"> </w:t>
      </w:r>
      <w:r w:rsidRPr="00E24C50">
        <w:t>Springer Singapore.</w:t>
      </w:r>
    </w:p>
    <w:p w:rsidR="00A079D2" w:rsidRPr="00E24C50" w:rsidRDefault="00A079D2" w:rsidP="00456860">
      <w:pPr>
        <w:pStyle w:val="EndNoteBibliography"/>
        <w:spacing w:after="0"/>
      </w:pPr>
    </w:p>
    <w:p w:rsidR="00A079D2" w:rsidRPr="00E24C50" w:rsidRDefault="00A079D2" w:rsidP="00456860">
      <w:pPr>
        <w:pStyle w:val="EndNoteBibliography"/>
      </w:pPr>
      <w:r w:rsidRPr="00E24C50">
        <w:t xml:space="preserve">Martin, P, Liaw, W, Bazemore, A, Jetty, A, Petterson, S &amp; Kushel, M 2019, "Adults with Housing Insecurity Have Worse Access to Primary and Preventive Care", </w:t>
      </w:r>
      <w:r w:rsidRPr="00E24C50">
        <w:rPr>
          <w:i/>
        </w:rPr>
        <w:t>J Am Board Fam Med</w:t>
      </w:r>
      <w:r w:rsidRPr="00E24C50">
        <w:t>, vol. 32, no. 4, pp. 521-530.</w:t>
      </w:r>
    </w:p>
    <w:p w:rsidR="00A079D2" w:rsidRPr="00E24C50" w:rsidRDefault="00A079D2" w:rsidP="00456860">
      <w:pPr>
        <w:pStyle w:val="EndNoteBibliography"/>
        <w:spacing w:after="0"/>
      </w:pPr>
    </w:p>
    <w:p w:rsidR="00A079D2" w:rsidRPr="00E24C50" w:rsidRDefault="00A079D2" w:rsidP="00456860">
      <w:pPr>
        <w:pStyle w:val="EndNoteBibliography"/>
      </w:pPr>
      <w:r w:rsidRPr="00E24C50">
        <w:t xml:space="preserve">McKail, B 2022, </w:t>
      </w:r>
      <w:r w:rsidRPr="00E24C50">
        <w:rPr>
          <w:i/>
        </w:rPr>
        <w:t>Ageing in Place: Home and Housing for Australia's Older Renters</w:t>
      </w:r>
      <w:r w:rsidRPr="00E24C50">
        <w:t>, Australia Fair Series, Anglicare Australia, Canberra.</w:t>
      </w:r>
    </w:p>
    <w:p w:rsidR="00A079D2" w:rsidRPr="00E24C50" w:rsidRDefault="00A079D2" w:rsidP="00456860">
      <w:pPr>
        <w:pStyle w:val="EndNoteBibliography"/>
        <w:spacing w:after="0"/>
      </w:pPr>
    </w:p>
    <w:p w:rsidR="00A079D2" w:rsidRPr="00E24C50" w:rsidRDefault="00A079D2" w:rsidP="00456860">
      <w:pPr>
        <w:pStyle w:val="EndNoteBibliography"/>
      </w:pPr>
      <w:r w:rsidRPr="00E24C50">
        <w:t>Melbourne Institute</w:t>
      </w:r>
      <w:r w:rsidR="002124E5">
        <w:t xml:space="preserve"> of</w:t>
      </w:r>
      <w:r w:rsidRPr="00E24C50">
        <w:t xml:space="preserve"> Applied Economic &amp; Social Research 2022, </w:t>
      </w:r>
      <w:r w:rsidR="002124E5">
        <w:rPr>
          <w:i/>
        </w:rPr>
        <w:t>HILDA Survey</w:t>
      </w:r>
      <w:r w:rsidRPr="00E24C50">
        <w:t xml:space="preserve">, viewed </w:t>
      </w:r>
      <w:r w:rsidR="002124E5">
        <w:t>May 2024</w:t>
      </w:r>
      <w:r w:rsidRPr="00E24C50">
        <w:t xml:space="preserve">, </w:t>
      </w:r>
      <w:hyperlink r:id="rId46" w:history="1">
        <w:r w:rsidR="002124E5" w:rsidRPr="004B736E">
          <w:rPr>
            <w:rStyle w:val="Hyperlink"/>
          </w:rPr>
          <w:t>https://melbourneinstitute.unimelb.edu.au/hilda</w:t>
        </w:r>
      </w:hyperlink>
      <w:r w:rsidRPr="00E24C50">
        <w:t>.</w:t>
      </w:r>
    </w:p>
    <w:p w:rsidR="00A079D2" w:rsidRPr="00E24C50" w:rsidRDefault="00A079D2" w:rsidP="00456860">
      <w:pPr>
        <w:pStyle w:val="EndNoteBibliography"/>
        <w:spacing w:after="0"/>
      </w:pPr>
    </w:p>
    <w:p w:rsidR="00A079D2" w:rsidRPr="00E24C50" w:rsidRDefault="00A079D2" w:rsidP="00456860">
      <w:pPr>
        <w:pStyle w:val="EndNoteBibliography"/>
      </w:pPr>
      <w:r w:rsidRPr="00E24C50">
        <w:t xml:space="preserve">Polidoras, A, Toner, K, Banks, C &amp; Diseris, I 2023, </w:t>
      </w:r>
      <w:r w:rsidRPr="00E24C50">
        <w:rPr>
          <w:i/>
        </w:rPr>
        <w:t>State of the Older Nation 2023</w:t>
      </w:r>
      <w:r w:rsidRPr="00E24C50">
        <w:t>, COTA.</w:t>
      </w:r>
    </w:p>
    <w:p w:rsidR="00A079D2" w:rsidRPr="00E24C50" w:rsidRDefault="00A079D2" w:rsidP="00456860">
      <w:pPr>
        <w:pStyle w:val="EndNoteBibliography"/>
        <w:spacing w:after="0"/>
      </w:pPr>
    </w:p>
    <w:p w:rsidR="00A079D2" w:rsidRPr="00E24C50" w:rsidRDefault="00A079D2" w:rsidP="00456860">
      <w:pPr>
        <w:pStyle w:val="EndNoteBibliography"/>
      </w:pPr>
      <w:r w:rsidRPr="00E24C50">
        <w:t xml:space="preserve">Power, ER 2020, "Mobility-based disadvantage in older age: insecure housing and the risks of moving house", </w:t>
      </w:r>
      <w:r w:rsidRPr="00E24C50">
        <w:rPr>
          <w:i/>
        </w:rPr>
        <w:t>Ageing and Society</w:t>
      </w:r>
      <w:r w:rsidRPr="00E24C50">
        <w:t>, vol. 42, no. 1, pp. 89-111.</w:t>
      </w:r>
    </w:p>
    <w:p w:rsidR="00A079D2" w:rsidRPr="00E24C50" w:rsidRDefault="00A079D2" w:rsidP="00456860">
      <w:pPr>
        <w:pStyle w:val="EndNoteBibliography"/>
        <w:spacing w:after="0"/>
      </w:pPr>
    </w:p>
    <w:p w:rsidR="00A079D2" w:rsidRPr="00E24C50" w:rsidRDefault="00A079D2" w:rsidP="00456860">
      <w:pPr>
        <w:pStyle w:val="EndNoteBibliography"/>
      </w:pPr>
      <w:r w:rsidRPr="00E24C50">
        <w:t xml:space="preserve">Reilly, J, Ho, I &amp; Williamson, A 2022, "A systematic review of the effect of stigma on the health of people experiencing homelessness", </w:t>
      </w:r>
      <w:r w:rsidRPr="00E24C50">
        <w:rPr>
          <w:i/>
        </w:rPr>
        <w:t>Health &amp; Social Care in the Community</w:t>
      </w:r>
      <w:r w:rsidRPr="00E24C50">
        <w:t>, vol. 30, no. 6, pp. 2128-2141.</w:t>
      </w:r>
    </w:p>
    <w:p w:rsidR="00A079D2" w:rsidRPr="00E24C50" w:rsidRDefault="00A079D2" w:rsidP="00456860">
      <w:pPr>
        <w:pStyle w:val="EndNoteBibliography"/>
        <w:spacing w:after="0"/>
      </w:pPr>
    </w:p>
    <w:p w:rsidR="002124E5" w:rsidRDefault="00A079D2" w:rsidP="00456860">
      <w:pPr>
        <w:pStyle w:val="EndNoteBibliography"/>
      </w:pPr>
      <w:r w:rsidRPr="00E24C50">
        <w:t xml:space="preserve">Senate Economics Reference Committee 2016, </w:t>
      </w:r>
      <w:r w:rsidRPr="00E24C50">
        <w:rPr>
          <w:i/>
        </w:rPr>
        <w:t>'A husband is not a retirement plan': Achieving economic security for women in retirement</w:t>
      </w:r>
      <w:r w:rsidRPr="00E24C50">
        <w:t xml:space="preserve">, viewed </w:t>
      </w:r>
      <w:r w:rsidR="002124E5">
        <w:t>May 2024</w:t>
      </w:r>
      <w:r w:rsidRPr="00E24C50">
        <w:t xml:space="preserve">, </w:t>
      </w:r>
      <w:hyperlink r:id="rId47" w:history="1">
        <w:r w:rsidR="002124E5" w:rsidRPr="004B736E">
          <w:rPr>
            <w:rStyle w:val="Hyperlink"/>
          </w:rPr>
          <w:t>https://www.aph.gov.au/Parliamentary_Business/Committees/Senate/Economics/Economic_security_for_women_in_retirement/~/media/Committees/economics_ctte/Economic_security_for_women_in_retirement/report.pdf</w:t>
        </w:r>
      </w:hyperlink>
    </w:p>
    <w:p w:rsidR="00A079D2" w:rsidRPr="00E24C50" w:rsidRDefault="00A079D2" w:rsidP="00456860">
      <w:pPr>
        <w:pStyle w:val="EndNoteBibliography"/>
        <w:spacing w:after="0"/>
      </w:pPr>
    </w:p>
    <w:p w:rsidR="00A079D2" w:rsidRPr="00E24C50" w:rsidRDefault="00A079D2" w:rsidP="00456860">
      <w:pPr>
        <w:pStyle w:val="EndNoteBibliography"/>
      </w:pPr>
      <w:r w:rsidRPr="00E24C50">
        <w:t xml:space="preserve">Stone, W, Reynolds, M, Veeroja, P, Power, ER, Perugia, F &amp; James, A 2023, </w:t>
      </w:r>
      <w:r w:rsidRPr="00E24C50">
        <w:rPr>
          <w:i/>
        </w:rPr>
        <w:t>Ageing in a housing crisis: Older people's insecurity and homelessness in Australia</w:t>
      </w:r>
      <w:r w:rsidRPr="00E24C50">
        <w:t>.</w:t>
      </w:r>
    </w:p>
    <w:p w:rsidR="00A079D2" w:rsidRPr="00E24C50" w:rsidRDefault="00A079D2" w:rsidP="00456860">
      <w:pPr>
        <w:pStyle w:val="EndNoteBibliography"/>
        <w:spacing w:after="0"/>
      </w:pPr>
    </w:p>
    <w:p w:rsidR="00A079D2" w:rsidRPr="00E24C50" w:rsidRDefault="00A079D2" w:rsidP="00456860">
      <w:pPr>
        <w:pStyle w:val="EndNoteBibliography"/>
      </w:pPr>
      <w:r w:rsidRPr="00E24C50">
        <w:t xml:space="preserve">Strazdins, L, Welsh, J, Korda, R, Broom, D &amp; Paolucci, F 2016, "Not all hours are equal: could time be a social determinant of health?", </w:t>
      </w:r>
      <w:r w:rsidRPr="00E24C50">
        <w:rPr>
          <w:i/>
        </w:rPr>
        <w:t>Sociol Health Illn</w:t>
      </w:r>
      <w:r w:rsidRPr="00E24C50">
        <w:t>, vol. 38, no. 1, pp. 21-42.</w:t>
      </w:r>
    </w:p>
    <w:p w:rsidR="00A079D2" w:rsidRPr="00E24C50" w:rsidRDefault="00A079D2" w:rsidP="00456860">
      <w:pPr>
        <w:pStyle w:val="EndNoteBibliography"/>
        <w:spacing w:after="0"/>
      </w:pPr>
    </w:p>
    <w:p w:rsidR="00A079D2" w:rsidRPr="00E24C50" w:rsidRDefault="00A079D2" w:rsidP="00456860">
      <w:pPr>
        <w:pStyle w:val="EndNoteBibliography"/>
      </w:pPr>
      <w:r w:rsidRPr="00E24C50">
        <w:t xml:space="preserve">Strother Ratcliff, K 2017, </w:t>
      </w:r>
      <w:r w:rsidRPr="00E24C50">
        <w:rPr>
          <w:i/>
        </w:rPr>
        <w:t>The Social Determinants of Health: Looking Upstream</w:t>
      </w:r>
      <w:r w:rsidRPr="00E24C50">
        <w:t>, Polity.</w:t>
      </w:r>
    </w:p>
    <w:p w:rsidR="00A079D2" w:rsidRPr="00E24C50" w:rsidRDefault="00A079D2" w:rsidP="00456860">
      <w:pPr>
        <w:pStyle w:val="EndNoteBibliography"/>
        <w:spacing w:after="0"/>
      </w:pPr>
    </w:p>
    <w:p w:rsidR="002124E5" w:rsidRDefault="00A079D2" w:rsidP="00456860">
      <w:pPr>
        <w:pStyle w:val="EndNoteBibliography"/>
      </w:pPr>
      <w:r w:rsidRPr="00E24C50">
        <w:t xml:space="preserve">Tenants' Union of Tasmania 2023, </w:t>
      </w:r>
      <w:r w:rsidRPr="00E24C50">
        <w:rPr>
          <w:i/>
        </w:rPr>
        <w:t>2024-25 Budget Submission</w:t>
      </w:r>
      <w:r w:rsidRPr="00E24C50">
        <w:t>, viewed</w:t>
      </w:r>
      <w:r w:rsidR="002124E5">
        <w:t xml:space="preserve"> May 2024</w:t>
      </w:r>
      <w:r w:rsidRPr="00E24C50">
        <w:t xml:space="preserve">, </w:t>
      </w:r>
      <w:hyperlink r:id="rId48" w:history="1">
        <w:r w:rsidR="002124E5" w:rsidRPr="004B736E">
          <w:rPr>
            <w:rStyle w:val="Hyperlink"/>
          </w:rPr>
          <w:t>https://tutas.org.au/wp-content/uploads/2023/12/TUTBudgetSubmission301123.pdf</w:t>
        </w:r>
      </w:hyperlink>
    </w:p>
    <w:p w:rsidR="00A079D2" w:rsidRPr="00E24C50" w:rsidRDefault="00A079D2" w:rsidP="00456860">
      <w:pPr>
        <w:pStyle w:val="EndNoteBibliography"/>
        <w:spacing w:after="0"/>
      </w:pPr>
    </w:p>
    <w:p w:rsidR="00A079D2" w:rsidRPr="00E24C50" w:rsidRDefault="00A079D2" w:rsidP="00456860">
      <w:pPr>
        <w:pStyle w:val="EndNoteBibliography"/>
      </w:pPr>
      <w:r w:rsidRPr="00E24C50">
        <w:t xml:space="preserve">Tranter, B 2019, "Sampling", in M Walter (ed.), </w:t>
      </w:r>
      <w:r w:rsidRPr="00E24C50">
        <w:rPr>
          <w:i/>
        </w:rPr>
        <w:t>Social Research Methods</w:t>
      </w:r>
      <w:r w:rsidRPr="00E24C50">
        <w:t>,</w:t>
      </w:r>
      <w:r w:rsidRPr="00E24C50">
        <w:rPr>
          <w:i/>
        </w:rPr>
        <w:t xml:space="preserve"> </w:t>
      </w:r>
      <w:r w:rsidRPr="00E24C50">
        <w:t>Oxford University Press, Docklands, VIC.</w:t>
      </w:r>
    </w:p>
    <w:p w:rsidR="00A079D2" w:rsidRPr="00E24C50" w:rsidRDefault="00A079D2" w:rsidP="00456860">
      <w:pPr>
        <w:pStyle w:val="EndNoteBibliography"/>
        <w:spacing w:after="0"/>
      </w:pPr>
    </w:p>
    <w:p w:rsidR="002124E5" w:rsidRDefault="00A079D2" w:rsidP="00456860">
      <w:pPr>
        <w:pStyle w:val="EndNoteBibliography"/>
      </w:pPr>
      <w:r w:rsidRPr="00E24C50">
        <w:t xml:space="preserve">World Health Organization n.d., </w:t>
      </w:r>
      <w:r w:rsidRPr="00E24C50">
        <w:rPr>
          <w:i/>
        </w:rPr>
        <w:t>Social determinants of health</w:t>
      </w:r>
      <w:r w:rsidRPr="00E24C50">
        <w:t xml:space="preserve">, viewed March 2023, </w:t>
      </w:r>
      <w:hyperlink r:id="rId49" w:history="1">
        <w:r w:rsidR="002124E5" w:rsidRPr="004B736E">
          <w:rPr>
            <w:rStyle w:val="Hyperlink"/>
          </w:rPr>
          <w:t>https://www.who.int/health-topics/social-determinants-of-health</w:t>
        </w:r>
      </w:hyperlink>
    </w:p>
    <w:p w:rsidR="00456860" w:rsidRDefault="00456860">
      <w:bookmarkStart w:id="113" w:name="_GoBack"/>
      <w:bookmarkEnd w:id="113"/>
    </w:p>
    <w:sectPr w:rsidR="00456860" w:rsidSect="00456860">
      <w:type w:val="oddPage"/>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C0F" w:rsidRDefault="004D1C0F" w:rsidP="00A079D2">
      <w:pPr>
        <w:spacing w:after="0" w:line="240" w:lineRule="auto"/>
      </w:pPr>
      <w:r>
        <w:separator/>
      </w:r>
    </w:p>
  </w:endnote>
  <w:endnote w:type="continuationSeparator" w:id="0">
    <w:p w:rsidR="004D1C0F" w:rsidRDefault="004D1C0F" w:rsidP="00A07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venir Next">
    <w:altName w:val="Calibri"/>
    <w:charset w:val="00"/>
    <w:family w:val="swiss"/>
    <w:pitch w:val="variable"/>
    <w:sig w:usb0="8000002F" w:usb1="5000204A" w:usb2="00000000" w:usb3="00000000" w:csb0="0000009B" w:csb1="00000000"/>
  </w:font>
  <w:font w:name="AvenirNext LT Pro Bold">
    <w:altName w:val="Calibri"/>
    <w:panose1 w:val="00000000000000000000"/>
    <w:charset w:val="4D"/>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0548610"/>
      <w:docPartObj>
        <w:docPartGallery w:val="Page Numbers (Bottom of Page)"/>
        <w:docPartUnique/>
      </w:docPartObj>
    </w:sdtPr>
    <w:sdtEndPr>
      <w:rPr>
        <w:noProof/>
      </w:rPr>
    </w:sdtEndPr>
    <w:sdtContent>
      <w:p w:rsidR="004D1C0F" w:rsidRDefault="004D1C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D1C0F" w:rsidRDefault="004D1C0F" w:rsidP="00456860">
    <w:pPr>
      <w:pStyle w:val="Footer"/>
      <w:tabs>
        <w:tab w:val="left" w:pos="38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2037286"/>
      <w:docPartObj>
        <w:docPartGallery w:val="Page Numbers (Bottom of Page)"/>
        <w:docPartUnique/>
      </w:docPartObj>
    </w:sdtPr>
    <w:sdtEndPr>
      <w:rPr>
        <w:noProof/>
      </w:rPr>
    </w:sdtEndPr>
    <w:sdtContent>
      <w:p w:rsidR="004D1C0F" w:rsidRDefault="004D1C0F">
        <w:pPr>
          <w:pStyle w:val="Footer"/>
          <w:jc w:val="center"/>
        </w:pPr>
      </w:p>
    </w:sdtContent>
  </w:sdt>
  <w:p w:rsidR="004D1C0F" w:rsidRDefault="004D1C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5011920"/>
      <w:docPartObj>
        <w:docPartGallery w:val="Page Numbers (Bottom of Page)"/>
        <w:docPartUnique/>
      </w:docPartObj>
    </w:sdtPr>
    <w:sdtEndPr>
      <w:rPr>
        <w:noProof/>
      </w:rPr>
    </w:sdtEndPr>
    <w:sdtContent>
      <w:p w:rsidR="004D1C0F" w:rsidRDefault="004D1C0F">
        <w:pPr>
          <w:pStyle w:val="Footer"/>
          <w:jc w:val="center"/>
        </w:pPr>
      </w:p>
    </w:sdtContent>
  </w:sdt>
  <w:p w:rsidR="004D1C0F" w:rsidRDefault="004D1C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677571"/>
      <w:docPartObj>
        <w:docPartGallery w:val="Page Numbers (Bottom of Page)"/>
        <w:docPartUnique/>
      </w:docPartObj>
    </w:sdtPr>
    <w:sdtEndPr>
      <w:rPr>
        <w:noProof/>
      </w:rPr>
    </w:sdtEndPr>
    <w:sdtContent>
      <w:p w:rsidR="004D1C0F" w:rsidRDefault="004D1C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D1C0F" w:rsidRDefault="004D1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C0F" w:rsidRDefault="004D1C0F" w:rsidP="00A079D2">
      <w:pPr>
        <w:spacing w:after="0" w:line="240" w:lineRule="auto"/>
      </w:pPr>
      <w:r>
        <w:separator/>
      </w:r>
    </w:p>
  </w:footnote>
  <w:footnote w:type="continuationSeparator" w:id="0">
    <w:p w:rsidR="004D1C0F" w:rsidRDefault="004D1C0F" w:rsidP="00A079D2">
      <w:pPr>
        <w:spacing w:after="0" w:line="240" w:lineRule="auto"/>
      </w:pPr>
      <w:r>
        <w:continuationSeparator/>
      </w:r>
    </w:p>
  </w:footnote>
  <w:footnote w:id="1">
    <w:p w:rsidR="004D1C0F" w:rsidRDefault="004D1C0F">
      <w:pPr>
        <w:pStyle w:val="FootnoteText"/>
      </w:pPr>
      <w:r>
        <w:rPr>
          <w:rStyle w:val="FootnoteReference"/>
        </w:rPr>
        <w:footnoteRef/>
      </w:r>
      <w:r>
        <w:t xml:space="preserve"> Further information about the HILDA survey and methodology is provided in the Appendix.</w:t>
      </w:r>
    </w:p>
  </w:footnote>
  <w:footnote w:id="2">
    <w:p w:rsidR="004D1C0F" w:rsidRPr="00940D5E" w:rsidRDefault="004D1C0F" w:rsidP="00456860">
      <w:pPr>
        <w:spacing w:after="0"/>
        <w:rPr>
          <w:sz w:val="20"/>
          <w:szCs w:val="20"/>
        </w:rPr>
      </w:pPr>
      <w:r w:rsidRPr="00940D5E">
        <w:rPr>
          <w:rStyle w:val="FootnoteReference"/>
          <w:sz w:val="20"/>
          <w:szCs w:val="20"/>
        </w:rPr>
        <w:footnoteRef/>
      </w:r>
      <w:r w:rsidRPr="00940D5E">
        <w:rPr>
          <w:sz w:val="20"/>
          <w:szCs w:val="20"/>
        </w:rPr>
        <w:t xml:space="preserve"> Note:</w:t>
      </w:r>
      <w:r>
        <w:rPr>
          <w:sz w:val="20"/>
          <w:szCs w:val="20"/>
        </w:rPr>
        <w:t xml:space="preserve"> </w:t>
      </w:r>
      <w:r w:rsidRPr="00940D5E">
        <w:rPr>
          <w:sz w:val="20"/>
          <w:szCs w:val="20"/>
        </w:rPr>
        <w:t xml:space="preserve">Walking interviews need not involve walking </w:t>
      </w:r>
      <w:r w:rsidRPr="00940D5E">
        <w:rPr>
          <w:i/>
          <w:sz w:val="20"/>
          <w:szCs w:val="20"/>
        </w:rPr>
        <w:t>per se</w:t>
      </w:r>
      <w:r w:rsidRPr="00940D5E">
        <w:rPr>
          <w:sz w:val="20"/>
          <w:szCs w:val="20"/>
        </w:rPr>
        <w:t xml:space="preserve">. Participants may use mobility aids, and/or choose to be interviewed in a smaller space if they wish. This was explained in the Information Sheet. </w:t>
      </w:r>
    </w:p>
    <w:p w:rsidR="004D1C0F" w:rsidRDefault="004D1C0F" w:rsidP="00456860">
      <w:pPr>
        <w:pStyle w:val="FootnoteText"/>
      </w:pPr>
    </w:p>
  </w:footnote>
  <w:footnote w:id="3">
    <w:p w:rsidR="004D1C0F" w:rsidRDefault="004D1C0F" w:rsidP="00456860">
      <w:pPr>
        <w:pStyle w:val="FootnoteText"/>
      </w:pPr>
      <w:r>
        <w:rPr>
          <w:rStyle w:val="FootnoteReference"/>
        </w:rPr>
        <w:footnoteRef/>
      </w:r>
      <w:r>
        <w:t xml:space="preserve"> People whose gender was not male and not female, or for whom a gender was not recorded, are not included in this gender calculation. </w:t>
      </w:r>
    </w:p>
  </w:footnote>
  <w:footnote w:id="4">
    <w:p w:rsidR="004D1C0F" w:rsidRDefault="004D1C0F">
      <w:pPr>
        <w:pStyle w:val="FootnoteText"/>
      </w:pPr>
      <w:r>
        <w:rPr>
          <w:rStyle w:val="FootnoteReference"/>
        </w:rPr>
        <w:footnoteRef/>
      </w:r>
      <w:r>
        <w:t xml:space="preserve"> * Equivalised household disposable income. Age is in reference to household head. </w:t>
      </w:r>
    </w:p>
    <w:p w:rsidR="004D1C0F" w:rsidRDefault="004D1C0F">
      <w:pPr>
        <w:pStyle w:val="FootnoteText"/>
      </w:pPr>
      <w:r>
        <w:t>** Renters include renters in the private market, social or public housing.</w:t>
      </w:r>
    </w:p>
    <w:p w:rsidR="004D1C0F" w:rsidRDefault="004D1C0F">
      <w:pPr>
        <w:pStyle w:val="FootnoteText"/>
      </w:pPr>
      <w:r>
        <w:t>** Owner-occupiers with or without a mortgage.</w:t>
      </w:r>
    </w:p>
  </w:footnote>
  <w:footnote w:id="5">
    <w:p w:rsidR="004D1C0F" w:rsidRDefault="004D1C0F">
      <w:pPr>
        <w:pStyle w:val="FootnoteText"/>
      </w:pPr>
      <w:r>
        <w:rPr>
          <w:rStyle w:val="FootnoteReference"/>
        </w:rPr>
        <w:footnoteRef/>
      </w:r>
      <w:r>
        <w:t xml:space="preserve"> The </w:t>
      </w:r>
      <w:r w:rsidRPr="00C610D8">
        <w:t>Appendix provides</w:t>
      </w:r>
      <w:r>
        <w:t xml:space="preserve"> additional methodological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316961"/>
      <w:docPartObj>
        <w:docPartGallery w:val="Watermarks"/>
        <w:docPartUnique/>
      </w:docPartObj>
    </w:sdtPr>
    <w:sdtContent>
      <w:p w:rsidR="004D1C0F" w:rsidRDefault="004D1C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C0F" w:rsidRDefault="004D1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59B7"/>
    <w:multiLevelType w:val="hybridMultilevel"/>
    <w:tmpl w:val="6852A6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D13FFA"/>
    <w:multiLevelType w:val="hybridMultilevel"/>
    <w:tmpl w:val="6DCCCAB6"/>
    <w:lvl w:ilvl="0" w:tplc="8B92C89A">
      <w:numFmt w:val="bullet"/>
      <w:lvlText w:val="-"/>
      <w:lvlJc w:val="left"/>
      <w:pPr>
        <w:ind w:left="720" w:hanging="360"/>
      </w:pPr>
      <w:rPr>
        <w:rFonts w:ascii="Avenir Next LT Pro" w:eastAsiaTheme="minorHAnsi" w:hAnsi="Avenir Next LT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F23AA4"/>
    <w:multiLevelType w:val="hybridMultilevel"/>
    <w:tmpl w:val="BF92E0A2"/>
    <w:lvl w:ilvl="0" w:tplc="8B92C89A">
      <w:numFmt w:val="bullet"/>
      <w:lvlText w:val="-"/>
      <w:lvlJc w:val="left"/>
      <w:pPr>
        <w:ind w:left="720" w:hanging="360"/>
      </w:pPr>
      <w:rPr>
        <w:rFonts w:ascii="Avenir Next LT Pro" w:eastAsiaTheme="minorHAnsi" w:hAnsi="Avenir Next LT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9D3AE1"/>
    <w:multiLevelType w:val="hybridMultilevel"/>
    <w:tmpl w:val="08E0E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6C3CB4"/>
    <w:multiLevelType w:val="multilevel"/>
    <w:tmpl w:val="E3FE3FB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heme="minorHAnsi" w:hAnsiTheme="minorHAnsi"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842DC0"/>
    <w:multiLevelType w:val="hybridMultilevel"/>
    <w:tmpl w:val="3184EE2E"/>
    <w:lvl w:ilvl="0" w:tplc="F766980A">
      <w:start w:val="1"/>
      <w:numFmt w:val="lowerLetter"/>
      <w:lvlText w:val="%1."/>
      <w:lvlJc w:val="left"/>
      <w:pPr>
        <w:ind w:left="720" w:hanging="360"/>
      </w:pPr>
      <w:rPr>
        <w:rFonts w:ascii="Calibri" w:hAnsi="Calibri"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BE4BE0"/>
    <w:multiLevelType w:val="hybridMultilevel"/>
    <w:tmpl w:val="4FDAEC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5972D1"/>
    <w:multiLevelType w:val="multilevel"/>
    <w:tmpl w:val="0A7C985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15:restartNumberingAfterBreak="0">
    <w:nsid w:val="285D4281"/>
    <w:multiLevelType w:val="hybridMultilevel"/>
    <w:tmpl w:val="32D46A88"/>
    <w:lvl w:ilvl="0" w:tplc="8B92C89A">
      <w:numFmt w:val="bullet"/>
      <w:lvlText w:val="-"/>
      <w:lvlJc w:val="left"/>
      <w:pPr>
        <w:ind w:left="720" w:hanging="360"/>
      </w:pPr>
      <w:rPr>
        <w:rFonts w:ascii="Avenir Next LT Pro" w:eastAsiaTheme="minorHAnsi" w:hAnsi="Avenir Next LT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C116BA"/>
    <w:multiLevelType w:val="hybridMultilevel"/>
    <w:tmpl w:val="8BC236FC"/>
    <w:lvl w:ilvl="0" w:tplc="70223E54">
      <w:start w:val="1"/>
      <w:numFmt w:val="decimal"/>
      <w:lvlText w:val="%1."/>
      <w:lvlJc w:val="left"/>
      <w:pPr>
        <w:ind w:left="360" w:hanging="360"/>
      </w:pPr>
      <w:rPr>
        <w:color w:val="FFFFFF" w:themeColor="background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0431B47"/>
    <w:multiLevelType w:val="hybridMultilevel"/>
    <w:tmpl w:val="74BCE12A"/>
    <w:lvl w:ilvl="0" w:tplc="70223E54">
      <w:start w:val="1"/>
      <w:numFmt w:val="decimal"/>
      <w:lvlText w:val="%1."/>
      <w:lvlJc w:val="left"/>
      <w:pPr>
        <w:ind w:left="360" w:hanging="360"/>
      </w:pPr>
      <w:rPr>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174702"/>
    <w:multiLevelType w:val="hybridMultilevel"/>
    <w:tmpl w:val="D5CE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965FE7"/>
    <w:multiLevelType w:val="hybridMultilevel"/>
    <w:tmpl w:val="EDFEAA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72A6BF5"/>
    <w:multiLevelType w:val="multilevel"/>
    <w:tmpl w:val="DEF61FE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47FD0160"/>
    <w:multiLevelType w:val="hybridMultilevel"/>
    <w:tmpl w:val="0EB21AFC"/>
    <w:lvl w:ilvl="0" w:tplc="89142C4E">
      <w:start w:val="1"/>
      <w:numFmt w:val="decimal"/>
      <w:lvlText w:val="%1."/>
      <w:lvlJc w:val="left"/>
      <w:pPr>
        <w:ind w:left="36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C069F2"/>
    <w:multiLevelType w:val="hybridMultilevel"/>
    <w:tmpl w:val="7C984E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FC2B03"/>
    <w:multiLevelType w:val="multilevel"/>
    <w:tmpl w:val="4A1EF19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asciiTheme="minorHAnsi" w:hAnsi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9FD77AE"/>
    <w:multiLevelType w:val="multilevel"/>
    <w:tmpl w:val="1D70CF26"/>
    <w:lvl w:ilvl="0">
      <w:numFmt w:val="bullet"/>
      <w:lvlText w:val="-"/>
      <w:lvlJc w:val="left"/>
      <w:pPr>
        <w:tabs>
          <w:tab w:val="num" w:pos="1080"/>
        </w:tabs>
        <w:ind w:left="1080" w:hanging="360"/>
      </w:pPr>
      <w:rPr>
        <w:rFonts w:ascii="Avenir Next LT Pro" w:eastAsiaTheme="minorHAnsi" w:hAnsi="Avenir Next LT Pro" w:cstheme="minorBidi"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5A733A9D"/>
    <w:multiLevelType w:val="hybridMultilevel"/>
    <w:tmpl w:val="9B823B9A"/>
    <w:lvl w:ilvl="0" w:tplc="92EC14D0">
      <w:start w:val="1"/>
      <w:numFmt w:val="decimal"/>
      <w:lvlText w:val="%1."/>
      <w:lvlJc w:val="left"/>
      <w:pPr>
        <w:ind w:left="720" w:hanging="360"/>
      </w:pPr>
      <w:rPr>
        <w:rFonts w:hint="default"/>
        <w:b w:val="0"/>
        <w:bCs w:val="0"/>
        <w:i w:val="0"/>
        <w:iCs w:val="0"/>
        <w:color w:val="auto"/>
        <w:w w:val="10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672761"/>
    <w:multiLevelType w:val="hybridMultilevel"/>
    <w:tmpl w:val="C0005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906722"/>
    <w:multiLevelType w:val="hybridMultilevel"/>
    <w:tmpl w:val="B5227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E20445"/>
    <w:multiLevelType w:val="multilevel"/>
    <w:tmpl w:val="4A1EF19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asciiTheme="minorHAnsi" w:hAnsi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6D8042A"/>
    <w:multiLevelType w:val="multilevel"/>
    <w:tmpl w:val="EBC4776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Theme="minorHAnsi" w:hAnsi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7"/>
  </w:num>
  <w:num w:numId="3">
    <w:abstractNumId w:val="13"/>
  </w:num>
  <w:num w:numId="4">
    <w:abstractNumId w:val="3"/>
  </w:num>
  <w:num w:numId="5">
    <w:abstractNumId w:val="11"/>
  </w:num>
  <w:num w:numId="6">
    <w:abstractNumId w:val="5"/>
  </w:num>
  <w:num w:numId="7">
    <w:abstractNumId w:val="21"/>
  </w:num>
  <w:num w:numId="8">
    <w:abstractNumId w:val="4"/>
  </w:num>
  <w:num w:numId="9">
    <w:abstractNumId w:val="22"/>
  </w:num>
  <w:num w:numId="10">
    <w:abstractNumId w:val="12"/>
  </w:num>
  <w:num w:numId="11">
    <w:abstractNumId w:val="16"/>
  </w:num>
  <w:num w:numId="12">
    <w:abstractNumId w:val="9"/>
  </w:num>
  <w:num w:numId="13">
    <w:abstractNumId w:val="10"/>
  </w:num>
  <w:num w:numId="14">
    <w:abstractNumId w:val="14"/>
  </w:num>
  <w:num w:numId="15">
    <w:abstractNumId w:val="6"/>
  </w:num>
  <w:num w:numId="16">
    <w:abstractNumId w:val="19"/>
  </w:num>
  <w:num w:numId="17">
    <w:abstractNumId w:val="1"/>
  </w:num>
  <w:num w:numId="18">
    <w:abstractNumId w:val="0"/>
  </w:num>
  <w:num w:numId="19">
    <w:abstractNumId w:val="17"/>
  </w:num>
  <w:num w:numId="20">
    <w:abstractNumId w:val="15"/>
  </w:num>
  <w:num w:numId="21">
    <w:abstractNumId w:val="18"/>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A079D2"/>
    <w:rsid w:val="000766B6"/>
    <w:rsid w:val="00124FCD"/>
    <w:rsid w:val="00192703"/>
    <w:rsid w:val="002124E5"/>
    <w:rsid w:val="002315AD"/>
    <w:rsid w:val="002870ED"/>
    <w:rsid w:val="002A6C64"/>
    <w:rsid w:val="00456860"/>
    <w:rsid w:val="004D1C0F"/>
    <w:rsid w:val="004E54B5"/>
    <w:rsid w:val="004E5FAA"/>
    <w:rsid w:val="00510A51"/>
    <w:rsid w:val="005F7AD3"/>
    <w:rsid w:val="00631B11"/>
    <w:rsid w:val="00735FA3"/>
    <w:rsid w:val="00752197"/>
    <w:rsid w:val="007E1E21"/>
    <w:rsid w:val="008577E8"/>
    <w:rsid w:val="008E0DF0"/>
    <w:rsid w:val="009A71E6"/>
    <w:rsid w:val="009B47F0"/>
    <w:rsid w:val="009B6ABF"/>
    <w:rsid w:val="00A079D2"/>
    <w:rsid w:val="00A237C0"/>
    <w:rsid w:val="00BB75E4"/>
    <w:rsid w:val="00CA6FD4"/>
    <w:rsid w:val="00D524EF"/>
    <w:rsid w:val="00DB3192"/>
    <w:rsid w:val="00DF5DF1"/>
    <w:rsid w:val="00FC37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3478F"/>
  <w15:chartTrackingRefBased/>
  <w15:docId w15:val="{024678DB-19EA-4F57-932A-2F700B24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79D2"/>
    <w:pPr>
      <w:spacing w:line="271" w:lineRule="auto"/>
    </w:pPr>
    <w:rPr>
      <w:rFonts w:ascii="Avenir Next LT Pro" w:hAnsi="Avenir Next LT Pro"/>
    </w:rPr>
  </w:style>
  <w:style w:type="paragraph" w:styleId="Heading1">
    <w:name w:val="heading 1"/>
    <w:basedOn w:val="Normal"/>
    <w:next w:val="Normal"/>
    <w:link w:val="Heading1Char"/>
    <w:uiPriority w:val="9"/>
    <w:qFormat/>
    <w:rsid w:val="00A079D2"/>
    <w:pPr>
      <w:keepNext/>
      <w:keepLines/>
      <w:spacing w:before="480" w:after="12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79D2"/>
    <w:pPr>
      <w:keepNext/>
      <w:keepLines/>
      <w:spacing w:before="120" w:after="12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079D2"/>
    <w:pPr>
      <w:keepNext/>
      <w:keepLines/>
      <w:spacing w:before="120" w:after="12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079D2"/>
    <w:pPr>
      <w:keepNext/>
      <w:keepLines/>
      <w:spacing w:before="240" w:after="12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rsid w:val="00A079D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A079D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A079D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A079D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9D2"/>
    <w:rPr>
      <w:rFonts w:ascii="Avenir Next LT Pro" w:eastAsiaTheme="majorEastAsia" w:hAnsi="Avenir Next LT Pro" w:cstheme="majorBidi"/>
      <w:color w:val="2F5496" w:themeColor="accent1" w:themeShade="BF"/>
      <w:sz w:val="32"/>
      <w:szCs w:val="32"/>
    </w:rPr>
  </w:style>
  <w:style w:type="character" w:customStyle="1" w:styleId="Heading2Char">
    <w:name w:val="Heading 2 Char"/>
    <w:basedOn w:val="DefaultParagraphFont"/>
    <w:link w:val="Heading2"/>
    <w:uiPriority w:val="9"/>
    <w:rsid w:val="00A079D2"/>
    <w:rPr>
      <w:rFonts w:ascii="Avenir Next LT Pro" w:eastAsiaTheme="majorEastAsia" w:hAnsi="Avenir Next LT Pro" w:cstheme="majorBidi"/>
      <w:color w:val="2F5496" w:themeColor="accent1" w:themeShade="BF"/>
      <w:sz w:val="26"/>
      <w:szCs w:val="26"/>
    </w:rPr>
  </w:style>
  <w:style w:type="character" w:customStyle="1" w:styleId="Heading3Char">
    <w:name w:val="Heading 3 Char"/>
    <w:basedOn w:val="DefaultParagraphFont"/>
    <w:link w:val="Heading3"/>
    <w:uiPriority w:val="9"/>
    <w:rsid w:val="00A079D2"/>
    <w:rPr>
      <w:rFonts w:ascii="Avenir Next LT Pro" w:eastAsiaTheme="majorEastAsia" w:hAnsi="Avenir Next LT Pro" w:cstheme="majorBidi"/>
      <w:color w:val="1F3763" w:themeColor="accent1" w:themeShade="7F"/>
      <w:sz w:val="24"/>
      <w:szCs w:val="24"/>
    </w:rPr>
  </w:style>
  <w:style w:type="character" w:customStyle="1" w:styleId="Heading4Char">
    <w:name w:val="Heading 4 Char"/>
    <w:basedOn w:val="DefaultParagraphFont"/>
    <w:link w:val="Heading4"/>
    <w:uiPriority w:val="9"/>
    <w:rsid w:val="00A079D2"/>
    <w:rPr>
      <w:rFonts w:ascii="Avenir Next LT Pro" w:eastAsiaTheme="majorEastAsia" w:hAnsi="Avenir Next LT Pro" w:cstheme="majorBidi"/>
      <w:i/>
      <w:iCs/>
      <w:color w:val="2F5496" w:themeColor="accent1" w:themeShade="BF"/>
    </w:rPr>
  </w:style>
  <w:style w:type="character" w:customStyle="1" w:styleId="Heading5Char">
    <w:name w:val="Heading 5 Char"/>
    <w:basedOn w:val="DefaultParagraphFont"/>
    <w:link w:val="Heading5"/>
    <w:uiPriority w:val="9"/>
    <w:rsid w:val="00A079D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079D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A079D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A079D2"/>
    <w:rPr>
      <w:rFonts w:asciiTheme="majorHAnsi" w:eastAsiaTheme="majorEastAsia" w:hAnsiTheme="majorHAnsi" w:cstheme="majorBidi"/>
      <w:color w:val="272727" w:themeColor="text1" w:themeTint="D8"/>
      <w:sz w:val="21"/>
      <w:szCs w:val="21"/>
    </w:rPr>
  </w:style>
  <w:style w:type="paragraph" w:styleId="Quote">
    <w:name w:val="Quote"/>
    <w:basedOn w:val="Normal"/>
    <w:next w:val="Normal"/>
    <w:link w:val="QuoteChar"/>
    <w:uiPriority w:val="29"/>
    <w:qFormat/>
    <w:rsid w:val="00A079D2"/>
    <w:pPr>
      <w:spacing w:before="120" w:after="120"/>
      <w:ind w:left="862" w:right="862"/>
    </w:pPr>
    <w:rPr>
      <w:i/>
      <w:iCs/>
      <w:color w:val="404040" w:themeColor="text1" w:themeTint="BF"/>
    </w:rPr>
  </w:style>
  <w:style w:type="character" w:customStyle="1" w:styleId="QuoteChar">
    <w:name w:val="Quote Char"/>
    <w:basedOn w:val="DefaultParagraphFont"/>
    <w:link w:val="Quote"/>
    <w:uiPriority w:val="29"/>
    <w:rsid w:val="00A079D2"/>
    <w:rPr>
      <w:rFonts w:ascii="Avenir Next LT Pro" w:hAnsi="Avenir Next LT Pro"/>
      <w:i/>
      <w:iCs/>
      <w:color w:val="404040" w:themeColor="text1" w:themeTint="BF"/>
    </w:rPr>
  </w:style>
  <w:style w:type="paragraph" w:customStyle="1" w:styleId="EndNoteBibliography">
    <w:name w:val="EndNote Bibliography"/>
    <w:basedOn w:val="Normal"/>
    <w:link w:val="EndNoteBibliographyChar"/>
    <w:autoRedefine/>
    <w:qFormat/>
    <w:rsid w:val="00A079D2"/>
    <w:pPr>
      <w:spacing w:after="120"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079D2"/>
    <w:rPr>
      <w:rFonts w:ascii="Calibri" w:hAnsi="Calibri" w:cs="Calibri"/>
      <w:noProof/>
      <w:lang w:val="en-US"/>
    </w:rPr>
  </w:style>
  <w:style w:type="paragraph" w:styleId="Header">
    <w:name w:val="header"/>
    <w:basedOn w:val="Normal"/>
    <w:link w:val="HeaderChar"/>
    <w:uiPriority w:val="99"/>
    <w:unhideWhenUsed/>
    <w:rsid w:val="00A07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9D2"/>
    <w:rPr>
      <w:rFonts w:ascii="Avenir Next LT Pro" w:hAnsi="Avenir Next LT Pro"/>
    </w:rPr>
  </w:style>
  <w:style w:type="paragraph" w:styleId="Footer">
    <w:name w:val="footer"/>
    <w:basedOn w:val="Normal"/>
    <w:link w:val="FooterChar"/>
    <w:uiPriority w:val="99"/>
    <w:unhideWhenUsed/>
    <w:rsid w:val="00A07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9D2"/>
    <w:rPr>
      <w:rFonts w:ascii="Avenir Next LT Pro" w:hAnsi="Avenir Next LT Pro"/>
    </w:rPr>
  </w:style>
  <w:style w:type="paragraph" w:styleId="ListParagraph">
    <w:name w:val="List Paragraph"/>
    <w:basedOn w:val="Normal"/>
    <w:uiPriority w:val="34"/>
    <w:qFormat/>
    <w:rsid w:val="00A079D2"/>
    <w:pPr>
      <w:ind w:left="720"/>
      <w:contextualSpacing/>
    </w:pPr>
  </w:style>
  <w:style w:type="paragraph" w:customStyle="1" w:styleId="Captions">
    <w:name w:val="Captions"/>
    <w:basedOn w:val="Normal"/>
    <w:link w:val="CaptionsChar"/>
    <w:qFormat/>
    <w:rsid w:val="00A079D2"/>
    <w:pPr>
      <w:tabs>
        <w:tab w:val="left" w:pos="8505"/>
      </w:tabs>
      <w:spacing w:after="240"/>
    </w:pPr>
    <w:rPr>
      <w:rFonts w:asciiTheme="minorHAnsi" w:hAnsiTheme="minorHAnsi"/>
      <w:b/>
    </w:rPr>
  </w:style>
  <w:style w:type="character" w:customStyle="1" w:styleId="CaptionsChar">
    <w:name w:val="Captions Char"/>
    <w:basedOn w:val="DefaultParagraphFont"/>
    <w:link w:val="Captions"/>
    <w:rsid w:val="00A079D2"/>
    <w:rPr>
      <w:b/>
    </w:rPr>
  </w:style>
  <w:style w:type="table" w:styleId="PlainTable3">
    <w:name w:val="Plain Table 3"/>
    <w:basedOn w:val="TableNormal"/>
    <w:uiPriority w:val="43"/>
    <w:rsid w:val="00A079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noteText">
    <w:name w:val="footnote text"/>
    <w:basedOn w:val="Normal"/>
    <w:link w:val="FootnoteTextChar"/>
    <w:uiPriority w:val="99"/>
    <w:semiHidden/>
    <w:unhideWhenUsed/>
    <w:rsid w:val="00A079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9D2"/>
    <w:rPr>
      <w:rFonts w:ascii="Avenir Next LT Pro" w:hAnsi="Avenir Next LT Pro"/>
      <w:sz w:val="20"/>
      <w:szCs w:val="20"/>
    </w:rPr>
  </w:style>
  <w:style w:type="character" w:styleId="FootnoteReference">
    <w:name w:val="footnote reference"/>
    <w:basedOn w:val="DefaultParagraphFont"/>
    <w:uiPriority w:val="99"/>
    <w:semiHidden/>
    <w:unhideWhenUsed/>
    <w:rsid w:val="00A079D2"/>
    <w:rPr>
      <w:vertAlign w:val="superscript"/>
    </w:rPr>
  </w:style>
  <w:style w:type="character" w:styleId="CommentReference">
    <w:name w:val="annotation reference"/>
    <w:basedOn w:val="DefaultParagraphFont"/>
    <w:uiPriority w:val="99"/>
    <w:semiHidden/>
    <w:unhideWhenUsed/>
    <w:rsid w:val="00A079D2"/>
    <w:rPr>
      <w:sz w:val="16"/>
      <w:szCs w:val="16"/>
    </w:rPr>
  </w:style>
  <w:style w:type="paragraph" w:styleId="CommentText">
    <w:name w:val="annotation text"/>
    <w:basedOn w:val="Normal"/>
    <w:link w:val="CommentTextChar"/>
    <w:uiPriority w:val="99"/>
    <w:unhideWhenUsed/>
    <w:rsid w:val="00A079D2"/>
    <w:pPr>
      <w:spacing w:line="240" w:lineRule="auto"/>
    </w:pPr>
    <w:rPr>
      <w:sz w:val="20"/>
      <w:szCs w:val="20"/>
    </w:rPr>
  </w:style>
  <w:style w:type="character" w:customStyle="1" w:styleId="CommentTextChar">
    <w:name w:val="Comment Text Char"/>
    <w:basedOn w:val="DefaultParagraphFont"/>
    <w:link w:val="CommentText"/>
    <w:uiPriority w:val="99"/>
    <w:rsid w:val="00A079D2"/>
    <w:rPr>
      <w:rFonts w:ascii="Avenir Next LT Pro" w:hAnsi="Avenir Next LT Pro"/>
      <w:sz w:val="20"/>
      <w:szCs w:val="20"/>
    </w:rPr>
  </w:style>
  <w:style w:type="paragraph" w:styleId="CommentSubject">
    <w:name w:val="annotation subject"/>
    <w:basedOn w:val="CommentText"/>
    <w:next w:val="CommentText"/>
    <w:link w:val="CommentSubjectChar"/>
    <w:uiPriority w:val="99"/>
    <w:semiHidden/>
    <w:unhideWhenUsed/>
    <w:rsid w:val="00A079D2"/>
    <w:rPr>
      <w:b/>
      <w:bCs/>
    </w:rPr>
  </w:style>
  <w:style w:type="character" w:customStyle="1" w:styleId="CommentSubjectChar">
    <w:name w:val="Comment Subject Char"/>
    <w:basedOn w:val="CommentTextChar"/>
    <w:link w:val="CommentSubject"/>
    <w:uiPriority w:val="99"/>
    <w:semiHidden/>
    <w:rsid w:val="00A079D2"/>
    <w:rPr>
      <w:rFonts w:ascii="Avenir Next LT Pro" w:hAnsi="Avenir Next LT Pro"/>
      <w:b/>
      <w:bCs/>
      <w:sz w:val="20"/>
      <w:szCs w:val="20"/>
    </w:rPr>
  </w:style>
  <w:style w:type="paragraph" w:styleId="BalloonText">
    <w:name w:val="Balloon Text"/>
    <w:basedOn w:val="Normal"/>
    <w:link w:val="BalloonTextChar"/>
    <w:uiPriority w:val="99"/>
    <w:semiHidden/>
    <w:unhideWhenUsed/>
    <w:rsid w:val="00A07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9D2"/>
    <w:rPr>
      <w:rFonts w:ascii="Segoe UI" w:hAnsi="Segoe UI" w:cs="Segoe UI"/>
      <w:sz w:val="18"/>
      <w:szCs w:val="18"/>
    </w:rPr>
  </w:style>
  <w:style w:type="paragraph" w:customStyle="1" w:styleId="EndNoteBibliographyTitle">
    <w:name w:val="EndNote Bibliography Title"/>
    <w:basedOn w:val="Normal"/>
    <w:link w:val="EndNoteBibliographyTitleChar"/>
    <w:rsid w:val="00A079D2"/>
    <w:pPr>
      <w:spacing w:after="0"/>
      <w:jc w:val="center"/>
    </w:pPr>
    <w:rPr>
      <w:rFonts w:ascii="Calibri" w:eastAsiaTheme="majorEastAsia" w:hAnsi="Calibri" w:cs="Calibri"/>
      <w:noProof/>
      <w:color w:val="1F3763" w:themeColor="accent1" w:themeShade="7F"/>
      <w:sz w:val="24"/>
      <w:szCs w:val="24"/>
      <w:lang w:val="en-US"/>
    </w:rPr>
  </w:style>
  <w:style w:type="character" w:customStyle="1" w:styleId="EndNoteBibliographyTitleChar">
    <w:name w:val="EndNote Bibliography Title Char"/>
    <w:basedOn w:val="Heading3Char"/>
    <w:link w:val="EndNoteBibliographyTitle"/>
    <w:rsid w:val="00A079D2"/>
    <w:rPr>
      <w:rFonts w:ascii="Calibri" w:eastAsiaTheme="majorEastAsia" w:hAnsi="Calibri" w:cs="Calibri"/>
      <w:noProof/>
      <w:color w:val="1F3763" w:themeColor="accent1" w:themeShade="7F"/>
      <w:sz w:val="24"/>
      <w:szCs w:val="24"/>
      <w:lang w:val="en-US"/>
    </w:rPr>
  </w:style>
  <w:style w:type="paragraph" w:styleId="Title">
    <w:name w:val="Title"/>
    <w:basedOn w:val="Normal"/>
    <w:next w:val="Normal"/>
    <w:link w:val="TitleChar"/>
    <w:uiPriority w:val="10"/>
    <w:qFormat/>
    <w:rsid w:val="00A079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9D2"/>
    <w:rPr>
      <w:rFonts w:asciiTheme="majorHAnsi" w:eastAsiaTheme="majorEastAsia" w:hAnsiTheme="majorHAnsi" w:cstheme="majorBidi"/>
      <w:spacing w:val="-10"/>
      <w:kern w:val="28"/>
      <w:sz w:val="56"/>
      <w:szCs w:val="56"/>
    </w:rPr>
  </w:style>
  <w:style w:type="paragraph" w:styleId="TOC2">
    <w:name w:val="toc 2"/>
    <w:basedOn w:val="Normal"/>
    <w:next w:val="Normal"/>
    <w:autoRedefine/>
    <w:uiPriority w:val="39"/>
    <w:unhideWhenUsed/>
    <w:rsid w:val="00A079D2"/>
    <w:pPr>
      <w:spacing w:after="100"/>
      <w:ind w:left="220"/>
    </w:pPr>
  </w:style>
  <w:style w:type="paragraph" w:styleId="TOC3">
    <w:name w:val="toc 3"/>
    <w:basedOn w:val="Normal"/>
    <w:next w:val="Normal"/>
    <w:autoRedefine/>
    <w:uiPriority w:val="39"/>
    <w:unhideWhenUsed/>
    <w:rsid w:val="00A079D2"/>
    <w:pPr>
      <w:spacing w:after="100"/>
      <w:ind w:left="440"/>
    </w:pPr>
  </w:style>
  <w:style w:type="paragraph" w:styleId="TOC1">
    <w:name w:val="toc 1"/>
    <w:basedOn w:val="Normal"/>
    <w:next w:val="Normal"/>
    <w:autoRedefine/>
    <w:uiPriority w:val="39"/>
    <w:unhideWhenUsed/>
    <w:rsid w:val="00A079D2"/>
    <w:pPr>
      <w:spacing w:after="100"/>
    </w:pPr>
  </w:style>
  <w:style w:type="character" w:styleId="Hyperlink">
    <w:name w:val="Hyperlink"/>
    <w:basedOn w:val="DefaultParagraphFont"/>
    <w:uiPriority w:val="99"/>
    <w:unhideWhenUsed/>
    <w:rsid w:val="00A079D2"/>
    <w:rPr>
      <w:color w:val="0563C1" w:themeColor="hyperlink"/>
      <w:u w:val="single"/>
    </w:rPr>
  </w:style>
  <w:style w:type="character" w:styleId="UnresolvedMention">
    <w:name w:val="Unresolved Mention"/>
    <w:basedOn w:val="DefaultParagraphFont"/>
    <w:uiPriority w:val="99"/>
    <w:semiHidden/>
    <w:unhideWhenUsed/>
    <w:rsid w:val="00A079D2"/>
    <w:rPr>
      <w:color w:val="605E5C"/>
      <w:shd w:val="clear" w:color="auto" w:fill="E1DFDD"/>
    </w:rPr>
  </w:style>
  <w:style w:type="table" w:styleId="TableGrid">
    <w:name w:val="Table Grid"/>
    <w:basedOn w:val="TableNormal"/>
    <w:uiPriority w:val="39"/>
    <w:rsid w:val="00A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A079D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A079D2"/>
    <w:rPr>
      <w:color w:val="954F72" w:themeColor="followedHyperlink"/>
      <w:u w:val="single"/>
    </w:rPr>
  </w:style>
  <w:style w:type="paragraph" w:styleId="NoSpacing">
    <w:name w:val="No Spacing"/>
    <w:uiPriority w:val="1"/>
    <w:qFormat/>
    <w:rsid w:val="00A079D2"/>
    <w:pPr>
      <w:spacing w:after="0" w:line="240" w:lineRule="auto"/>
    </w:pPr>
    <w:rPr>
      <w:rFonts w:ascii="Palatino Linotype" w:hAnsi="Palatino Linotype"/>
    </w:rPr>
  </w:style>
  <w:style w:type="paragraph" w:styleId="Revision">
    <w:name w:val="Revision"/>
    <w:hidden/>
    <w:uiPriority w:val="99"/>
    <w:semiHidden/>
    <w:rsid w:val="00A079D2"/>
    <w:pPr>
      <w:spacing w:after="0" w:line="240" w:lineRule="auto"/>
    </w:pPr>
    <w:rPr>
      <w:rFonts w:ascii="Palatino Linotype" w:hAnsi="Palatino Linotype"/>
    </w:rPr>
  </w:style>
  <w:style w:type="table" w:styleId="PlainTable2">
    <w:name w:val="Plain Table 2"/>
    <w:basedOn w:val="TableNormal"/>
    <w:uiPriority w:val="42"/>
    <w:rsid w:val="00A079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A079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079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A079D2"/>
    <w:pPr>
      <w:spacing w:after="100"/>
      <w:ind w:left="660"/>
    </w:pPr>
  </w:style>
  <w:style w:type="paragraph" w:customStyle="1" w:styleId="Subtitle1">
    <w:name w:val="Subtitle1"/>
    <w:basedOn w:val="Normal"/>
    <w:rsid w:val="00A079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079D2"/>
    <w:rPr>
      <w:b/>
      <w:bCs/>
    </w:rPr>
  </w:style>
  <w:style w:type="paragraph" w:styleId="BodyText">
    <w:name w:val="Body Text"/>
    <w:basedOn w:val="Normal"/>
    <w:link w:val="BodyTextChar"/>
    <w:uiPriority w:val="1"/>
    <w:rsid w:val="00A079D2"/>
    <w:pPr>
      <w:widowControl w:val="0"/>
      <w:autoSpaceDE w:val="0"/>
      <w:autoSpaceDN w:val="0"/>
      <w:spacing w:before="120" w:after="120" w:line="240" w:lineRule="auto"/>
    </w:pPr>
    <w:rPr>
      <w:rFonts w:ascii="Avenir Next" w:eastAsia="AvenirNext LT Pro Bold" w:hAnsi="Avenir Next" w:cs="AvenirNext LT Pro Bold"/>
      <w:color w:val="575F61"/>
      <w:sz w:val="24"/>
      <w:szCs w:val="24"/>
      <w:lang w:val="en-GB"/>
    </w:rPr>
  </w:style>
  <w:style w:type="character" w:customStyle="1" w:styleId="BodyTextChar">
    <w:name w:val="Body Text Char"/>
    <w:basedOn w:val="DefaultParagraphFont"/>
    <w:link w:val="BodyText"/>
    <w:uiPriority w:val="1"/>
    <w:rsid w:val="00A079D2"/>
    <w:rPr>
      <w:rFonts w:ascii="Avenir Next" w:eastAsia="AvenirNext LT Pro Bold" w:hAnsi="Avenir Next" w:cs="AvenirNext LT Pro Bold"/>
      <w:color w:val="575F61"/>
      <w:sz w:val="24"/>
      <w:szCs w:val="24"/>
      <w:lang w:val="en-GB"/>
    </w:rPr>
  </w:style>
  <w:style w:type="character" w:styleId="Emphasis">
    <w:name w:val="Emphasis"/>
    <w:basedOn w:val="DefaultParagraphFont"/>
    <w:uiPriority w:val="20"/>
    <w:qFormat/>
    <w:rsid w:val="00A079D2"/>
    <w:rPr>
      <w:i/>
      <w:iCs/>
    </w:rPr>
  </w:style>
  <w:style w:type="paragraph" w:styleId="TOC5">
    <w:name w:val="toc 5"/>
    <w:basedOn w:val="Normal"/>
    <w:next w:val="Normal"/>
    <w:autoRedefine/>
    <w:uiPriority w:val="39"/>
    <w:unhideWhenUsed/>
    <w:rsid w:val="00A079D2"/>
    <w:pPr>
      <w:spacing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A079D2"/>
    <w:pPr>
      <w:spacing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A079D2"/>
    <w:pPr>
      <w:spacing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A079D2"/>
    <w:pPr>
      <w:spacing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A079D2"/>
    <w:pPr>
      <w:spacing w:after="100" w:line="259" w:lineRule="auto"/>
      <w:ind w:left="1760"/>
    </w:pPr>
    <w:rPr>
      <w:rFonts w:asciiTheme="minorHAnsi" w:eastAsiaTheme="minorEastAsia" w:hAnsiTheme="minorHAnsi"/>
      <w:lang w:eastAsia="en-AU"/>
    </w:rPr>
  </w:style>
  <w:style w:type="paragraph" w:styleId="NormalWeb">
    <w:name w:val="Normal (Web)"/>
    <w:basedOn w:val="Normal"/>
    <w:uiPriority w:val="99"/>
    <w:semiHidden/>
    <w:unhideWhenUsed/>
    <w:rsid w:val="00A079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IntenseEmphasis">
    <w:name w:val="Intense Emphasis"/>
    <w:basedOn w:val="DefaultParagraphFont"/>
    <w:uiPriority w:val="21"/>
    <w:qFormat/>
    <w:rsid w:val="00A079D2"/>
    <w:rPr>
      <w:rFonts w:ascii="Avenir Next LT Pro" w:hAnsi="Avenir Next LT Pro"/>
      <w:i/>
      <w:iCs/>
      <w:color w:val="4472C4" w:themeColor="accent1"/>
      <w:sz w:val="22"/>
    </w:rPr>
  </w:style>
  <w:style w:type="table" w:styleId="ListTable3-Accent1">
    <w:name w:val="List Table 3 Accent 1"/>
    <w:basedOn w:val="TableNormal"/>
    <w:uiPriority w:val="48"/>
    <w:rsid w:val="00A079D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TOCHeading">
    <w:name w:val="TOC Heading"/>
    <w:basedOn w:val="Heading1"/>
    <w:next w:val="Normal"/>
    <w:uiPriority w:val="39"/>
    <w:unhideWhenUsed/>
    <w:qFormat/>
    <w:rsid w:val="00A079D2"/>
    <w:pPr>
      <w:spacing w:before="240" w:after="0" w:line="259" w:lineRule="auto"/>
      <w:outlineLvl w:val="9"/>
    </w:pPr>
    <w:rPr>
      <w:lang w:val="en-US"/>
    </w:rPr>
  </w:style>
  <w:style w:type="character" w:styleId="IntenseReference">
    <w:name w:val="Intense Reference"/>
    <w:basedOn w:val="DefaultParagraphFont"/>
    <w:uiPriority w:val="32"/>
    <w:qFormat/>
    <w:rsid w:val="00A079D2"/>
    <w:rPr>
      <w:b/>
      <w:bCs/>
      <w:smallCaps/>
      <w:color w:val="4472C4" w:themeColor="accent1"/>
      <w:spacing w:val="5"/>
    </w:rPr>
  </w:style>
  <w:style w:type="paragraph" w:styleId="IntenseQuote">
    <w:name w:val="Intense Quote"/>
    <w:basedOn w:val="Normal"/>
    <w:next w:val="Normal"/>
    <w:link w:val="IntenseQuoteChar"/>
    <w:uiPriority w:val="30"/>
    <w:qFormat/>
    <w:rsid w:val="00A079D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079D2"/>
    <w:rPr>
      <w:rFonts w:ascii="Avenir Next LT Pro" w:hAnsi="Avenir Next LT Pro"/>
      <w:i/>
      <w:iCs/>
      <w:color w:val="4472C4" w:themeColor="accent1"/>
    </w:rPr>
  </w:style>
  <w:style w:type="paragraph" w:styleId="EndnoteText">
    <w:name w:val="endnote text"/>
    <w:basedOn w:val="Normal"/>
    <w:link w:val="EndnoteTextChar"/>
    <w:uiPriority w:val="99"/>
    <w:semiHidden/>
    <w:unhideWhenUsed/>
    <w:rsid w:val="00A079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79D2"/>
    <w:rPr>
      <w:rFonts w:ascii="Avenir Next LT Pro" w:hAnsi="Avenir Next LT Pro"/>
      <w:sz w:val="20"/>
      <w:szCs w:val="20"/>
    </w:rPr>
  </w:style>
  <w:style w:type="character" w:styleId="EndnoteReference">
    <w:name w:val="endnote reference"/>
    <w:basedOn w:val="DefaultParagraphFont"/>
    <w:uiPriority w:val="99"/>
    <w:semiHidden/>
    <w:unhideWhenUsed/>
    <w:rsid w:val="00A079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image" Target="media/image4.png"/><Relationship Id="rId39" Type="http://schemas.openxmlformats.org/officeDocument/2006/relationships/hyperlink" Target="https://www.abs.gov.au/census/find-census-data/census-data-topic" TargetMode="External"/><Relationship Id="rId21" Type="http://schemas.openxmlformats.org/officeDocument/2006/relationships/chart" Target="charts/chart7.xml"/><Relationship Id="rId34" Type="http://schemas.openxmlformats.org/officeDocument/2006/relationships/image" Target="media/image6.png"/><Relationship Id="rId42" Type="http://schemas.openxmlformats.org/officeDocument/2006/relationships/hyperlink" Target="https://www.aihw.gov.au/reports/australias-health/health-of-people-experiencing-homelessness" TargetMode="External"/><Relationship Id="rId47" Type="http://schemas.openxmlformats.org/officeDocument/2006/relationships/hyperlink" Target="https://www.aph.gov.au/Parliamentary_Business/Committees/Senate/Economics/Economic_security_for_women_in_retirement/~/media/Committees/economics_ctte/Economic_security_for_women_in_retirement/report.pdf"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chart" Target="charts/chart12.xml"/><Relationship Id="rId11" Type="http://schemas.openxmlformats.org/officeDocument/2006/relationships/image" Target="media/image1.png"/><Relationship Id="rId24" Type="http://schemas.openxmlformats.org/officeDocument/2006/relationships/chart" Target="charts/chart10.xml"/><Relationship Id="rId32" Type="http://schemas.openxmlformats.org/officeDocument/2006/relationships/footer" Target="footer4.xml"/><Relationship Id="rId37" Type="http://schemas.openxmlformats.org/officeDocument/2006/relationships/hyperlink" Target="https://www.anglicare.asn.au/wp-content/uploads/2024/04/Rental-Affordability-Snapshot-National-Report.pdf" TargetMode="External"/><Relationship Id="rId40" Type="http://schemas.openxmlformats.org/officeDocument/2006/relationships/hyperlink" Target="https://www.abs.gov.au/statistics/people/population/national-state-and-territory-population/latest-release" TargetMode="External"/><Relationship Id="rId45" Type="http://schemas.openxmlformats.org/officeDocument/2006/relationships/hyperlink" Target="https://www.homestasmania.com.au/__data/assets/pdf_file/0027/276930/Housing_Tasmania_Strategy_Action_Plan_2023-2027.pdf"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1.xml"/><Relationship Id="rId36" Type="http://schemas.openxmlformats.org/officeDocument/2006/relationships/hyperlink" Target="https://www.rba.gov.au/publications/bulletin/2023/mar/renters-rent-inflation-and-renter-stress.html" TargetMode="External"/><Relationship Id="rId49" Type="http://schemas.openxmlformats.org/officeDocument/2006/relationships/hyperlink" Target="https://www.who.int/health-topics/social-determinants-of-health" TargetMode="External"/><Relationship Id="rId10" Type="http://schemas.openxmlformats.org/officeDocument/2006/relationships/footer" Target="footer2.xml"/><Relationship Id="rId19" Type="http://schemas.openxmlformats.org/officeDocument/2006/relationships/chart" Target="charts/chart5.xml"/><Relationship Id="rId31" Type="http://schemas.openxmlformats.org/officeDocument/2006/relationships/chart" Target="charts/chart14.xml"/><Relationship Id="rId44" Type="http://schemas.openxmlformats.org/officeDocument/2006/relationships/hyperlink" Target="https://www.homestasmania.com.au/__data/assets/pdf_file/0028/276931/230265_Homes_Tas_Strategy_document_wcag.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chart" Target="charts/chart8.xml"/><Relationship Id="rId27" Type="http://schemas.openxmlformats.org/officeDocument/2006/relationships/image" Target="media/image5.png"/><Relationship Id="rId30" Type="http://schemas.openxmlformats.org/officeDocument/2006/relationships/chart" Target="charts/chart13.xml"/><Relationship Id="rId35" Type="http://schemas.openxmlformats.org/officeDocument/2006/relationships/image" Target="media/image7.png"/><Relationship Id="rId43" Type="http://schemas.openxmlformats.org/officeDocument/2006/relationships/hyperlink" Target="https://www.pm.gov.au/media/meeting-national-cabinet-working-together-deliver-better-housing-outcomes" TargetMode="External"/><Relationship Id="rId48" Type="http://schemas.openxmlformats.org/officeDocument/2006/relationships/hyperlink" Target="https://tutas.org.au/wp-content/uploads/2023/12/TUTBudgetSubmission301123.pdf" TargetMode="Externa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chart" Target="charts/chart3.xml"/><Relationship Id="rId25" Type="http://schemas.openxmlformats.org/officeDocument/2006/relationships/image" Target="media/image3.png"/><Relationship Id="rId33" Type="http://schemas.openxmlformats.org/officeDocument/2006/relationships/hyperlink" Target="https://melbourneinstitute.unimelb.edu.au/hilda" TargetMode="External"/><Relationship Id="rId38" Type="http://schemas.openxmlformats.org/officeDocument/2006/relationships/hyperlink" Target="https://www.abs.gov.au/statistics/people/housing/housing-mobility-and-conditions/latest-release" TargetMode="External"/><Relationship Id="rId46" Type="http://schemas.openxmlformats.org/officeDocument/2006/relationships/hyperlink" Target="https://melbourneinstitute.unimelb.edu.au/hilda" TargetMode="External"/><Relationship Id="rId20" Type="http://schemas.openxmlformats.org/officeDocument/2006/relationships/chart" Target="charts/chart6.xml"/><Relationship Id="rId41" Type="http://schemas.openxmlformats.org/officeDocument/2006/relationships/hyperlink" Target="https://www.abs.gov.au/statistics/detailed-methodology-information/information-papers/new-insights-rental-market"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Major%20research%20projects\2023\Right%20to%20belong\6%20Data%20collection\Census%20data\Age%20pyramid%20Tasmania%20Cohort%20of%20interest_2911292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aryb\Documents\RTBHILDA\RTB%20Result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maryb\Documents\RTBHILDA\Copy%20of%20LS005727%20client%20file%20with%20calculation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maryb\Documents\RTBHILDA\Right%20to%20belong%20charts%20spreadsheet.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maryb\Documents\RTBHILDA\Right%20to%20belong%20charts%20spreadsheet.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maryb\Documents\RTBHILDA\RTB%20Results.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Major%20research%20projects\2023\Right%20to%20belong\6%20Data%20collection\Census%20data\Age%20pyramid%20Tasmania%20Cohort%20of%20interest_291129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usanb\Desktop\The%20Right%20to%20Belong\The%20data\Quantitative%20data\Anglicare%20data\All%20Client%20Data%20-%20AlayaCare_22092023_Docking.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Major%20research%20projects\2023\Right%20to%20Belong\6%20Data%20collection\Census%20data\ABS%20Table%20Builder%20and%20Quckstats%20Data%20-%20Cohort%20of%20Interes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Major%20research%20projects\2023\Right%20to%20Belong\6%20Data%20collection\Census%20data\ABS%20Table%20Builder%20and%20Quckstats%20Data%20-%20Cohort%20of%20Interes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Major%20research%20projects\2023\Right%20to%20belong\6%20Data%20collection\Census%20data\Copy%20of%20LS005727%20client%20fil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276322602531826"/>
          <c:y val="4.2635658914728682E-2"/>
          <c:w val="0.71475387005195778"/>
          <c:h val="0.77878532625282304"/>
        </c:manualLayout>
      </c:layout>
      <c:barChart>
        <c:barDir val="bar"/>
        <c:grouping val="stacked"/>
        <c:varyColors val="0"/>
        <c:ser>
          <c:idx val="0"/>
          <c:order val="0"/>
          <c:tx>
            <c:strRef>
              <c:f>'Age and Gender CoI ABS data'!$H$4</c:f>
              <c:strCache>
                <c:ptCount val="1"/>
                <c:pt idx="0">
                  <c:v>Women</c:v>
                </c:pt>
              </c:strCache>
            </c:strRef>
          </c:tx>
          <c:spPr>
            <a:solidFill>
              <a:schemeClr val="accent1"/>
            </a:solidFill>
            <a:ln>
              <a:noFill/>
            </a:ln>
            <a:effectLst/>
          </c:spPr>
          <c:invertIfNegative val="0"/>
          <c:cat>
            <c:strRef>
              <c:f>'Age and Gender CoI ABS data'!$G$5:$G$16</c:f>
              <c:strCache>
                <c:ptCount val="12"/>
                <c:pt idx="0">
                  <c:v>45 - 49</c:v>
                </c:pt>
                <c:pt idx="1">
                  <c:v>50 - 54</c:v>
                </c:pt>
                <c:pt idx="2">
                  <c:v>55 - 59</c:v>
                </c:pt>
                <c:pt idx="3">
                  <c:v>60 - 64</c:v>
                </c:pt>
                <c:pt idx="4">
                  <c:v>65 - 69</c:v>
                </c:pt>
                <c:pt idx="5">
                  <c:v>70 - 74</c:v>
                </c:pt>
                <c:pt idx="6">
                  <c:v>75 - 79</c:v>
                </c:pt>
                <c:pt idx="7">
                  <c:v>80 - 84</c:v>
                </c:pt>
                <c:pt idx="8">
                  <c:v>85 - 89</c:v>
                </c:pt>
                <c:pt idx="9">
                  <c:v>90 - 94</c:v>
                </c:pt>
                <c:pt idx="10">
                  <c:v>95 - 99</c:v>
                </c:pt>
                <c:pt idx="11">
                  <c:v>100+</c:v>
                </c:pt>
              </c:strCache>
            </c:strRef>
          </c:cat>
          <c:val>
            <c:numRef>
              <c:f>'Age and Gender CoI ABS data'!$H$5:$H$16</c:f>
              <c:numCache>
                <c:formatCode>0.0%</c:formatCode>
                <c:ptCount val="12"/>
                <c:pt idx="0">
                  <c:v>-4.0434789293236784E-3</c:v>
                </c:pt>
                <c:pt idx="1">
                  <c:v>-4.5098370821354079E-3</c:v>
                </c:pt>
                <c:pt idx="2">
                  <c:v>-9.7868589497204408E-2</c:v>
                </c:pt>
                <c:pt idx="3">
                  <c:v>-0.10203506398331361</c:v>
                </c:pt>
                <c:pt idx="4">
                  <c:v>-9.2323539812124281E-2</c:v>
                </c:pt>
                <c:pt idx="5">
                  <c:v>-8.3672852318210006E-2</c:v>
                </c:pt>
                <c:pt idx="6">
                  <c:v>-5.8955870219188335E-2</c:v>
                </c:pt>
                <c:pt idx="7">
                  <c:v>-4.0552660035156229E-2</c:v>
                </c:pt>
                <c:pt idx="8">
                  <c:v>-2.4342870613799077E-2</c:v>
                </c:pt>
                <c:pt idx="9">
                  <c:v>-1.2381552716408119E-2</c:v>
                </c:pt>
                <c:pt idx="10">
                  <c:v>-3.5361222575834446E-3</c:v>
                </c:pt>
                <c:pt idx="11">
                  <c:v>-4.3048444874928894E-4</c:v>
                </c:pt>
              </c:numCache>
            </c:numRef>
          </c:val>
          <c:extLst>
            <c:ext xmlns:c16="http://schemas.microsoft.com/office/drawing/2014/chart" uri="{C3380CC4-5D6E-409C-BE32-E72D297353CC}">
              <c16:uniqueId val="{00000000-9312-4759-941F-FF8B9615C54B}"/>
            </c:ext>
          </c:extLst>
        </c:ser>
        <c:ser>
          <c:idx val="1"/>
          <c:order val="1"/>
          <c:tx>
            <c:strRef>
              <c:f>'Age and Gender CoI ABS data'!$I$4</c:f>
              <c:strCache>
                <c:ptCount val="1"/>
                <c:pt idx="0">
                  <c:v>Men</c:v>
                </c:pt>
              </c:strCache>
            </c:strRef>
          </c:tx>
          <c:spPr>
            <a:solidFill>
              <a:schemeClr val="accent2"/>
            </a:solidFill>
            <a:ln>
              <a:noFill/>
            </a:ln>
            <a:effectLst/>
          </c:spPr>
          <c:invertIfNegative val="0"/>
          <c:cat>
            <c:strRef>
              <c:f>'Age and Gender CoI ABS data'!$G$5:$G$16</c:f>
              <c:strCache>
                <c:ptCount val="12"/>
                <c:pt idx="0">
                  <c:v>45 - 49</c:v>
                </c:pt>
                <c:pt idx="1">
                  <c:v>50 - 54</c:v>
                </c:pt>
                <c:pt idx="2">
                  <c:v>55 - 59</c:v>
                </c:pt>
                <c:pt idx="3">
                  <c:v>60 - 64</c:v>
                </c:pt>
                <c:pt idx="4">
                  <c:v>65 - 69</c:v>
                </c:pt>
                <c:pt idx="5">
                  <c:v>70 - 74</c:v>
                </c:pt>
                <c:pt idx="6">
                  <c:v>75 - 79</c:v>
                </c:pt>
                <c:pt idx="7">
                  <c:v>80 - 84</c:v>
                </c:pt>
                <c:pt idx="8">
                  <c:v>85 - 89</c:v>
                </c:pt>
                <c:pt idx="9">
                  <c:v>90 - 94</c:v>
                </c:pt>
                <c:pt idx="10">
                  <c:v>95 - 99</c:v>
                </c:pt>
                <c:pt idx="11">
                  <c:v>100+</c:v>
                </c:pt>
              </c:strCache>
            </c:strRef>
          </c:cat>
          <c:val>
            <c:numRef>
              <c:f>'Age and Gender CoI ABS data'!$I$5:$I$16</c:f>
              <c:numCache>
                <c:formatCode>0.0%</c:formatCode>
                <c:ptCount val="12"/>
                <c:pt idx="0">
                  <c:v>3.5514967021816335E-3</c:v>
                </c:pt>
                <c:pt idx="1">
                  <c:v>3.8333615198150968E-3</c:v>
                </c:pt>
                <c:pt idx="2">
                  <c:v>9.1647064249803969E-2</c:v>
                </c:pt>
                <c:pt idx="3">
                  <c:v>9.4762951688370262E-2</c:v>
                </c:pt>
                <c:pt idx="4">
                  <c:v>8.7721456062399741E-2</c:v>
                </c:pt>
                <c:pt idx="5">
                  <c:v>7.9573000425359627E-2</c:v>
                </c:pt>
                <c:pt idx="6">
                  <c:v>5.3964300539643004E-2</c:v>
                </c:pt>
                <c:pt idx="7">
                  <c:v>3.438238293641642E-2</c:v>
                </c:pt>
                <c:pt idx="8">
                  <c:v>1.7367997581087383E-2</c:v>
                </c:pt>
                <c:pt idx="9">
                  <c:v>7.0773693300329524E-3</c:v>
                </c:pt>
                <c:pt idx="10">
                  <c:v>1.3734503841048742E-3</c:v>
                </c:pt>
                <c:pt idx="11">
                  <c:v>9.2246667589133345E-5</c:v>
                </c:pt>
              </c:numCache>
            </c:numRef>
          </c:val>
          <c:extLst>
            <c:ext xmlns:c16="http://schemas.microsoft.com/office/drawing/2014/chart" uri="{C3380CC4-5D6E-409C-BE32-E72D297353CC}">
              <c16:uniqueId val="{00000001-9312-4759-941F-FF8B9615C54B}"/>
            </c:ext>
          </c:extLst>
        </c:ser>
        <c:dLbls>
          <c:showLegendKey val="0"/>
          <c:showVal val="0"/>
          <c:showCatName val="0"/>
          <c:showSerName val="0"/>
          <c:showPercent val="0"/>
          <c:showBubbleSize val="0"/>
        </c:dLbls>
        <c:gapWidth val="182"/>
        <c:overlap val="100"/>
        <c:axId val="1664969056"/>
        <c:axId val="1665018624"/>
      </c:barChart>
      <c:catAx>
        <c:axId val="16649690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 (years)</a:t>
                </a:r>
              </a:p>
            </c:rich>
          </c:tx>
          <c:layout>
            <c:manualLayout>
              <c:xMode val="edge"/>
              <c:yMode val="edge"/>
              <c:x val="4.5351473922902496E-3"/>
              <c:y val="0.3322801074284318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5018624"/>
        <c:crosses val="autoZero"/>
        <c:auto val="1"/>
        <c:lblAlgn val="ctr"/>
        <c:lblOffset val="100"/>
        <c:noMultiLvlLbl val="0"/>
      </c:catAx>
      <c:valAx>
        <c:axId val="1665018624"/>
        <c:scaling>
          <c:orientation val="minMax"/>
          <c:min val="-0.15000000000000002"/>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4969056"/>
        <c:crosses val="autoZero"/>
        <c:crossBetween val="between"/>
        <c:majorUnit val="5.000000000000001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5"/>
          <c:order val="0"/>
          <c:tx>
            <c:strRef>
              <c:f>'ABS data median rents'!$G$2</c:f>
              <c:strCache>
                <c:ptCount val="1"/>
                <c:pt idx="0">
                  <c:v>TAS ($)</c:v>
                </c:pt>
              </c:strCache>
            </c:strRef>
          </c:tx>
          <c:spPr>
            <a:ln w="19050" cap="rnd">
              <a:solidFill>
                <a:schemeClr val="accent6">
                  <a:lumMod val="75000"/>
                </a:schemeClr>
              </a:solidFill>
              <a:round/>
            </a:ln>
            <a:effectLst/>
          </c:spPr>
          <c:marker>
            <c:symbol val="none"/>
          </c:marker>
          <c:xVal>
            <c:numRef>
              <c:f>'ABS data median rents'!$A$3:$A$59</c:f>
              <c:numCache>
                <c:formatCode>mmm\-yy</c:formatCode>
                <c:ptCount val="57"/>
                <c:pt idx="0">
                  <c:v>43252</c:v>
                </c:pt>
                <c:pt idx="1">
                  <c:v>43282</c:v>
                </c:pt>
                <c:pt idx="2">
                  <c:v>43313</c:v>
                </c:pt>
                <c:pt idx="3">
                  <c:v>43344</c:v>
                </c:pt>
                <c:pt idx="4">
                  <c:v>43374</c:v>
                </c:pt>
                <c:pt idx="5">
                  <c:v>43405</c:v>
                </c:pt>
                <c:pt idx="6">
                  <c:v>43435</c:v>
                </c:pt>
                <c:pt idx="7">
                  <c:v>43466</c:v>
                </c:pt>
                <c:pt idx="8">
                  <c:v>43497</c:v>
                </c:pt>
                <c:pt idx="9">
                  <c:v>43525</c:v>
                </c:pt>
                <c:pt idx="10">
                  <c:v>43556</c:v>
                </c:pt>
                <c:pt idx="11">
                  <c:v>43586</c:v>
                </c:pt>
                <c:pt idx="12">
                  <c:v>43617</c:v>
                </c:pt>
                <c:pt idx="13">
                  <c:v>43647</c:v>
                </c:pt>
                <c:pt idx="14">
                  <c:v>43678</c:v>
                </c:pt>
                <c:pt idx="15">
                  <c:v>43709</c:v>
                </c:pt>
                <c:pt idx="16">
                  <c:v>43739</c:v>
                </c:pt>
                <c:pt idx="17">
                  <c:v>43770</c:v>
                </c:pt>
                <c:pt idx="18">
                  <c:v>43800</c:v>
                </c:pt>
                <c:pt idx="19">
                  <c:v>43831</c:v>
                </c:pt>
                <c:pt idx="20">
                  <c:v>43862</c:v>
                </c:pt>
                <c:pt idx="21">
                  <c:v>43891</c:v>
                </c:pt>
                <c:pt idx="22">
                  <c:v>43922</c:v>
                </c:pt>
                <c:pt idx="23">
                  <c:v>43952</c:v>
                </c:pt>
                <c:pt idx="24">
                  <c:v>43983</c:v>
                </c:pt>
                <c:pt idx="25">
                  <c:v>44013</c:v>
                </c:pt>
                <c:pt idx="26">
                  <c:v>44044</c:v>
                </c:pt>
                <c:pt idx="27">
                  <c:v>44075</c:v>
                </c:pt>
                <c:pt idx="28">
                  <c:v>44105</c:v>
                </c:pt>
                <c:pt idx="29">
                  <c:v>44136</c:v>
                </c:pt>
                <c:pt idx="30">
                  <c:v>44166</c:v>
                </c:pt>
                <c:pt idx="31">
                  <c:v>44197</c:v>
                </c:pt>
                <c:pt idx="32">
                  <c:v>44228</c:v>
                </c:pt>
                <c:pt idx="33">
                  <c:v>44256</c:v>
                </c:pt>
                <c:pt idx="34">
                  <c:v>44287</c:v>
                </c:pt>
                <c:pt idx="35">
                  <c:v>44317</c:v>
                </c:pt>
                <c:pt idx="36">
                  <c:v>44348</c:v>
                </c:pt>
                <c:pt idx="37">
                  <c:v>44378</c:v>
                </c:pt>
                <c:pt idx="38">
                  <c:v>44409</c:v>
                </c:pt>
                <c:pt idx="39">
                  <c:v>44440</c:v>
                </c:pt>
                <c:pt idx="40">
                  <c:v>44470</c:v>
                </c:pt>
                <c:pt idx="41">
                  <c:v>44501</c:v>
                </c:pt>
                <c:pt idx="42">
                  <c:v>44531</c:v>
                </c:pt>
                <c:pt idx="43">
                  <c:v>44562</c:v>
                </c:pt>
                <c:pt idx="44">
                  <c:v>44593</c:v>
                </c:pt>
                <c:pt idx="45">
                  <c:v>44621</c:v>
                </c:pt>
                <c:pt idx="46">
                  <c:v>44652</c:v>
                </c:pt>
                <c:pt idx="47">
                  <c:v>44682</c:v>
                </c:pt>
                <c:pt idx="48">
                  <c:v>44713</c:v>
                </c:pt>
                <c:pt idx="49">
                  <c:v>44743</c:v>
                </c:pt>
                <c:pt idx="50">
                  <c:v>44774</c:v>
                </c:pt>
                <c:pt idx="51">
                  <c:v>44805</c:v>
                </c:pt>
                <c:pt idx="52">
                  <c:v>44835</c:v>
                </c:pt>
                <c:pt idx="53">
                  <c:v>44866</c:v>
                </c:pt>
                <c:pt idx="54">
                  <c:v>44896</c:v>
                </c:pt>
                <c:pt idx="55">
                  <c:v>44927</c:v>
                </c:pt>
                <c:pt idx="56">
                  <c:v>44958</c:v>
                </c:pt>
              </c:numCache>
            </c:numRef>
          </c:xVal>
          <c:yVal>
            <c:numRef>
              <c:f>'ABS data median rents'!$G$3:$G$59</c:f>
              <c:numCache>
                <c:formatCode>General</c:formatCode>
                <c:ptCount val="57"/>
                <c:pt idx="0">
                  <c:v>270</c:v>
                </c:pt>
                <c:pt idx="1">
                  <c:v>265</c:v>
                </c:pt>
                <c:pt idx="2">
                  <c:v>270</c:v>
                </c:pt>
                <c:pt idx="3">
                  <c:v>265</c:v>
                </c:pt>
                <c:pt idx="4">
                  <c:v>270</c:v>
                </c:pt>
                <c:pt idx="5">
                  <c:v>270</c:v>
                </c:pt>
                <c:pt idx="6">
                  <c:v>270</c:v>
                </c:pt>
                <c:pt idx="7">
                  <c:v>280</c:v>
                </c:pt>
                <c:pt idx="8">
                  <c:v>280</c:v>
                </c:pt>
                <c:pt idx="9">
                  <c:v>280</c:v>
                </c:pt>
                <c:pt idx="10">
                  <c:v>270</c:v>
                </c:pt>
                <c:pt idx="11">
                  <c:v>275</c:v>
                </c:pt>
                <c:pt idx="12">
                  <c:v>275</c:v>
                </c:pt>
                <c:pt idx="13">
                  <c:v>275</c:v>
                </c:pt>
                <c:pt idx="14">
                  <c:v>280</c:v>
                </c:pt>
                <c:pt idx="15">
                  <c:v>280</c:v>
                </c:pt>
                <c:pt idx="16">
                  <c:v>295</c:v>
                </c:pt>
                <c:pt idx="17">
                  <c:v>300</c:v>
                </c:pt>
                <c:pt idx="18">
                  <c:v>300</c:v>
                </c:pt>
                <c:pt idx="19">
                  <c:v>300</c:v>
                </c:pt>
                <c:pt idx="20">
                  <c:v>300</c:v>
                </c:pt>
                <c:pt idx="21">
                  <c:v>300</c:v>
                </c:pt>
                <c:pt idx="22">
                  <c:v>300</c:v>
                </c:pt>
                <c:pt idx="23">
                  <c:v>300</c:v>
                </c:pt>
                <c:pt idx="24">
                  <c:v>300</c:v>
                </c:pt>
                <c:pt idx="25">
                  <c:v>310</c:v>
                </c:pt>
                <c:pt idx="26">
                  <c:v>310</c:v>
                </c:pt>
                <c:pt idx="27">
                  <c:v>310</c:v>
                </c:pt>
                <c:pt idx="28">
                  <c:v>310</c:v>
                </c:pt>
                <c:pt idx="29">
                  <c:v>310</c:v>
                </c:pt>
                <c:pt idx="30">
                  <c:v>310</c:v>
                </c:pt>
                <c:pt idx="31">
                  <c:v>310</c:v>
                </c:pt>
                <c:pt idx="32">
                  <c:v>315</c:v>
                </c:pt>
                <c:pt idx="33">
                  <c:v>320</c:v>
                </c:pt>
                <c:pt idx="34">
                  <c:v>320</c:v>
                </c:pt>
                <c:pt idx="35">
                  <c:v>320</c:v>
                </c:pt>
                <c:pt idx="36">
                  <c:v>320</c:v>
                </c:pt>
                <c:pt idx="37">
                  <c:v>325</c:v>
                </c:pt>
                <c:pt idx="38">
                  <c:v>330</c:v>
                </c:pt>
                <c:pt idx="39">
                  <c:v>330</c:v>
                </c:pt>
                <c:pt idx="40">
                  <c:v>330</c:v>
                </c:pt>
                <c:pt idx="41">
                  <c:v>330</c:v>
                </c:pt>
                <c:pt idx="42">
                  <c:v>340</c:v>
                </c:pt>
                <c:pt idx="43">
                  <c:v>350</c:v>
                </c:pt>
                <c:pt idx="44">
                  <c:v>350</c:v>
                </c:pt>
                <c:pt idx="45">
                  <c:v>350</c:v>
                </c:pt>
                <c:pt idx="46">
                  <c:v>350</c:v>
                </c:pt>
                <c:pt idx="47">
                  <c:v>360</c:v>
                </c:pt>
                <c:pt idx="48">
                  <c:v>360</c:v>
                </c:pt>
                <c:pt idx="49">
                  <c:v>370</c:v>
                </c:pt>
                <c:pt idx="50">
                  <c:v>370</c:v>
                </c:pt>
                <c:pt idx="51">
                  <c:v>370</c:v>
                </c:pt>
                <c:pt idx="52">
                  <c:v>375</c:v>
                </c:pt>
                <c:pt idx="53">
                  <c:v>380</c:v>
                </c:pt>
                <c:pt idx="54">
                  <c:v>380</c:v>
                </c:pt>
                <c:pt idx="55">
                  <c:v>390</c:v>
                </c:pt>
                <c:pt idx="56">
                  <c:v>390</c:v>
                </c:pt>
              </c:numCache>
            </c:numRef>
          </c:yVal>
          <c:smooth val="0"/>
          <c:extLst>
            <c:ext xmlns:c16="http://schemas.microsoft.com/office/drawing/2014/chart" uri="{C3380CC4-5D6E-409C-BE32-E72D297353CC}">
              <c16:uniqueId val="{00000000-89AC-4FE9-B842-6D7031F52DC8}"/>
            </c:ext>
          </c:extLst>
        </c:ser>
        <c:ser>
          <c:idx val="4"/>
          <c:order val="1"/>
          <c:tx>
            <c:strRef>
              <c:f>'ABS data median rents'!$F$2</c:f>
              <c:strCache>
                <c:ptCount val="1"/>
                <c:pt idx="0">
                  <c:v>WA ($)</c:v>
                </c:pt>
              </c:strCache>
            </c:strRef>
          </c:tx>
          <c:spPr>
            <a:ln w="19050" cap="rnd">
              <a:solidFill>
                <a:srgbClr val="92D050">
                  <a:alpha val="42000"/>
                </a:srgbClr>
              </a:solidFill>
              <a:round/>
            </a:ln>
            <a:effectLst/>
          </c:spPr>
          <c:marker>
            <c:symbol val="none"/>
          </c:marker>
          <c:xVal>
            <c:numRef>
              <c:f>'ABS data median rents'!$A$3:$A$59</c:f>
              <c:numCache>
                <c:formatCode>mmm\-yy</c:formatCode>
                <c:ptCount val="57"/>
                <c:pt idx="0">
                  <c:v>43252</c:v>
                </c:pt>
                <c:pt idx="1">
                  <c:v>43282</c:v>
                </c:pt>
                <c:pt idx="2">
                  <c:v>43313</c:v>
                </c:pt>
                <c:pt idx="3">
                  <c:v>43344</c:v>
                </c:pt>
                <c:pt idx="4">
                  <c:v>43374</c:v>
                </c:pt>
                <c:pt idx="5">
                  <c:v>43405</c:v>
                </c:pt>
                <c:pt idx="6">
                  <c:v>43435</c:v>
                </c:pt>
                <c:pt idx="7">
                  <c:v>43466</c:v>
                </c:pt>
                <c:pt idx="8">
                  <c:v>43497</c:v>
                </c:pt>
                <c:pt idx="9">
                  <c:v>43525</c:v>
                </c:pt>
                <c:pt idx="10">
                  <c:v>43556</c:v>
                </c:pt>
                <c:pt idx="11">
                  <c:v>43586</c:v>
                </c:pt>
                <c:pt idx="12">
                  <c:v>43617</c:v>
                </c:pt>
                <c:pt idx="13">
                  <c:v>43647</c:v>
                </c:pt>
                <c:pt idx="14">
                  <c:v>43678</c:v>
                </c:pt>
                <c:pt idx="15">
                  <c:v>43709</c:v>
                </c:pt>
                <c:pt idx="16">
                  <c:v>43739</c:v>
                </c:pt>
                <c:pt idx="17">
                  <c:v>43770</c:v>
                </c:pt>
                <c:pt idx="18">
                  <c:v>43800</c:v>
                </c:pt>
                <c:pt idx="19">
                  <c:v>43831</c:v>
                </c:pt>
                <c:pt idx="20">
                  <c:v>43862</c:v>
                </c:pt>
                <c:pt idx="21">
                  <c:v>43891</c:v>
                </c:pt>
                <c:pt idx="22">
                  <c:v>43922</c:v>
                </c:pt>
                <c:pt idx="23">
                  <c:v>43952</c:v>
                </c:pt>
                <c:pt idx="24">
                  <c:v>43983</c:v>
                </c:pt>
                <c:pt idx="25">
                  <c:v>44013</c:v>
                </c:pt>
                <c:pt idx="26">
                  <c:v>44044</c:v>
                </c:pt>
                <c:pt idx="27">
                  <c:v>44075</c:v>
                </c:pt>
                <c:pt idx="28">
                  <c:v>44105</c:v>
                </c:pt>
                <c:pt idx="29">
                  <c:v>44136</c:v>
                </c:pt>
                <c:pt idx="30">
                  <c:v>44166</c:v>
                </c:pt>
                <c:pt idx="31">
                  <c:v>44197</c:v>
                </c:pt>
                <c:pt idx="32">
                  <c:v>44228</c:v>
                </c:pt>
                <c:pt idx="33">
                  <c:v>44256</c:v>
                </c:pt>
                <c:pt idx="34">
                  <c:v>44287</c:v>
                </c:pt>
                <c:pt idx="35">
                  <c:v>44317</c:v>
                </c:pt>
                <c:pt idx="36">
                  <c:v>44348</c:v>
                </c:pt>
                <c:pt idx="37">
                  <c:v>44378</c:v>
                </c:pt>
                <c:pt idx="38">
                  <c:v>44409</c:v>
                </c:pt>
                <c:pt idx="39">
                  <c:v>44440</c:v>
                </c:pt>
                <c:pt idx="40">
                  <c:v>44470</c:v>
                </c:pt>
                <c:pt idx="41">
                  <c:v>44501</c:v>
                </c:pt>
                <c:pt idx="42">
                  <c:v>44531</c:v>
                </c:pt>
                <c:pt idx="43">
                  <c:v>44562</c:v>
                </c:pt>
                <c:pt idx="44">
                  <c:v>44593</c:v>
                </c:pt>
                <c:pt idx="45">
                  <c:v>44621</c:v>
                </c:pt>
                <c:pt idx="46">
                  <c:v>44652</c:v>
                </c:pt>
                <c:pt idx="47">
                  <c:v>44682</c:v>
                </c:pt>
                <c:pt idx="48">
                  <c:v>44713</c:v>
                </c:pt>
                <c:pt idx="49">
                  <c:v>44743</c:v>
                </c:pt>
                <c:pt idx="50">
                  <c:v>44774</c:v>
                </c:pt>
                <c:pt idx="51">
                  <c:v>44805</c:v>
                </c:pt>
                <c:pt idx="52">
                  <c:v>44835</c:v>
                </c:pt>
                <c:pt idx="53">
                  <c:v>44866</c:v>
                </c:pt>
                <c:pt idx="54">
                  <c:v>44896</c:v>
                </c:pt>
                <c:pt idx="55">
                  <c:v>44927</c:v>
                </c:pt>
                <c:pt idx="56">
                  <c:v>44958</c:v>
                </c:pt>
              </c:numCache>
            </c:numRef>
          </c:xVal>
          <c:yVal>
            <c:numRef>
              <c:f>'ABS data median rents'!$F$3:$F$59</c:f>
              <c:numCache>
                <c:formatCode>General</c:formatCode>
                <c:ptCount val="57"/>
                <c:pt idx="0">
                  <c:v>350</c:v>
                </c:pt>
                <c:pt idx="1">
                  <c:v>350</c:v>
                </c:pt>
                <c:pt idx="2">
                  <c:v>350</c:v>
                </c:pt>
                <c:pt idx="3">
                  <c:v>350</c:v>
                </c:pt>
                <c:pt idx="4">
                  <c:v>350</c:v>
                </c:pt>
                <c:pt idx="5">
                  <c:v>350</c:v>
                </c:pt>
                <c:pt idx="6">
                  <c:v>350</c:v>
                </c:pt>
                <c:pt idx="7">
                  <c:v>350</c:v>
                </c:pt>
                <c:pt idx="8">
                  <c:v>350</c:v>
                </c:pt>
                <c:pt idx="9">
                  <c:v>350</c:v>
                </c:pt>
                <c:pt idx="10">
                  <c:v>350</c:v>
                </c:pt>
                <c:pt idx="11">
                  <c:v>350</c:v>
                </c:pt>
                <c:pt idx="12">
                  <c:v>350</c:v>
                </c:pt>
                <c:pt idx="13">
                  <c:v>350</c:v>
                </c:pt>
                <c:pt idx="14">
                  <c:v>350</c:v>
                </c:pt>
                <c:pt idx="15">
                  <c:v>350</c:v>
                </c:pt>
                <c:pt idx="16">
                  <c:v>350</c:v>
                </c:pt>
                <c:pt idx="17">
                  <c:v>350</c:v>
                </c:pt>
                <c:pt idx="18">
                  <c:v>350</c:v>
                </c:pt>
                <c:pt idx="19">
                  <c:v>350</c:v>
                </c:pt>
                <c:pt idx="20">
                  <c:v>350</c:v>
                </c:pt>
                <c:pt idx="21">
                  <c:v>350</c:v>
                </c:pt>
                <c:pt idx="22">
                  <c:v>350</c:v>
                </c:pt>
                <c:pt idx="23">
                  <c:v>350</c:v>
                </c:pt>
                <c:pt idx="24">
                  <c:v>350</c:v>
                </c:pt>
                <c:pt idx="25">
                  <c:v>350</c:v>
                </c:pt>
                <c:pt idx="26">
                  <c:v>350</c:v>
                </c:pt>
                <c:pt idx="27">
                  <c:v>350</c:v>
                </c:pt>
                <c:pt idx="28">
                  <c:v>350</c:v>
                </c:pt>
                <c:pt idx="29">
                  <c:v>350</c:v>
                </c:pt>
                <c:pt idx="30">
                  <c:v>350</c:v>
                </c:pt>
                <c:pt idx="31">
                  <c:v>350</c:v>
                </c:pt>
                <c:pt idx="32">
                  <c:v>360</c:v>
                </c:pt>
                <c:pt idx="33">
                  <c:v>360</c:v>
                </c:pt>
                <c:pt idx="34">
                  <c:v>360</c:v>
                </c:pt>
                <c:pt idx="35">
                  <c:v>370</c:v>
                </c:pt>
                <c:pt idx="36">
                  <c:v>370</c:v>
                </c:pt>
                <c:pt idx="37">
                  <c:v>375</c:v>
                </c:pt>
                <c:pt idx="38">
                  <c:v>380</c:v>
                </c:pt>
                <c:pt idx="39">
                  <c:v>380</c:v>
                </c:pt>
                <c:pt idx="40">
                  <c:v>380</c:v>
                </c:pt>
                <c:pt idx="41">
                  <c:v>385</c:v>
                </c:pt>
                <c:pt idx="42">
                  <c:v>390</c:v>
                </c:pt>
                <c:pt idx="43">
                  <c:v>395</c:v>
                </c:pt>
                <c:pt idx="44">
                  <c:v>400</c:v>
                </c:pt>
                <c:pt idx="45">
                  <c:v>400</c:v>
                </c:pt>
                <c:pt idx="46">
                  <c:v>400</c:v>
                </c:pt>
                <c:pt idx="47">
                  <c:v>400</c:v>
                </c:pt>
                <c:pt idx="48">
                  <c:v>410</c:v>
                </c:pt>
                <c:pt idx="49">
                  <c:v>415</c:v>
                </c:pt>
                <c:pt idx="50">
                  <c:v>420</c:v>
                </c:pt>
                <c:pt idx="51">
                  <c:v>420</c:v>
                </c:pt>
                <c:pt idx="52">
                  <c:v>430</c:v>
                </c:pt>
                <c:pt idx="53">
                  <c:v>430</c:v>
                </c:pt>
                <c:pt idx="54">
                  <c:v>440</c:v>
                </c:pt>
                <c:pt idx="55">
                  <c:v>440</c:v>
                </c:pt>
                <c:pt idx="56">
                  <c:v>450</c:v>
                </c:pt>
              </c:numCache>
            </c:numRef>
          </c:yVal>
          <c:smooth val="0"/>
          <c:extLst>
            <c:ext xmlns:c16="http://schemas.microsoft.com/office/drawing/2014/chart" uri="{C3380CC4-5D6E-409C-BE32-E72D297353CC}">
              <c16:uniqueId val="{00000001-89AC-4FE9-B842-6D7031F52DC8}"/>
            </c:ext>
          </c:extLst>
        </c:ser>
        <c:ser>
          <c:idx val="3"/>
          <c:order val="2"/>
          <c:tx>
            <c:strRef>
              <c:f>'ABS data median rents'!$E$2</c:f>
              <c:strCache>
                <c:ptCount val="1"/>
                <c:pt idx="0">
                  <c:v>SA ($)</c:v>
                </c:pt>
              </c:strCache>
            </c:strRef>
          </c:tx>
          <c:spPr>
            <a:ln w="19050" cap="rnd">
              <a:solidFill>
                <a:srgbClr val="7030A0">
                  <a:alpha val="37000"/>
                </a:srgbClr>
              </a:solidFill>
              <a:round/>
            </a:ln>
            <a:effectLst/>
          </c:spPr>
          <c:marker>
            <c:symbol val="none"/>
          </c:marker>
          <c:xVal>
            <c:numRef>
              <c:f>'ABS data median rents'!$A$3:$A$59</c:f>
              <c:numCache>
                <c:formatCode>mmm\-yy</c:formatCode>
                <c:ptCount val="57"/>
                <c:pt idx="0">
                  <c:v>43252</c:v>
                </c:pt>
                <c:pt idx="1">
                  <c:v>43282</c:v>
                </c:pt>
                <c:pt idx="2">
                  <c:v>43313</c:v>
                </c:pt>
                <c:pt idx="3">
                  <c:v>43344</c:v>
                </c:pt>
                <c:pt idx="4">
                  <c:v>43374</c:v>
                </c:pt>
                <c:pt idx="5">
                  <c:v>43405</c:v>
                </c:pt>
                <c:pt idx="6">
                  <c:v>43435</c:v>
                </c:pt>
                <c:pt idx="7">
                  <c:v>43466</c:v>
                </c:pt>
                <c:pt idx="8">
                  <c:v>43497</c:v>
                </c:pt>
                <c:pt idx="9">
                  <c:v>43525</c:v>
                </c:pt>
                <c:pt idx="10">
                  <c:v>43556</c:v>
                </c:pt>
                <c:pt idx="11">
                  <c:v>43586</c:v>
                </c:pt>
                <c:pt idx="12">
                  <c:v>43617</c:v>
                </c:pt>
                <c:pt idx="13">
                  <c:v>43647</c:v>
                </c:pt>
                <c:pt idx="14">
                  <c:v>43678</c:v>
                </c:pt>
                <c:pt idx="15">
                  <c:v>43709</c:v>
                </c:pt>
                <c:pt idx="16">
                  <c:v>43739</c:v>
                </c:pt>
                <c:pt idx="17">
                  <c:v>43770</c:v>
                </c:pt>
                <c:pt idx="18">
                  <c:v>43800</c:v>
                </c:pt>
                <c:pt idx="19">
                  <c:v>43831</c:v>
                </c:pt>
                <c:pt idx="20">
                  <c:v>43862</c:v>
                </c:pt>
                <c:pt idx="21">
                  <c:v>43891</c:v>
                </c:pt>
                <c:pt idx="22">
                  <c:v>43922</c:v>
                </c:pt>
                <c:pt idx="23">
                  <c:v>43952</c:v>
                </c:pt>
                <c:pt idx="24">
                  <c:v>43983</c:v>
                </c:pt>
                <c:pt idx="25">
                  <c:v>44013</c:v>
                </c:pt>
                <c:pt idx="26">
                  <c:v>44044</c:v>
                </c:pt>
                <c:pt idx="27">
                  <c:v>44075</c:v>
                </c:pt>
                <c:pt idx="28">
                  <c:v>44105</c:v>
                </c:pt>
                <c:pt idx="29">
                  <c:v>44136</c:v>
                </c:pt>
                <c:pt idx="30">
                  <c:v>44166</c:v>
                </c:pt>
                <c:pt idx="31">
                  <c:v>44197</c:v>
                </c:pt>
                <c:pt idx="32">
                  <c:v>44228</c:v>
                </c:pt>
                <c:pt idx="33">
                  <c:v>44256</c:v>
                </c:pt>
                <c:pt idx="34">
                  <c:v>44287</c:v>
                </c:pt>
                <c:pt idx="35">
                  <c:v>44317</c:v>
                </c:pt>
                <c:pt idx="36">
                  <c:v>44348</c:v>
                </c:pt>
                <c:pt idx="37">
                  <c:v>44378</c:v>
                </c:pt>
                <c:pt idx="38">
                  <c:v>44409</c:v>
                </c:pt>
                <c:pt idx="39">
                  <c:v>44440</c:v>
                </c:pt>
                <c:pt idx="40">
                  <c:v>44470</c:v>
                </c:pt>
                <c:pt idx="41">
                  <c:v>44501</c:v>
                </c:pt>
                <c:pt idx="42">
                  <c:v>44531</c:v>
                </c:pt>
                <c:pt idx="43">
                  <c:v>44562</c:v>
                </c:pt>
                <c:pt idx="44">
                  <c:v>44593</c:v>
                </c:pt>
                <c:pt idx="45">
                  <c:v>44621</c:v>
                </c:pt>
                <c:pt idx="46">
                  <c:v>44652</c:v>
                </c:pt>
                <c:pt idx="47">
                  <c:v>44682</c:v>
                </c:pt>
                <c:pt idx="48">
                  <c:v>44713</c:v>
                </c:pt>
                <c:pt idx="49">
                  <c:v>44743</c:v>
                </c:pt>
                <c:pt idx="50">
                  <c:v>44774</c:v>
                </c:pt>
                <c:pt idx="51">
                  <c:v>44805</c:v>
                </c:pt>
                <c:pt idx="52">
                  <c:v>44835</c:v>
                </c:pt>
                <c:pt idx="53">
                  <c:v>44866</c:v>
                </c:pt>
                <c:pt idx="54">
                  <c:v>44896</c:v>
                </c:pt>
                <c:pt idx="55">
                  <c:v>44927</c:v>
                </c:pt>
                <c:pt idx="56">
                  <c:v>44958</c:v>
                </c:pt>
              </c:numCache>
            </c:numRef>
          </c:xVal>
          <c:yVal>
            <c:numRef>
              <c:f>'ABS data median rents'!$E$3:$E$59</c:f>
              <c:numCache>
                <c:formatCode>General</c:formatCode>
                <c:ptCount val="57"/>
                <c:pt idx="0">
                  <c:v>320</c:v>
                </c:pt>
                <c:pt idx="1">
                  <c:v>320</c:v>
                </c:pt>
                <c:pt idx="2">
                  <c:v>320</c:v>
                </c:pt>
                <c:pt idx="3">
                  <c:v>320</c:v>
                </c:pt>
                <c:pt idx="4">
                  <c:v>320</c:v>
                </c:pt>
                <c:pt idx="5">
                  <c:v>320</c:v>
                </c:pt>
                <c:pt idx="6">
                  <c:v>320</c:v>
                </c:pt>
                <c:pt idx="7">
                  <c:v>320</c:v>
                </c:pt>
                <c:pt idx="8">
                  <c:v>320</c:v>
                </c:pt>
                <c:pt idx="9">
                  <c:v>325</c:v>
                </c:pt>
                <c:pt idx="10">
                  <c:v>325</c:v>
                </c:pt>
                <c:pt idx="11">
                  <c:v>325</c:v>
                </c:pt>
                <c:pt idx="12">
                  <c:v>325</c:v>
                </c:pt>
                <c:pt idx="13">
                  <c:v>328</c:v>
                </c:pt>
                <c:pt idx="14">
                  <c:v>325</c:v>
                </c:pt>
                <c:pt idx="15">
                  <c:v>325</c:v>
                </c:pt>
                <c:pt idx="16">
                  <c:v>325</c:v>
                </c:pt>
                <c:pt idx="17">
                  <c:v>325</c:v>
                </c:pt>
                <c:pt idx="18">
                  <c:v>330</c:v>
                </c:pt>
                <c:pt idx="19">
                  <c:v>330</c:v>
                </c:pt>
                <c:pt idx="20">
                  <c:v>330</c:v>
                </c:pt>
                <c:pt idx="21">
                  <c:v>330</c:v>
                </c:pt>
                <c:pt idx="22">
                  <c:v>325</c:v>
                </c:pt>
                <c:pt idx="23">
                  <c:v>325</c:v>
                </c:pt>
                <c:pt idx="24">
                  <c:v>328</c:v>
                </c:pt>
                <c:pt idx="25">
                  <c:v>330</c:v>
                </c:pt>
                <c:pt idx="26">
                  <c:v>330</c:v>
                </c:pt>
                <c:pt idx="27">
                  <c:v>330</c:v>
                </c:pt>
                <c:pt idx="28">
                  <c:v>330</c:v>
                </c:pt>
                <c:pt idx="29">
                  <c:v>330</c:v>
                </c:pt>
                <c:pt idx="30">
                  <c:v>330</c:v>
                </c:pt>
                <c:pt idx="31">
                  <c:v>330</c:v>
                </c:pt>
                <c:pt idx="32">
                  <c:v>330</c:v>
                </c:pt>
                <c:pt idx="33">
                  <c:v>330</c:v>
                </c:pt>
                <c:pt idx="34">
                  <c:v>330</c:v>
                </c:pt>
                <c:pt idx="35">
                  <c:v>330</c:v>
                </c:pt>
                <c:pt idx="36">
                  <c:v>335</c:v>
                </c:pt>
                <c:pt idx="37">
                  <c:v>335</c:v>
                </c:pt>
                <c:pt idx="38">
                  <c:v>335</c:v>
                </c:pt>
                <c:pt idx="39">
                  <c:v>340</c:v>
                </c:pt>
                <c:pt idx="40">
                  <c:v>340</c:v>
                </c:pt>
                <c:pt idx="41">
                  <c:v>340</c:v>
                </c:pt>
                <c:pt idx="42">
                  <c:v>340</c:v>
                </c:pt>
                <c:pt idx="43">
                  <c:v>350</c:v>
                </c:pt>
                <c:pt idx="44">
                  <c:v>350</c:v>
                </c:pt>
                <c:pt idx="45">
                  <c:v>350</c:v>
                </c:pt>
                <c:pt idx="46">
                  <c:v>350</c:v>
                </c:pt>
                <c:pt idx="47">
                  <c:v>350</c:v>
                </c:pt>
                <c:pt idx="48">
                  <c:v>355</c:v>
                </c:pt>
                <c:pt idx="49">
                  <c:v>360</c:v>
                </c:pt>
                <c:pt idx="50">
                  <c:v>360</c:v>
                </c:pt>
                <c:pt idx="51">
                  <c:v>365</c:v>
                </c:pt>
                <c:pt idx="52">
                  <c:v>370</c:v>
                </c:pt>
                <c:pt idx="53">
                  <c:v>370</c:v>
                </c:pt>
                <c:pt idx="54">
                  <c:v>375</c:v>
                </c:pt>
                <c:pt idx="55">
                  <c:v>380</c:v>
                </c:pt>
                <c:pt idx="56">
                  <c:v>380</c:v>
                </c:pt>
              </c:numCache>
            </c:numRef>
          </c:yVal>
          <c:smooth val="0"/>
          <c:extLst>
            <c:ext xmlns:c16="http://schemas.microsoft.com/office/drawing/2014/chart" uri="{C3380CC4-5D6E-409C-BE32-E72D297353CC}">
              <c16:uniqueId val="{00000002-89AC-4FE9-B842-6D7031F52DC8}"/>
            </c:ext>
          </c:extLst>
        </c:ser>
        <c:ser>
          <c:idx val="7"/>
          <c:order val="3"/>
          <c:tx>
            <c:strRef>
              <c:f>'ABS data median rents'!$I$2</c:f>
              <c:strCache>
                <c:ptCount val="1"/>
                <c:pt idx="0">
                  <c:v>ACT ($)</c:v>
                </c:pt>
              </c:strCache>
            </c:strRef>
          </c:tx>
          <c:spPr>
            <a:ln w="19050" cap="rnd">
              <a:solidFill>
                <a:schemeClr val="accent5">
                  <a:lumMod val="40000"/>
                  <a:lumOff val="60000"/>
                </a:schemeClr>
              </a:solidFill>
              <a:round/>
            </a:ln>
            <a:effectLst/>
          </c:spPr>
          <c:marker>
            <c:symbol val="none"/>
          </c:marker>
          <c:xVal>
            <c:numRef>
              <c:f>'ABS data median rents'!$A$3:$A$59</c:f>
              <c:numCache>
                <c:formatCode>mmm\-yy</c:formatCode>
                <c:ptCount val="57"/>
                <c:pt idx="0">
                  <c:v>43252</c:v>
                </c:pt>
                <c:pt idx="1">
                  <c:v>43282</c:v>
                </c:pt>
                <c:pt idx="2">
                  <c:v>43313</c:v>
                </c:pt>
                <c:pt idx="3">
                  <c:v>43344</c:v>
                </c:pt>
                <c:pt idx="4">
                  <c:v>43374</c:v>
                </c:pt>
                <c:pt idx="5">
                  <c:v>43405</c:v>
                </c:pt>
                <c:pt idx="6">
                  <c:v>43435</c:v>
                </c:pt>
                <c:pt idx="7">
                  <c:v>43466</c:v>
                </c:pt>
                <c:pt idx="8">
                  <c:v>43497</c:v>
                </c:pt>
                <c:pt idx="9">
                  <c:v>43525</c:v>
                </c:pt>
                <c:pt idx="10">
                  <c:v>43556</c:v>
                </c:pt>
                <c:pt idx="11">
                  <c:v>43586</c:v>
                </c:pt>
                <c:pt idx="12">
                  <c:v>43617</c:v>
                </c:pt>
                <c:pt idx="13">
                  <c:v>43647</c:v>
                </c:pt>
                <c:pt idx="14">
                  <c:v>43678</c:v>
                </c:pt>
                <c:pt idx="15">
                  <c:v>43709</c:v>
                </c:pt>
                <c:pt idx="16">
                  <c:v>43739</c:v>
                </c:pt>
                <c:pt idx="17">
                  <c:v>43770</c:v>
                </c:pt>
                <c:pt idx="18">
                  <c:v>43800</c:v>
                </c:pt>
                <c:pt idx="19">
                  <c:v>43831</c:v>
                </c:pt>
                <c:pt idx="20">
                  <c:v>43862</c:v>
                </c:pt>
                <c:pt idx="21">
                  <c:v>43891</c:v>
                </c:pt>
                <c:pt idx="22">
                  <c:v>43922</c:v>
                </c:pt>
                <c:pt idx="23">
                  <c:v>43952</c:v>
                </c:pt>
                <c:pt idx="24">
                  <c:v>43983</c:v>
                </c:pt>
                <c:pt idx="25">
                  <c:v>44013</c:v>
                </c:pt>
                <c:pt idx="26">
                  <c:v>44044</c:v>
                </c:pt>
                <c:pt idx="27">
                  <c:v>44075</c:v>
                </c:pt>
                <c:pt idx="28">
                  <c:v>44105</c:v>
                </c:pt>
                <c:pt idx="29">
                  <c:v>44136</c:v>
                </c:pt>
                <c:pt idx="30">
                  <c:v>44166</c:v>
                </c:pt>
                <c:pt idx="31">
                  <c:v>44197</c:v>
                </c:pt>
                <c:pt idx="32">
                  <c:v>44228</c:v>
                </c:pt>
                <c:pt idx="33">
                  <c:v>44256</c:v>
                </c:pt>
                <c:pt idx="34">
                  <c:v>44287</c:v>
                </c:pt>
                <c:pt idx="35">
                  <c:v>44317</c:v>
                </c:pt>
                <c:pt idx="36">
                  <c:v>44348</c:v>
                </c:pt>
                <c:pt idx="37">
                  <c:v>44378</c:v>
                </c:pt>
                <c:pt idx="38">
                  <c:v>44409</c:v>
                </c:pt>
                <c:pt idx="39">
                  <c:v>44440</c:v>
                </c:pt>
                <c:pt idx="40">
                  <c:v>44470</c:v>
                </c:pt>
                <c:pt idx="41">
                  <c:v>44501</c:v>
                </c:pt>
                <c:pt idx="42">
                  <c:v>44531</c:v>
                </c:pt>
                <c:pt idx="43">
                  <c:v>44562</c:v>
                </c:pt>
                <c:pt idx="44">
                  <c:v>44593</c:v>
                </c:pt>
                <c:pt idx="45">
                  <c:v>44621</c:v>
                </c:pt>
                <c:pt idx="46">
                  <c:v>44652</c:v>
                </c:pt>
                <c:pt idx="47">
                  <c:v>44682</c:v>
                </c:pt>
                <c:pt idx="48">
                  <c:v>44713</c:v>
                </c:pt>
                <c:pt idx="49">
                  <c:v>44743</c:v>
                </c:pt>
                <c:pt idx="50">
                  <c:v>44774</c:v>
                </c:pt>
                <c:pt idx="51">
                  <c:v>44805</c:v>
                </c:pt>
                <c:pt idx="52">
                  <c:v>44835</c:v>
                </c:pt>
                <c:pt idx="53">
                  <c:v>44866</c:v>
                </c:pt>
                <c:pt idx="54">
                  <c:v>44896</c:v>
                </c:pt>
                <c:pt idx="55">
                  <c:v>44927</c:v>
                </c:pt>
                <c:pt idx="56">
                  <c:v>44958</c:v>
                </c:pt>
              </c:numCache>
            </c:numRef>
          </c:xVal>
          <c:yVal>
            <c:numRef>
              <c:f>'ABS data median rents'!$I$3:$I$59</c:f>
              <c:numCache>
                <c:formatCode>General</c:formatCode>
                <c:ptCount val="57"/>
                <c:pt idx="0">
                  <c:v>470</c:v>
                </c:pt>
                <c:pt idx="1">
                  <c:v>470</c:v>
                </c:pt>
                <c:pt idx="2">
                  <c:v>465</c:v>
                </c:pt>
                <c:pt idx="3">
                  <c:v>465</c:v>
                </c:pt>
                <c:pt idx="4">
                  <c:v>470</c:v>
                </c:pt>
                <c:pt idx="5">
                  <c:v>470</c:v>
                </c:pt>
                <c:pt idx="6">
                  <c:v>470</c:v>
                </c:pt>
                <c:pt idx="7">
                  <c:v>480</c:v>
                </c:pt>
                <c:pt idx="8">
                  <c:v>480</c:v>
                </c:pt>
                <c:pt idx="9">
                  <c:v>480</c:v>
                </c:pt>
                <c:pt idx="10">
                  <c:v>480</c:v>
                </c:pt>
                <c:pt idx="11">
                  <c:v>481.9</c:v>
                </c:pt>
                <c:pt idx="12">
                  <c:v>485</c:v>
                </c:pt>
                <c:pt idx="13">
                  <c:v>490</c:v>
                </c:pt>
                <c:pt idx="14">
                  <c:v>490</c:v>
                </c:pt>
                <c:pt idx="15">
                  <c:v>490</c:v>
                </c:pt>
                <c:pt idx="16">
                  <c:v>490</c:v>
                </c:pt>
                <c:pt idx="17">
                  <c:v>490</c:v>
                </c:pt>
                <c:pt idx="18">
                  <c:v>495</c:v>
                </c:pt>
                <c:pt idx="19">
                  <c:v>495</c:v>
                </c:pt>
                <c:pt idx="20">
                  <c:v>500</c:v>
                </c:pt>
                <c:pt idx="21">
                  <c:v>500</c:v>
                </c:pt>
                <c:pt idx="22">
                  <c:v>500</c:v>
                </c:pt>
                <c:pt idx="23">
                  <c:v>500</c:v>
                </c:pt>
                <c:pt idx="24">
                  <c:v>500</c:v>
                </c:pt>
                <c:pt idx="25">
                  <c:v>500</c:v>
                </c:pt>
                <c:pt idx="26">
                  <c:v>500</c:v>
                </c:pt>
                <c:pt idx="27">
                  <c:v>500</c:v>
                </c:pt>
                <c:pt idx="28">
                  <c:v>500</c:v>
                </c:pt>
                <c:pt idx="29">
                  <c:v>500</c:v>
                </c:pt>
                <c:pt idx="30">
                  <c:v>500</c:v>
                </c:pt>
                <c:pt idx="31">
                  <c:v>500</c:v>
                </c:pt>
                <c:pt idx="32">
                  <c:v>500</c:v>
                </c:pt>
                <c:pt idx="33">
                  <c:v>500</c:v>
                </c:pt>
                <c:pt idx="34">
                  <c:v>500</c:v>
                </c:pt>
                <c:pt idx="35">
                  <c:v>506</c:v>
                </c:pt>
                <c:pt idx="36">
                  <c:v>510</c:v>
                </c:pt>
                <c:pt idx="37">
                  <c:v>500</c:v>
                </c:pt>
                <c:pt idx="38">
                  <c:v>500</c:v>
                </c:pt>
                <c:pt idx="39">
                  <c:v>500</c:v>
                </c:pt>
                <c:pt idx="40">
                  <c:v>500</c:v>
                </c:pt>
                <c:pt idx="41">
                  <c:v>510</c:v>
                </c:pt>
                <c:pt idx="42">
                  <c:v>510</c:v>
                </c:pt>
                <c:pt idx="43">
                  <c:v>515</c:v>
                </c:pt>
                <c:pt idx="44">
                  <c:v>520</c:v>
                </c:pt>
                <c:pt idx="45">
                  <c:v>520</c:v>
                </c:pt>
                <c:pt idx="46">
                  <c:v>525</c:v>
                </c:pt>
                <c:pt idx="47">
                  <c:v>530</c:v>
                </c:pt>
                <c:pt idx="48">
                  <c:v>530</c:v>
                </c:pt>
                <c:pt idx="49">
                  <c:v>539.4</c:v>
                </c:pt>
                <c:pt idx="50">
                  <c:v>540</c:v>
                </c:pt>
                <c:pt idx="51">
                  <c:v>550</c:v>
                </c:pt>
                <c:pt idx="52">
                  <c:v>550</c:v>
                </c:pt>
                <c:pt idx="53">
                  <c:v>550</c:v>
                </c:pt>
                <c:pt idx="54">
                  <c:v>550</c:v>
                </c:pt>
                <c:pt idx="55">
                  <c:v>555</c:v>
                </c:pt>
                <c:pt idx="56">
                  <c:v>560</c:v>
                </c:pt>
              </c:numCache>
            </c:numRef>
          </c:yVal>
          <c:smooth val="0"/>
          <c:extLst>
            <c:ext xmlns:c16="http://schemas.microsoft.com/office/drawing/2014/chart" uri="{C3380CC4-5D6E-409C-BE32-E72D297353CC}">
              <c16:uniqueId val="{00000003-89AC-4FE9-B842-6D7031F52DC8}"/>
            </c:ext>
          </c:extLst>
        </c:ser>
        <c:ser>
          <c:idx val="2"/>
          <c:order val="4"/>
          <c:tx>
            <c:strRef>
              <c:f>'ABS data median rents'!$D$2</c:f>
              <c:strCache>
                <c:ptCount val="1"/>
                <c:pt idx="0">
                  <c:v>QLD ($)</c:v>
                </c:pt>
              </c:strCache>
            </c:strRef>
          </c:tx>
          <c:spPr>
            <a:ln w="19050" cap="rnd">
              <a:solidFill>
                <a:schemeClr val="tx1">
                  <a:lumMod val="65000"/>
                  <a:lumOff val="35000"/>
                  <a:alpha val="35000"/>
                </a:schemeClr>
              </a:solidFill>
              <a:round/>
            </a:ln>
            <a:effectLst/>
          </c:spPr>
          <c:marker>
            <c:symbol val="none"/>
          </c:marker>
          <c:xVal>
            <c:numRef>
              <c:f>'ABS data median rents'!$A$3:$A$59</c:f>
              <c:numCache>
                <c:formatCode>mmm\-yy</c:formatCode>
                <c:ptCount val="57"/>
                <c:pt idx="0">
                  <c:v>43252</c:v>
                </c:pt>
                <c:pt idx="1">
                  <c:v>43282</c:v>
                </c:pt>
                <c:pt idx="2">
                  <c:v>43313</c:v>
                </c:pt>
                <c:pt idx="3">
                  <c:v>43344</c:v>
                </c:pt>
                <c:pt idx="4">
                  <c:v>43374</c:v>
                </c:pt>
                <c:pt idx="5">
                  <c:v>43405</c:v>
                </c:pt>
                <c:pt idx="6">
                  <c:v>43435</c:v>
                </c:pt>
                <c:pt idx="7">
                  <c:v>43466</c:v>
                </c:pt>
                <c:pt idx="8">
                  <c:v>43497</c:v>
                </c:pt>
                <c:pt idx="9">
                  <c:v>43525</c:v>
                </c:pt>
                <c:pt idx="10">
                  <c:v>43556</c:v>
                </c:pt>
                <c:pt idx="11">
                  <c:v>43586</c:v>
                </c:pt>
                <c:pt idx="12">
                  <c:v>43617</c:v>
                </c:pt>
                <c:pt idx="13">
                  <c:v>43647</c:v>
                </c:pt>
                <c:pt idx="14">
                  <c:v>43678</c:v>
                </c:pt>
                <c:pt idx="15">
                  <c:v>43709</c:v>
                </c:pt>
                <c:pt idx="16">
                  <c:v>43739</c:v>
                </c:pt>
                <c:pt idx="17">
                  <c:v>43770</c:v>
                </c:pt>
                <c:pt idx="18">
                  <c:v>43800</c:v>
                </c:pt>
                <c:pt idx="19">
                  <c:v>43831</c:v>
                </c:pt>
                <c:pt idx="20">
                  <c:v>43862</c:v>
                </c:pt>
                <c:pt idx="21">
                  <c:v>43891</c:v>
                </c:pt>
                <c:pt idx="22">
                  <c:v>43922</c:v>
                </c:pt>
                <c:pt idx="23">
                  <c:v>43952</c:v>
                </c:pt>
                <c:pt idx="24">
                  <c:v>43983</c:v>
                </c:pt>
                <c:pt idx="25">
                  <c:v>44013</c:v>
                </c:pt>
                <c:pt idx="26">
                  <c:v>44044</c:v>
                </c:pt>
                <c:pt idx="27">
                  <c:v>44075</c:v>
                </c:pt>
                <c:pt idx="28">
                  <c:v>44105</c:v>
                </c:pt>
                <c:pt idx="29">
                  <c:v>44136</c:v>
                </c:pt>
                <c:pt idx="30">
                  <c:v>44166</c:v>
                </c:pt>
                <c:pt idx="31">
                  <c:v>44197</c:v>
                </c:pt>
                <c:pt idx="32">
                  <c:v>44228</c:v>
                </c:pt>
                <c:pt idx="33">
                  <c:v>44256</c:v>
                </c:pt>
                <c:pt idx="34">
                  <c:v>44287</c:v>
                </c:pt>
                <c:pt idx="35">
                  <c:v>44317</c:v>
                </c:pt>
                <c:pt idx="36">
                  <c:v>44348</c:v>
                </c:pt>
                <c:pt idx="37">
                  <c:v>44378</c:v>
                </c:pt>
                <c:pt idx="38">
                  <c:v>44409</c:v>
                </c:pt>
                <c:pt idx="39">
                  <c:v>44440</c:v>
                </c:pt>
                <c:pt idx="40">
                  <c:v>44470</c:v>
                </c:pt>
                <c:pt idx="41">
                  <c:v>44501</c:v>
                </c:pt>
                <c:pt idx="42">
                  <c:v>44531</c:v>
                </c:pt>
                <c:pt idx="43">
                  <c:v>44562</c:v>
                </c:pt>
                <c:pt idx="44">
                  <c:v>44593</c:v>
                </c:pt>
                <c:pt idx="45">
                  <c:v>44621</c:v>
                </c:pt>
                <c:pt idx="46">
                  <c:v>44652</c:v>
                </c:pt>
                <c:pt idx="47">
                  <c:v>44682</c:v>
                </c:pt>
                <c:pt idx="48">
                  <c:v>44713</c:v>
                </c:pt>
                <c:pt idx="49">
                  <c:v>44743</c:v>
                </c:pt>
                <c:pt idx="50">
                  <c:v>44774</c:v>
                </c:pt>
                <c:pt idx="51">
                  <c:v>44805</c:v>
                </c:pt>
                <c:pt idx="52">
                  <c:v>44835</c:v>
                </c:pt>
                <c:pt idx="53">
                  <c:v>44866</c:v>
                </c:pt>
                <c:pt idx="54">
                  <c:v>44896</c:v>
                </c:pt>
                <c:pt idx="55">
                  <c:v>44927</c:v>
                </c:pt>
                <c:pt idx="56">
                  <c:v>44958</c:v>
                </c:pt>
              </c:numCache>
            </c:numRef>
          </c:xVal>
          <c:yVal>
            <c:numRef>
              <c:f>'ABS data median rents'!$D$3:$D$59</c:f>
              <c:numCache>
                <c:formatCode>General</c:formatCode>
                <c:ptCount val="57"/>
                <c:pt idx="0">
                  <c:v>380</c:v>
                </c:pt>
                <c:pt idx="1">
                  <c:v>380</c:v>
                </c:pt>
                <c:pt idx="2">
                  <c:v>380</c:v>
                </c:pt>
                <c:pt idx="3">
                  <c:v>375</c:v>
                </c:pt>
                <c:pt idx="4">
                  <c:v>375</c:v>
                </c:pt>
                <c:pt idx="5">
                  <c:v>375</c:v>
                </c:pt>
                <c:pt idx="6">
                  <c:v>375</c:v>
                </c:pt>
                <c:pt idx="7">
                  <c:v>375</c:v>
                </c:pt>
                <c:pt idx="8">
                  <c:v>380</c:v>
                </c:pt>
                <c:pt idx="9">
                  <c:v>380</c:v>
                </c:pt>
                <c:pt idx="10">
                  <c:v>380</c:v>
                </c:pt>
                <c:pt idx="11">
                  <c:v>380</c:v>
                </c:pt>
                <c:pt idx="12">
                  <c:v>380</c:v>
                </c:pt>
                <c:pt idx="13">
                  <c:v>380</c:v>
                </c:pt>
                <c:pt idx="14">
                  <c:v>380</c:v>
                </c:pt>
                <c:pt idx="15">
                  <c:v>380</c:v>
                </c:pt>
                <c:pt idx="16">
                  <c:v>380</c:v>
                </c:pt>
                <c:pt idx="17">
                  <c:v>380</c:v>
                </c:pt>
                <c:pt idx="18">
                  <c:v>380</c:v>
                </c:pt>
                <c:pt idx="19">
                  <c:v>385</c:v>
                </c:pt>
                <c:pt idx="20">
                  <c:v>385</c:v>
                </c:pt>
                <c:pt idx="21">
                  <c:v>385</c:v>
                </c:pt>
                <c:pt idx="22">
                  <c:v>380</c:v>
                </c:pt>
                <c:pt idx="23">
                  <c:v>380</c:v>
                </c:pt>
                <c:pt idx="24">
                  <c:v>380</c:v>
                </c:pt>
                <c:pt idx="25">
                  <c:v>380</c:v>
                </c:pt>
                <c:pt idx="26">
                  <c:v>380</c:v>
                </c:pt>
                <c:pt idx="27">
                  <c:v>380</c:v>
                </c:pt>
                <c:pt idx="28">
                  <c:v>380</c:v>
                </c:pt>
                <c:pt idx="29">
                  <c:v>380</c:v>
                </c:pt>
                <c:pt idx="30">
                  <c:v>380</c:v>
                </c:pt>
                <c:pt idx="31">
                  <c:v>380</c:v>
                </c:pt>
                <c:pt idx="32">
                  <c:v>380</c:v>
                </c:pt>
                <c:pt idx="33">
                  <c:v>380</c:v>
                </c:pt>
                <c:pt idx="34">
                  <c:v>380</c:v>
                </c:pt>
                <c:pt idx="35">
                  <c:v>385</c:v>
                </c:pt>
                <c:pt idx="36">
                  <c:v>385</c:v>
                </c:pt>
                <c:pt idx="37">
                  <c:v>385</c:v>
                </c:pt>
                <c:pt idx="38">
                  <c:v>390</c:v>
                </c:pt>
                <c:pt idx="39">
                  <c:v>390</c:v>
                </c:pt>
                <c:pt idx="40">
                  <c:v>390</c:v>
                </c:pt>
                <c:pt idx="41">
                  <c:v>390</c:v>
                </c:pt>
                <c:pt idx="42">
                  <c:v>395</c:v>
                </c:pt>
                <c:pt idx="43">
                  <c:v>400</c:v>
                </c:pt>
                <c:pt idx="44">
                  <c:v>400</c:v>
                </c:pt>
                <c:pt idx="45">
                  <c:v>400</c:v>
                </c:pt>
                <c:pt idx="46">
                  <c:v>405</c:v>
                </c:pt>
                <c:pt idx="47">
                  <c:v>410</c:v>
                </c:pt>
                <c:pt idx="48">
                  <c:v>410</c:v>
                </c:pt>
                <c:pt idx="49">
                  <c:v>415</c:v>
                </c:pt>
                <c:pt idx="50">
                  <c:v>420</c:v>
                </c:pt>
                <c:pt idx="51">
                  <c:v>420</c:v>
                </c:pt>
                <c:pt idx="52">
                  <c:v>430</c:v>
                </c:pt>
                <c:pt idx="53">
                  <c:v>430</c:v>
                </c:pt>
                <c:pt idx="54">
                  <c:v>440</c:v>
                </c:pt>
                <c:pt idx="55">
                  <c:v>440</c:v>
                </c:pt>
                <c:pt idx="56">
                  <c:v>450</c:v>
                </c:pt>
              </c:numCache>
            </c:numRef>
          </c:yVal>
          <c:smooth val="0"/>
          <c:extLst>
            <c:ext xmlns:c16="http://schemas.microsoft.com/office/drawing/2014/chart" uri="{C3380CC4-5D6E-409C-BE32-E72D297353CC}">
              <c16:uniqueId val="{00000004-89AC-4FE9-B842-6D7031F52DC8}"/>
            </c:ext>
          </c:extLst>
        </c:ser>
        <c:ser>
          <c:idx val="1"/>
          <c:order val="5"/>
          <c:tx>
            <c:strRef>
              <c:f>'ABS data median rents'!$C$2</c:f>
              <c:strCache>
                <c:ptCount val="1"/>
                <c:pt idx="0">
                  <c:v>VIC ($)</c:v>
                </c:pt>
              </c:strCache>
            </c:strRef>
          </c:tx>
          <c:spPr>
            <a:ln w="19050" cap="rnd">
              <a:solidFill>
                <a:srgbClr val="FF0000">
                  <a:alpha val="28000"/>
                </a:srgbClr>
              </a:solidFill>
              <a:round/>
            </a:ln>
            <a:effectLst/>
          </c:spPr>
          <c:marker>
            <c:symbol val="none"/>
          </c:marker>
          <c:xVal>
            <c:numRef>
              <c:f>'ABS data median rents'!$A$3:$A$59</c:f>
              <c:numCache>
                <c:formatCode>mmm\-yy</c:formatCode>
                <c:ptCount val="57"/>
                <c:pt idx="0">
                  <c:v>43252</c:v>
                </c:pt>
                <c:pt idx="1">
                  <c:v>43282</c:v>
                </c:pt>
                <c:pt idx="2">
                  <c:v>43313</c:v>
                </c:pt>
                <c:pt idx="3">
                  <c:v>43344</c:v>
                </c:pt>
                <c:pt idx="4">
                  <c:v>43374</c:v>
                </c:pt>
                <c:pt idx="5">
                  <c:v>43405</c:v>
                </c:pt>
                <c:pt idx="6">
                  <c:v>43435</c:v>
                </c:pt>
                <c:pt idx="7">
                  <c:v>43466</c:v>
                </c:pt>
                <c:pt idx="8">
                  <c:v>43497</c:v>
                </c:pt>
                <c:pt idx="9">
                  <c:v>43525</c:v>
                </c:pt>
                <c:pt idx="10">
                  <c:v>43556</c:v>
                </c:pt>
                <c:pt idx="11">
                  <c:v>43586</c:v>
                </c:pt>
                <c:pt idx="12">
                  <c:v>43617</c:v>
                </c:pt>
                <c:pt idx="13">
                  <c:v>43647</c:v>
                </c:pt>
                <c:pt idx="14">
                  <c:v>43678</c:v>
                </c:pt>
                <c:pt idx="15">
                  <c:v>43709</c:v>
                </c:pt>
                <c:pt idx="16">
                  <c:v>43739</c:v>
                </c:pt>
                <c:pt idx="17">
                  <c:v>43770</c:v>
                </c:pt>
                <c:pt idx="18">
                  <c:v>43800</c:v>
                </c:pt>
                <c:pt idx="19">
                  <c:v>43831</c:v>
                </c:pt>
                <c:pt idx="20">
                  <c:v>43862</c:v>
                </c:pt>
                <c:pt idx="21">
                  <c:v>43891</c:v>
                </c:pt>
                <c:pt idx="22">
                  <c:v>43922</c:v>
                </c:pt>
                <c:pt idx="23">
                  <c:v>43952</c:v>
                </c:pt>
                <c:pt idx="24">
                  <c:v>43983</c:v>
                </c:pt>
                <c:pt idx="25">
                  <c:v>44013</c:v>
                </c:pt>
                <c:pt idx="26">
                  <c:v>44044</c:v>
                </c:pt>
                <c:pt idx="27">
                  <c:v>44075</c:v>
                </c:pt>
                <c:pt idx="28">
                  <c:v>44105</c:v>
                </c:pt>
                <c:pt idx="29">
                  <c:v>44136</c:v>
                </c:pt>
                <c:pt idx="30">
                  <c:v>44166</c:v>
                </c:pt>
                <c:pt idx="31">
                  <c:v>44197</c:v>
                </c:pt>
                <c:pt idx="32">
                  <c:v>44228</c:v>
                </c:pt>
                <c:pt idx="33">
                  <c:v>44256</c:v>
                </c:pt>
                <c:pt idx="34">
                  <c:v>44287</c:v>
                </c:pt>
                <c:pt idx="35">
                  <c:v>44317</c:v>
                </c:pt>
                <c:pt idx="36">
                  <c:v>44348</c:v>
                </c:pt>
                <c:pt idx="37">
                  <c:v>44378</c:v>
                </c:pt>
                <c:pt idx="38">
                  <c:v>44409</c:v>
                </c:pt>
                <c:pt idx="39">
                  <c:v>44440</c:v>
                </c:pt>
                <c:pt idx="40">
                  <c:v>44470</c:v>
                </c:pt>
                <c:pt idx="41">
                  <c:v>44501</c:v>
                </c:pt>
                <c:pt idx="42">
                  <c:v>44531</c:v>
                </c:pt>
                <c:pt idx="43">
                  <c:v>44562</c:v>
                </c:pt>
                <c:pt idx="44">
                  <c:v>44593</c:v>
                </c:pt>
                <c:pt idx="45">
                  <c:v>44621</c:v>
                </c:pt>
                <c:pt idx="46">
                  <c:v>44652</c:v>
                </c:pt>
                <c:pt idx="47">
                  <c:v>44682</c:v>
                </c:pt>
                <c:pt idx="48">
                  <c:v>44713</c:v>
                </c:pt>
                <c:pt idx="49">
                  <c:v>44743</c:v>
                </c:pt>
                <c:pt idx="50">
                  <c:v>44774</c:v>
                </c:pt>
                <c:pt idx="51">
                  <c:v>44805</c:v>
                </c:pt>
                <c:pt idx="52">
                  <c:v>44835</c:v>
                </c:pt>
                <c:pt idx="53">
                  <c:v>44866</c:v>
                </c:pt>
                <c:pt idx="54">
                  <c:v>44896</c:v>
                </c:pt>
                <c:pt idx="55">
                  <c:v>44927</c:v>
                </c:pt>
                <c:pt idx="56">
                  <c:v>44958</c:v>
                </c:pt>
              </c:numCache>
            </c:numRef>
          </c:xVal>
          <c:yVal>
            <c:numRef>
              <c:f>'ABS data median rents'!$C$3:$C$59</c:f>
              <c:numCache>
                <c:formatCode>General</c:formatCode>
                <c:ptCount val="57"/>
                <c:pt idx="0">
                  <c:v>375.1</c:v>
                </c:pt>
                <c:pt idx="1">
                  <c:v>380</c:v>
                </c:pt>
                <c:pt idx="2">
                  <c:v>380</c:v>
                </c:pt>
                <c:pt idx="3">
                  <c:v>385</c:v>
                </c:pt>
                <c:pt idx="4">
                  <c:v>380.2</c:v>
                </c:pt>
                <c:pt idx="5">
                  <c:v>380.2</c:v>
                </c:pt>
                <c:pt idx="6">
                  <c:v>385</c:v>
                </c:pt>
                <c:pt idx="7">
                  <c:v>385</c:v>
                </c:pt>
                <c:pt idx="8">
                  <c:v>389.9</c:v>
                </c:pt>
                <c:pt idx="9">
                  <c:v>388.9</c:v>
                </c:pt>
                <c:pt idx="10">
                  <c:v>385</c:v>
                </c:pt>
                <c:pt idx="11">
                  <c:v>388.9</c:v>
                </c:pt>
                <c:pt idx="12">
                  <c:v>390</c:v>
                </c:pt>
                <c:pt idx="13">
                  <c:v>390</c:v>
                </c:pt>
                <c:pt idx="14">
                  <c:v>390.1</c:v>
                </c:pt>
                <c:pt idx="15">
                  <c:v>390.1</c:v>
                </c:pt>
                <c:pt idx="16">
                  <c:v>390.1</c:v>
                </c:pt>
                <c:pt idx="17">
                  <c:v>390.1</c:v>
                </c:pt>
                <c:pt idx="18">
                  <c:v>390.1</c:v>
                </c:pt>
                <c:pt idx="19">
                  <c:v>390.1</c:v>
                </c:pt>
                <c:pt idx="20">
                  <c:v>394</c:v>
                </c:pt>
                <c:pt idx="21">
                  <c:v>394</c:v>
                </c:pt>
                <c:pt idx="22">
                  <c:v>390.1</c:v>
                </c:pt>
                <c:pt idx="23">
                  <c:v>390.1</c:v>
                </c:pt>
                <c:pt idx="24">
                  <c:v>390.1</c:v>
                </c:pt>
                <c:pt idx="25">
                  <c:v>390.1</c:v>
                </c:pt>
                <c:pt idx="26">
                  <c:v>390.1</c:v>
                </c:pt>
                <c:pt idx="27">
                  <c:v>389.9</c:v>
                </c:pt>
                <c:pt idx="28">
                  <c:v>390</c:v>
                </c:pt>
                <c:pt idx="29">
                  <c:v>389.9</c:v>
                </c:pt>
                <c:pt idx="30">
                  <c:v>385</c:v>
                </c:pt>
                <c:pt idx="31">
                  <c:v>385</c:v>
                </c:pt>
                <c:pt idx="32">
                  <c:v>384.8</c:v>
                </c:pt>
                <c:pt idx="33">
                  <c:v>380.2</c:v>
                </c:pt>
                <c:pt idx="34">
                  <c:v>380.2</c:v>
                </c:pt>
                <c:pt idx="35">
                  <c:v>380.2</c:v>
                </c:pt>
                <c:pt idx="36">
                  <c:v>380.2</c:v>
                </c:pt>
                <c:pt idx="37">
                  <c:v>383.2</c:v>
                </c:pt>
                <c:pt idx="38">
                  <c:v>385</c:v>
                </c:pt>
                <c:pt idx="39">
                  <c:v>385</c:v>
                </c:pt>
                <c:pt idx="40">
                  <c:v>385</c:v>
                </c:pt>
                <c:pt idx="41">
                  <c:v>385</c:v>
                </c:pt>
                <c:pt idx="42">
                  <c:v>385</c:v>
                </c:pt>
                <c:pt idx="43">
                  <c:v>390</c:v>
                </c:pt>
                <c:pt idx="44">
                  <c:v>390.1</c:v>
                </c:pt>
                <c:pt idx="45">
                  <c:v>390.1</c:v>
                </c:pt>
                <c:pt idx="46">
                  <c:v>390.1</c:v>
                </c:pt>
                <c:pt idx="47">
                  <c:v>394.9</c:v>
                </c:pt>
                <c:pt idx="48">
                  <c:v>398.8</c:v>
                </c:pt>
                <c:pt idx="49">
                  <c:v>400</c:v>
                </c:pt>
                <c:pt idx="50">
                  <c:v>400</c:v>
                </c:pt>
                <c:pt idx="51">
                  <c:v>400</c:v>
                </c:pt>
                <c:pt idx="52">
                  <c:v>400</c:v>
                </c:pt>
                <c:pt idx="53">
                  <c:v>405</c:v>
                </c:pt>
                <c:pt idx="54">
                  <c:v>410.1</c:v>
                </c:pt>
                <c:pt idx="55">
                  <c:v>410.1</c:v>
                </c:pt>
                <c:pt idx="56">
                  <c:v>420</c:v>
                </c:pt>
              </c:numCache>
            </c:numRef>
          </c:yVal>
          <c:smooth val="0"/>
          <c:extLst>
            <c:ext xmlns:c16="http://schemas.microsoft.com/office/drawing/2014/chart" uri="{C3380CC4-5D6E-409C-BE32-E72D297353CC}">
              <c16:uniqueId val="{00000005-89AC-4FE9-B842-6D7031F52DC8}"/>
            </c:ext>
          </c:extLst>
        </c:ser>
        <c:ser>
          <c:idx val="6"/>
          <c:order val="6"/>
          <c:tx>
            <c:strRef>
              <c:f>'ABS data median rents'!$H$2</c:f>
              <c:strCache>
                <c:ptCount val="1"/>
                <c:pt idx="0">
                  <c:v>NT ($)</c:v>
                </c:pt>
              </c:strCache>
            </c:strRef>
          </c:tx>
          <c:spPr>
            <a:ln w="19050" cap="rnd">
              <a:solidFill>
                <a:schemeClr val="accent3">
                  <a:lumMod val="40000"/>
                  <a:lumOff val="60000"/>
                </a:schemeClr>
              </a:solidFill>
              <a:round/>
            </a:ln>
            <a:effectLst/>
          </c:spPr>
          <c:marker>
            <c:symbol val="none"/>
          </c:marker>
          <c:xVal>
            <c:numRef>
              <c:f>'ABS data median rents'!$A$3:$A$59</c:f>
              <c:numCache>
                <c:formatCode>mmm\-yy</c:formatCode>
                <c:ptCount val="57"/>
                <c:pt idx="0">
                  <c:v>43252</c:v>
                </c:pt>
                <c:pt idx="1">
                  <c:v>43282</c:v>
                </c:pt>
                <c:pt idx="2">
                  <c:v>43313</c:v>
                </c:pt>
                <c:pt idx="3">
                  <c:v>43344</c:v>
                </c:pt>
                <c:pt idx="4">
                  <c:v>43374</c:v>
                </c:pt>
                <c:pt idx="5">
                  <c:v>43405</c:v>
                </c:pt>
                <c:pt idx="6">
                  <c:v>43435</c:v>
                </c:pt>
                <c:pt idx="7">
                  <c:v>43466</c:v>
                </c:pt>
                <c:pt idx="8">
                  <c:v>43497</c:v>
                </c:pt>
                <c:pt idx="9">
                  <c:v>43525</c:v>
                </c:pt>
                <c:pt idx="10">
                  <c:v>43556</c:v>
                </c:pt>
                <c:pt idx="11">
                  <c:v>43586</c:v>
                </c:pt>
                <c:pt idx="12">
                  <c:v>43617</c:v>
                </c:pt>
                <c:pt idx="13">
                  <c:v>43647</c:v>
                </c:pt>
                <c:pt idx="14">
                  <c:v>43678</c:v>
                </c:pt>
                <c:pt idx="15">
                  <c:v>43709</c:v>
                </c:pt>
                <c:pt idx="16">
                  <c:v>43739</c:v>
                </c:pt>
                <c:pt idx="17">
                  <c:v>43770</c:v>
                </c:pt>
                <c:pt idx="18">
                  <c:v>43800</c:v>
                </c:pt>
                <c:pt idx="19">
                  <c:v>43831</c:v>
                </c:pt>
                <c:pt idx="20">
                  <c:v>43862</c:v>
                </c:pt>
                <c:pt idx="21">
                  <c:v>43891</c:v>
                </c:pt>
                <c:pt idx="22">
                  <c:v>43922</c:v>
                </c:pt>
                <c:pt idx="23">
                  <c:v>43952</c:v>
                </c:pt>
                <c:pt idx="24">
                  <c:v>43983</c:v>
                </c:pt>
                <c:pt idx="25">
                  <c:v>44013</c:v>
                </c:pt>
                <c:pt idx="26">
                  <c:v>44044</c:v>
                </c:pt>
                <c:pt idx="27">
                  <c:v>44075</c:v>
                </c:pt>
                <c:pt idx="28">
                  <c:v>44105</c:v>
                </c:pt>
                <c:pt idx="29">
                  <c:v>44136</c:v>
                </c:pt>
                <c:pt idx="30">
                  <c:v>44166</c:v>
                </c:pt>
                <c:pt idx="31">
                  <c:v>44197</c:v>
                </c:pt>
                <c:pt idx="32">
                  <c:v>44228</c:v>
                </c:pt>
                <c:pt idx="33">
                  <c:v>44256</c:v>
                </c:pt>
                <c:pt idx="34">
                  <c:v>44287</c:v>
                </c:pt>
                <c:pt idx="35">
                  <c:v>44317</c:v>
                </c:pt>
                <c:pt idx="36">
                  <c:v>44348</c:v>
                </c:pt>
                <c:pt idx="37">
                  <c:v>44378</c:v>
                </c:pt>
                <c:pt idx="38">
                  <c:v>44409</c:v>
                </c:pt>
                <c:pt idx="39">
                  <c:v>44440</c:v>
                </c:pt>
                <c:pt idx="40">
                  <c:v>44470</c:v>
                </c:pt>
                <c:pt idx="41">
                  <c:v>44501</c:v>
                </c:pt>
                <c:pt idx="42">
                  <c:v>44531</c:v>
                </c:pt>
                <c:pt idx="43">
                  <c:v>44562</c:v>
                </c:pt>
                <c:pt idx="44">
                  <c:v>44593</c:v>
                </c:pt>
                <c:pt idx="45">
                  <c:v>44621</c:v>
                </c:pt>
                <c:pt idx="46">
                  <c:v>44652</c:v>
                </c:pt>
                <c:pt idx="47">
                  <c:v>44682</c:v>
                </c:pt>
                <c:pt idx="48">
                  <c:v>44713</c:v>
                </c:pt>
                <c:pt idx="49">
                  <c:v>44743</c:v>
                </c:pt>
                <c:pt idx="50">
                  <c:v>44774</c:v>
                </c:pt>
                <c:pt idx="51">
                  <c:v>44805</c:v>
                </c:pt>
                <c:pt idx="52">
                  <c:v>44835</c:v>
                </c:pt>
                <c:pt idx="53">
                  <c:v>44866</c:v>
                </c:pt>
                <c:pt idx="54">
                  <c:v>44896</c:v>
                </c:pt>
                <c:pt idx="55">
                  <c:v>44927</c:v>
                </c:pt>
                <c:pt idx="56">
                  <c:v>44958</c:v>
                </c:pt>
              </c:numCache>
            </c:numRef>
          </c:xVal>
          <c:yVal>
            <c:numRef>
              <c:f>'ABS data median rents'!$H$3:$H$59</c:f>
              <c:numCache>
                <c:formatCode>General</c:formatCode>
                <c:ptCount val="57"/>
                <c:pt idx="0">
                  <c:v>450</c:v>
                </c:pt>
                <c:pt idx="1">
                  <c:v>450</c:v>
                </c:pt>
                <c:pt idx="2">
                  <c:v>450</c:v>
                </c:pt>
                <c:pt idx="3">
                  <c:v>450</c:v>
                </c:pt>
                <c:pt idx="4">
                  <c:v>450</c:v>
                </c:pt>
                <c:pt idx="5">
                  <c:v>440</c:v>
                </c:pt>
                <c:pt idx="6">
                  <c:v>440</c:v>
                </c:pt>
                <c:pt idx="7">
                  <c:v>440</c:v>
                </c:pt>
                <c:pt idx="8">
                  <c:v>430</c:v>
                </c:pt>
                <c:pt idx="9">
                  <c:v>430</c:v>
                </c:pt>
                <c:pt idx="10">
                  <c:v>430</c:v>
                </c:pt>
                <c:pt idx="11">
                  <c:v>425</c:v>
                </c:pt>
                <c:pt idx="12">
                  <c:v>420</c:v>
                </c:pt>
                <c:pt idx="13">
                  <c:v>420</c:v>
                </c:pt>
                <c:pt idx="14">
                  <c:v>420</c:v>
                </c:pt>
                <c:pt idx="15">
                  <c:v>420</c:v>
                </c:pt>
                <c:pt idx="16">
                  <c:v>420</c:v>
                </c:pt>
                <c:pt idx="17">
                  <c:v>420</c:v>
                </c:pt>
                <c:pt idx="18">
                  <c:v>420</c:v>
                </c:pt>
                <c:pt idx="19">
                  <c:v>420</c:v>
                </c:pt>
                <c:pt idx="20">
                  <c:v>420</c:v>
                </c:pt>
                <c:pt idx="21">
                  <c:v>420</c:v>
                </c:pt>
                <c:pt idx="22">
                  <c:v>415</c:v>
                </c:pt>
                <c:pt idx="23">
                  <c:v>411.2</c:v>
                </c:pt>
                <c:pt idx="24">
                  <c:v>410</c:v>
                </c:pt>
                <c:pt idx="25">
                  <c:v>410</c:v>
                </c:pt>
                <c:pt idx="26">
                  <c:v>410</c:v>
                </c:pt>
                <c:pt idx="27">
                  <c:v>410</c:v>
                </c:pt>
                <c:pt idx="28">
                  <c:v>415</c:v>
                </c:pt>
                <c:pt idx="29">
                  <c:v>420</c:v>
                </c:pt>
                <c:pt idx="30">
                  <c:v>420</c:v>
                </c:pt>
                <c:pt idx="31">
                  <c:v>420</c:v>
                </c:pt>
                <c:pt idx="32">
                  <c:v>420</c:v>
                </c:pt>
                <c:pt idx="33">
                  <c:v>425</c:v>
                </c:pt>
                <c:pt idx="34">
                  <c:v>430</c:v>
                </c:pt>
                <c:pt idx="35">
                  <c:v>430</c:v>
                </c:pt>
                <c:pt idx="36">
                  <c:v>440</c:v>
                </c:pt>
                <c:pt idx="37">
                  <c:v>440</c:v>
                </c:pt>
                <c:pt idx="38">
                  <c:v>450</c:v>
                </c:pt>
                <c:pt idx="39">
                  <c:v>450</c:v>
                </c:pt>
                <c:pt idx="40">
                  <c:v>450</c:v>
                </c:pt>
                <c:pt idx="41">
                  <c:v>450</c:v>
                </c:pt>
                <c:pt idx="42">
                  <c:v>460</c:v>
                </c:pt>
                <c:pt idx="43">
                  <c:v>460</c:v>
                </c:pt>
                <c:pt idx="44">
                  <c:v>470</c:v>
                </c:pt>
                <c:pt idx="45">
                  <c:v>480</c:v>
                </c:pt>
                <c:pt idx="46">
                  <c:v>480</c:v>
                </c:pt>
                <c:pt idx="47">
                  <c:v>480</c:v>
                </c:pt>
                <c:pt idx="48">
                  <c:v>489</c:v>
                </c:pt>
                <c:pt idx="49">
                  <c:v>490</c:v>
                </c:pt>
                <c:pt idx="50">
                  <c:v>495</c:v>
                </c:pt>
                <c:pt idx="51">
                  <c:v>500</c:v>
                </c:pt>
                <c:pt idx="52">
                  <c:v>500</c:v>
                </c:pt>
                <c:pt idx="53">
                  <c:v>500</c:v>
                </c:pt>
                <c:pt idx="54">
                  <c:v>500</c:v>
                </c:pt>
                <c:pt idx="55">
                  <c:v>500</c:v>
                </c:pt>
                <c:pt idx="56">
                  <c:v>500</c:v>
                </c:pt>
              </c:numCache>
            </c:numRef>
          </c:yVal>
          <c:smooth val="0"/>
          <c:extLst>
            <c:ext xmlns:c16="http://schemas.microsoft.com/office/drawing/2014/chart" uri="{C3380CC4-5D6E-409C-BE32-E72D297353CC}">
              <c16:uniqueId val="{00000006-89AC-4FE9-B842-6D7031F52DC8}"/>
            </c:ext>
          </c:extLst>
        </c:ser>
        <c:ser>
          <c:idx val="0"/>
          <c:order val="7"/>
          <c:tx>
            <c:strRef>
              <c:f>'ABS data median rents'!$B$2</c:f>
              <c:strCache>
                <c:ptCount val="1"/>
                <c:pt idx="0">
                  <c:v>NSW ($)</c:v>
                </c:pt>
              </c:strCache>
            </c:strRef>
          </c:tx>
          <c:spPr>
            <a:ln w="19050" cap="rnd">
              <a:solidFill>
                <a:schemeClr val="accent4">
                  <a:lumMod val="40000"/>
                  <a:lumOff val="60000"/>
                </a:schemeClr>
              </a:solidFill>
              <a:round/>
            </a:ln>
            <a:effectLst/>
          </c:spPr>
          <c:marker>
            <c:symbol val="none"/>
          </c:marker>
          <c:xVal>
            <c:numRef>
              <c:f>'ABS data median rents'!$A$3:$A$59</c:f>
              <c:numCache>
                <c:formatCode>mmm\-yy</c:formatCode>
                <c:ptCount val="57"/>
                <c:pt idx="0">
                  <c:v>43252</c:v>
                </c:pt>
                <c:pt idx="1">
                  <c:v>43282</c:v>
                </c:pt>
                <c:pt idx="2">
                  <c:v>43313</c:v>
                </c:pt>
                <c:pt idx="3">
                  <c:v>43344</c:v>
                </c:pt>
                <c:pt idx="4">
                  <c:v>43374</c:v>
                </c:pt>
                <c:pt idx="5">
                  <c:v>43405</c:v>
                </c:pt>
                <c:pt idx="6">
                  <c:v>43435</c:v>
                </c:pt>
                <c:pt idx="7">
                  <c:v>43466</c:v>
                </c:pt>
                <c:pt idx="8">
                  <c:v>43497</c:v>
                </c:pt>
                <c:pt idx="9">
                  <c:v>43525</c:v>
                </c:pt>
                <c:pt idx="10">
                  <c:v>43556</c:v>
                </c:pt>
                <c:pt idx="11">
                  <c:v>43586</c:v>
                </c:pt>
                <c:pt idx="12">
                  <c:v>43617</c:v>
                </c:pt>
                <c:pt idx="13">
                  <c:v>43647</c:v>
                </c:pt>
                <c:pt idx="14">
                  <c:v>43678</c:v>
                </c:pt>
                <c:pt idx="15">
                  <c:v>43709</c:v>
                </c:pt>
                <c:pt idx="16">
                  <c:v>43739</c:v>
                </c:pt>
                <c:pt idx="17">
                  <c:v>43770</c:v>
                </c:pt>
                <c:pt idx="18">
                  <c:v>43800</c:v>
                </c:pt>
                <c:pt idx="19">
                  <c:v>43831</c:v>
                </c:pt>
                <c:pt idx="20">
                  <c:v>43862</c:v>
                </c:pt>
                <c:pt idx="21">
                  <c:v>43891</c:v>
                </c:pt>
                <c:pt idx="22">
                  <c:v>43922</c:v>
                </c:pt>
                <c:pt idx="23">
                  <c:v>43952</c:v>
                </c:pt>
                <c:pt idx="24">
                  <c:v>43983</c:v>
                </c:pt>
                <c:pt idx="25">
                  <c:v>44013</c:v>
                </c:pt>
                <c:pt idx="26">
                  <c:v>44044</c:v>
                </c:pt>
                <c:pt idx="27">
                  <c:v>44075</c:v>
                </c:pt>
                <c:pt idx="28">
                  <c:v>44105</c:v>
                </c:pt>
                <c:pt idx="29">
                  <c:v>44136</c:v>
                </c:pt>
                <c:pt idx="30">
                  <c:v>44166</c:v>
                </c:pt>
                <c:pt idx="31">
                  <c:v>44197</c:v>
                </c:pt>
                <c:pt idx="32">
                  <c:v>44228</c:v>
                </c:pt>
                <c:pt idx="33">
                  <c:v>44256</c:v>
                </c:pt>
                <c:pt idx="34">
                  <c:v>44287</c:v>
                </c:pt>
                <c:pt idx="35">
                  <c:v>44317</c:v>
                </c:pt>
                <c:pt idx="36">
                  <c:v>44348</c:v>
                </c:pt>
                <c:pt idx="37">
                  <c:v>44378</c:v>
                </c:pt>
                <c:pt idx="38">
                  <c:v>44409</c:v>
                </c:pt>
                <c:pt idx="39">
                  <c:v>44440</c:v>
                </c:pt>
                <c:pt idx="40">
                  <c:v>44470</c:v>
                </c:pt>
                <c:pt idx="41">
                  <c:v>44501</c:v>
                </c:pt>
                <c:pt idx="42">
                  <c:v>44531</c:v>
                </c:pt>
                <c:pt idx="43">
                  <c:v>44562</c:v>
                </c:pt>
                <c:pt idx="44">
                  <c:v>44593</c:v>
                </c:pt>
                <c:pt idx="45">
                  <c:v>44621</c:v>
                </c:pt>
                <c:pt idx="46">
                  <c:v>44652</c:v>
                </c:pt>
                <c:pt idx="47">
                  <c:v>44682</c:v>
                </c:pt>
                <c:pt idx="48">
                  <c:v>44713</c:v>
                </c:pt>
                <c:pt idx="49">
                  <c:v>44743</c:v>
                </c:pt>
                <c:pt idx="50">
                  <c:v>44774</c:v>
                </c:pt>
                <c:pt idx="51">
                  <c:v>44805</c:v>
                </c:pt>
                <c:pt idx="52">
                  <c:v>44835</c:v>
                </c:pt>
                <c:pt idx="53">
                  <c:v>44866</c:v>
                </c:pt>
                <c:pt idx="54">
                  <c:v>44896</c:v>
                </c:pt>
                <c:pt idx="55">
                  <c:v>44927</c:v>
                </c:pt>
                <c:pt idx="56">
                  <c:v>44958</c:v>
                </c:pt>
              </c:numCache>
            </c:numRef>
          </c:xVal>
          <c:yVal>
            <c:numRef>
              <c:f>'ABS data median rents'!$B$3:$B$59</c:f>
              <c:numCache>
                <c:formatCode>General</c:formatCode>
                <c:ptCount val="57"/>
                <c:pt idx="0">
                  <c:v>490</c:v>
                </c:pt>
                <c:pt idx="1">
                  <c:v>490</c:v>
                </c:pt>
                <c:pt idx="2">
                  <c:v>490</c:v>
                </c:pt>
                <c:pt idx="3">
                  <c:v>490</c:v>
                </c:pt>
                <c:pt idx="4">
                  <c:v>480</c:v>
                </c:pt>
                <c:pt idx="5">
                  <c:v>480</c:v>
                </c:pt>
                <c:pt idx="6">
                  <c:v>480</c:v>
                </c:pt>
                <c:pt idx="7">
                  <c:v>485</c:v>
                </c:pt>
                <c:pt idx="8">
                  <c:v>480</c:v>
                </c:pt>
                <c:pt idx="9">
                  <c:v>480</c:v>
                </c:pt>
                <c:pt idx="10">
                  <c:v>480</c:v>
                </c:pt>
                <c:pt idx="11">
                  <c:v>480</c:v>
                </c:pt>
                <c:pt idx="12">
                  <c:v>485</c:v>
                </c:pt>
                <c:pt idx="13">
                  <c:v>480</c:v>
                </c:pt>
                <c:pt idx="14">
                  <c:v>480</c:v>
                </c:pt>
                <c:pt idx="15">
                  <c:v>480</c:v>
                </c:pt>
                <c:pt idx="16">
                  <c:v>480</c:v>
                </c:pt>
                <c:pt idx="17">
                  <c:v>480</c:v>
                </c:pt>
                <c:pt idx="18">
                  <c:v>480</c:v>
                </c:pt>
                <c:pt idx="19">
                  <c:v>480</c:v>
                </c:pt>
                <c:pt idx="20">
                  <c:v>480</c:v>
                </c:pt>
                <c:pt idx="21">
                  <c:v>480</c:v>
                </c:pt>
                <c:pt idx="22">
                  <c:v>470</c:v>
                </c:pt>
                <c:pt idx="23">
                  <c:v>470</c:v>
                </c:pt>
                <c:pt idx="24">
                  <c:v>470</c:v>
                </c:pt>
                <c:pt idx="25">
                  <c:v>470</c:v>
                </c:pt>
                <c:pt idx="26">
                  <c:v>470</c:v>
                </c:pt>
                <c:pt idx="27">
                  <c:v>470</c:v>
                </c:pt>
                <c:pt idx="28">
                  <c:v>470</c:v>
                </c:pt>
                <c:pt idx="29">
                  <c:v>470</c:v>
                </c:pt>
                <c:pt idx="30">
                  <c:v>470</c:v>
                </c:pt>
                <c:pt idx="31">
                  <c:v>470</c:v>
                </c:pt>
                <c:pt idx="32">
                  <c:v>470</c:v>
                </c:pt>
                <c:pt idx="33">
                  <c:v>470</c:v>
                </c:pt>
                <c:pt idx="34">
                  <c:v>470</c:v>
                </c:pt>
                <c:pt idx="35">
                  <c:v>470</c:v>
                </c:pt>
                <c:pt idx="36">
                  <c:v>470</c:v>
                </c:pt>
                <c:pt idx="37">
                  <c:v>475</c:v>
                </c:pt>
                <c:pt idx="38">
                  <c:v>475</c:v>
                </c:pt>
                <c:pt idx="39">
                  <c:v>480</c:v>
                </c:pt>
                <c:pt idx="40">
                  <c:v>480</c:v>
                </c:pt>
                <c:pt idx="41">
                  <c:v>480</c:v>
                </c:pt>
                <c:pt idx="42">
                  <c:v>480</c:v>
                </c:pt>
                <c:pt idx="43">
                  <c:v>480</c:v>
                </c:pt>
                <c:pt idx="44">
                  <c:v>480</c:v>
                </c:pt>
                <c:pt idx="45">
                  <c:v>485</c:v>
                </c:pt>
                <c:pt idx="46">
                  <c:v>490</c:v>
                </c:pt>
                <c:pt idx="47">
                  <c:v>490</c:v>
                </c:pt>
                <c:pt idx="48">
                  <c:v>495</c:v>
                </c:pt>
                <c:pt idx="49">
                  <c:v>500</c:v>
                </c:pt>
                <c:pt idx="50">
                  <c:v>500</c:v>
                </c:pt>
                <c:pt idx="51">
                  <c:v>500</c:v>
                </c:pt>
                <c:pt idx="52">
                  <c:v>510</c:v>
                </c:pt>
                <c:pt idx="53">
                  <c:v>515</c:v>
                </c:pt>
                <c:pt idx="54">
                  <c:v>520</c:v>
                </c:pt>
                <c:pt idx="55">
                  <c:v>520</c:v>
                </c:pt>
                <c:pt idx="56">
                  <c:v>530</c:v>
                </c:pt>
              </c:numCache>
            </c:numRef>
          </c:yVal>
          <c:smooth val="0"/>
          <c:extLst>
            <c:ext xmlns:c16="http://schemas.microsoft.com/office/drawing/2014/chart" uri="{C3380CC4-5D6E-409C-BE32-E72D297353CC}">
              <c16:uniqueId val="{00000007-89AC-4FE9-B842-6D7031F52DC8}"/>
            </c:ext>
          </c:extLst>
        </c:ser>
        <c:dLbls>
          <c:showLegendKey val="0"/>
          <c:showVal val="0"/>
          <c:showCatName val="0"/>
          <c:showSerName val="0"/>
          <c:showPercent val="0"/>
          <c:showBubbleSize val="0"/>
        </c:dLbls>
        <c:axId val="917998080"/>
        <c:axId val="576515344"/>
      </c:scatterChart>
      <c:valAx>
        <c:axId val="917998080"/>
        <c:scaling>
          <c:orientation val="minMax"/>
          <c:max val="45000"/>
          <c:min val="43270"/>
        </c:scaling>
        <c:delete val="0"/>
        <c:axPos val="b"/>
        <c:majorGridlines>
          <c:spPr>
            <a:ln w="9525" cap="flat" cmpd="sng" algn="ctr">
              <a:noFill/>
              <a:round/>
            </a:ln>
            <a:effectLst/>
          </c:spPr>
        </c:majorGridlines>
        <c:numFmt formatCode="mmm\-yy"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6515344"/>
        <c:crosses val="autoZero"/>
        <c:crossBetween val="midCat"/>
        <c:majorUnit val="365"/>
      </c:valAx>
      <c:valAx>
        <c:axId val="576515344"/>
        <c:scaling>
          <c:orientation val="minMax"/>
          <c:min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Median rent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799808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900390678659932"/>
          <c:y val="0.25064504238849983"/>
          <c:w val="0.48894797063580503"/>
          <c:h val="0.57925996441745919"/>
        </c:manualLayout>
      </c:layout>
      <c:barChart>
        <c:barDir val="bar"/>
        <c:grouping val="clustered"/>
        <c:varyColors val="0"/>
        <c:ser>
          <c:idx val="1"/>
          <c:order val="0"/>
          <c:tx>
            <c:strRef>
              <c:f>Sheet1!$I$73</c:f>
              <c:strCache>
                <c:ptCount val="1"/>
                <c:pt idx="0">
                  <c:v>Other Tasmanians (younger)</c:v>
                </c:pt>
              </c:strCache>
            </c:strRef>
          </c:tx>
          <c:spPr>
            <a:solidFill>
              <a:schemeClr val="accent2"/>
            </a:solidFill>
            <a:ln>
              <a:noFill/>
            </a:ln>
            <a:effectLst/>
          </c:spPr>
          <c:invertIfNegative val="0"/>
          <c:cat>
            <c:strRef>
              <c:f>Sheet1!$G$74:$G$76</c:f>
              <c:strCache>
                <c:ptCount val="3"/>
                <c:pt idx="0">
                  <c:v>Unable to be determined</c:v>
                </c:pt>
                <c:pt idx="1">
                  <c:v>Households where rent payments are less than or equal to 30% of household income</c:v>
                </c:pt>
                <c:pt idx="2">
                  <c:v>Households where rent payments are more than 30% of household income</c:v>
                </c:pt>
              </c:strCache>
            </c:strRef>
          </c:cat>
          <c:val>
            <c:numRef>
              <c:f>Sheet1!$I$74:$I$76</c:f>
              <c:numCache>
                <c:formatCode>0%</c:formatCode>
                <c:ptCount val="3"/>
                <c:pt idx="0">
                  <c:v>8.7413772570287374E-2</c:v>
                </c:pt>
                <c:pt idx="1">
                  <c:v>0.64516897369891624</c:v>
                </c:pt>
                <c:pt idx="2">
                  <c:v>0.26737144898725712</c:v>
                </c:pt>
              </c:numCache>
            </c:numRef>
          </c:val>
          <c:extLst>
            <c:ext xmlns:c16="http://schemas.microsoft.com/office/drawing/2014/chart" uri="{C3380CC4-5D6E-409C-BE32-E72D297353CC}">
              <c16:uniqueId val="{00000000-C619-49AD-8CB4-263DC0DD6232}"/>
            </c:ext>
          </c:extLst>
        </c:ser>
        <c:ser>
          <c:idx val="0"/>
          <c:order val="1"/>
          <c:tx>
            <c:strRef>
              <c:f>Sheet1!$H$73</c:f>
              <c:strCache>
                <c:ptCount val="1"/>
                <c:pt idx="0">
                  <c:v>Cohort of interest (older)</c:v>
                </c:pt>
              </c:strCache>
            </c:strRef>
          </c:tx>
          <c:spPr>
            <a:solidFill>
              <a:schemeClr val="accent1"/>
            </a:solidFill>
            <a:ln>
              <a:noFill/>
            </a:ln>
            <a:effectLst/>
          </c:spPr>
          <c:invertIfNegative val="0"/>
          <c:cat>
            <c:strRef>
              <c:f>Sheet1!$G$74:$G$76</c:f>
              <c:strCache>
                <c:ptCount val="3"/>
                <c:pt idx="0">
                  <c:v>Unable to be determined</c:v>
                </c:pt>
                <c:pt idx="1">
                  <c:v>Households where rent payments are less than or equal to 30% of household income</c:v>
                </c:pt>
                <c:pt idx="2">
                  <c:v>Households where rent payments are more than 30% of household income</c:v>
                </c:pt>
              </c:strCache>
            </c:strRef>
          </c:cat>
          <c:val>
            <c:numRef>
              <c:f>Sheet1!$H$74:$H$76</c:f>
              <c:numCache>
                <c:formatCode>0%</c:formatCode>
                <c:ptCount val="3"/>
                <c:pt idx="0">
                  <c:v>0.10669954089440571</c:v>
                </c:pt>
                <c:pt idx="1">
                  <c:v>0.51555857847304876</c:v>
                </c:pt>
                <c:pt idx="2">
                  <c:v>0.3776993708552967</c:v>
                </c:pt>
              </c:numCache>
            </c:numRef>
          </c:val>
          <c:extLst>
            <c:ext xmlns:c16="http://schemas.microsoft.com/office/drawing/2014/chart" uri="{C3380CC4-5D6E-409C-BE32-E72D297353CC}">
              <c16:uniqueId val="{00000001-C619-49AD-8CB4-263DC0DD6232}"/>
            </c:ext>
          </c:extLst>
        </c:ser>
        <c:dLbls>
          <c:showLegendKey val="0"/>
          <c:showVal val="0"/>
          <c:showCatName val="0"/>
          <c:showSerName val="0"/>
          <c:showPercent val="0"/>
          <c:showBubbleSize val="0"/>
        </c:dLbls>
        <c:gapWidth val="182"/>
        <c:axId val="493141344"/>
        <c:axId val="489440432"/>
      </c:barChart>
      <c:catAx>
        <c:axId val="493141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440432"/>
        <c:crosses val="autoZero"/>
        <c:auto val="1"/>
        <c:lblAlgn val="ctr"/>
        <c:lblOffset val="100"/>
        <c:noMultiLvlLbl val="0"/>
      </c:catAx>
      <c:valAx>
        <c:axId val="4894404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141344"/>
        <c:crosses val="autoZero"/>
        <c:crossBetween val="between"/>
      </c:valAx>
      <c:spPr>
        <a:noFill/>
        <a:ln>
          <a:noFill/>
        </a:ln>
        <a:effectLst/>
      </c:spPr>
    </c:plotArea>
    <c:legend>
      <c:legendPos val="t"/>
      <c:layout>
        <c:manualLayout>
          <c:xMode val="edge"/>
          <c:yMode val="edge"/>
          <c:x val="0.19899665368067651"/>
          <c:y val="5.897508550067606E-2"/>
          <c:w val="0.60200669263864692"/>
          <c:h val="0.12440190276620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4589000106429194"/>
          <c:y val="2.2973965603697129E-2"/>
          <c:w val="0.51250246444654202"/>
          <c:h val="0.85141691625896165"/>
        </c:manualLayout>
      </c:layout>
      <c:barChart>
        <c:barDir val="bar"/>
        <c:grouping val="clustered"/>
        <c:varyColors val="0"/>
        <c:ser>
          <c:idx val="0"/>
          <c:order val="0"/>
          <c:tx>
            <c:v>2016</c:v>
          </c:tx>
          <c:spPr>
            <a:solidFill>
              <a:schemeClr val="accent1"/>
            </a:solidFill>
            <a:ln>
              <a:noFill/>
            </a:ln>
            <a:effectLst/>
          </c:spPr>
          <c:invertIfNegative val="0"/>
          <c:cat>
            <c:strRef>
              <c:f>'Reasons for moving renters'!$A$3:$A$26</c:f>
              <c:strCache>
                <c:ptCount val="24"/>
                <c:pt idx="0">
                  <c:v>To be closer to amenities/services/public transport</c:v>
                </c:pt>
                <c:pt idx="1">
                  <c:v>To start own business</c:v>
                </c:pt>
                <c:pt idx="2">
                  <c:v>To look for work</c:v>
                </c:pt>
                <c:pt idx="3">
                  <c:v>Personal/family reasons (NFI)</c:v>
                </c:pt>
                <c:pt idx="4">
                  <c:v>To start job with new employer</c:v>
                </c:pt>
                <c:pt idx="5">
                  <c:v>To get married/move in with partner</c:v>
                </c:pt>
                <c:pt idx="6">
                  <c:v>Work transfer</c:v>
                </c:pt>
                <c:pt idx="7">
                  <c:v>Travelling/returned from overseas</c:v>
                </c:pt>
                <c:pt idx="8">
                  <c:v>To follow a spouse or parent/whole family</c:v>
                </c:pt>
                <c:pt idx="9">
                  <c:v>Decided to relocate own business</c:v>
                </c:pt>
                <c:pt idx="10">
                  <c:v>Evicted</c:v>
                </c:pt>
                <c:pt idx="11">
                  <c:v>Housing/neighbourhood reason (NFI)</c:v>
                </c:pt>
                <c:pt idx="12">
                  <c:v>Other/NEI</c:v>
                </c:pt>
                <c:pt idx="13">
                  <c:v>To get a place of my/our own</c:v>
                </c:pt>
                <c:pt idx="14">
                  <c:v>To live in a better neighbourhood</c:v>
                </c:pt>
                <c:pt idx="15">
                  <c:v>To be nearer place of work</c:v>
                </c:pt>
                <c:pt idx="16">
                  <c:v>To get a smaller/less expensive place</c:v>
                </c:pt>
                <c:pt idx="17">
                  <c:v>Marital/relationship breakdown</c:v>
                </c:pt>
                <c:pt idx="18">
                  <c:v>Temporary relocation</c:v>
                </c:pt>
                <c:pt idx="19">
                  <c:v>To be closer to family &amp;/or friends</c:v>
                </c:pt>
                <c:pt idx="20">
                  <c:v>Health reasons</c:v>
                </c:pt>
                <c:pt idx="21">
                  <c:v>Seeking change of lifestyle</c:v>
                </c:pt>
                <c:pt idx="22">
                  <c:v>To get a larger/better place</c:v>
                </c:pt>
                <c:pt idx="23">
                  <c:v>Property no longer available</c:v>
                </c:pt>
              </c:strCache>
            </c:strRef>
          </c:cat>
          <c:val>
            <c:numRef>
              <c:f>'Reasons for moving renters'!$B$3:$B$26</c:f>
              <c:numCache>
                <c:formatCode>0%</c:formatCode>
                <c:ptCount val="24"/>
                <c:pt idx="0">
                  <c:v>1.1627906976744186E-2</c:v>
                </c:pt>
                <c:pt idx="1">
                  <c:v>0</c:v>
                </c:pt>
                <c:pt idx="2">
                  <c:v>0</c:v>
                </c:pt>
                <c:pt idx="3">
                  <c:v>0</c:v>
                </c:pt>
                <c:pt idx="4">
                  <c:v>2.3255813953488372E-2</c:v>
                </c:pt>
                <c:pt idx="5">
                  <c:v>1.7441860465116279E-2</c:v>
                </c:pt>
                <c:pt idx="6">
                  <c:v>5.8139534883720929E-3</c:v>
                </c:pt>
                <c:pt idx="7">
                  <c:v>0</c:v>
                </c:pt>
                <c:pt idx="8">
                  <c:v>1.1627906976744186E-2</c:v>
                </c:pt>
                <c:pt idx="9">
                  <c:v>0</c:v>
                </c:pt>
                <c:pt idx="10">
                  <c:v>0</c:v>
                </c:pt>
                <c:pt idx="11">
                  <c:v>6.3953488372093026E-2</c:v>
                </c:pt>
                <c:pt idx="12">
                  <c:v>1.1627906976744186E-2</c:v>
                </c:pt>
                <c:pt idx="13">
                  <c:v>6.3953488372093026E-2</c:v>
                </c:pt>
                <c:pt idx="14">
                  <c:v>4.0697674418604654E-2</c:v>
                </c:pt>
                <c:pt idx="15">
                  <c:v>2.3255813953488372E-2</c:v>
                </c:pt>
                <c:pt idx="16">
                  <c:v>0.11627906976744186</c:v>
                </c:pt>
                <c:pt idx="17">
                  <c:v>7.5581395348837205E-2</c:v>
                </c:pt>
                <c:pt idx="18">
                  <c:v>6.9767441860465115E-2</c:v>
                </c:pt>
                <c:pt idx="19">
                  <c:v>0.11627906976744186</c:v>
                </c:pt>
                <c:pt idx="20">
                  <c:v>0.15116279069767441</c:v>
                </c:pt>
                <c:pt idx="21">
                  <c:v>5.232558139534884E-2</c:v>
                </c:pt>
                <c:pt idx="22">
                  <c:v>0.13372093023255813</c:v>
                </c:pt>
                <c:pt idx="23">
                  <c:v>0.18023255813953487</c:v>
                </c:pt>
              </c:numCache>
            </c:numRef>
          </c:val>
          <c:extLst>
            <c:ext xmlns:c16="http://schemas.microsoft.com/office/drawing/2014/chart" uri="{C3380CC4-5D6E-409C-BE32-E72D297353CC}">
              <c16:uniqueId val="{00000000-5BD5-47B6-B13E-0504083279FA}"/>
            </c:ext>
          </c:extLst>
        </c:ser>
        <c:ser>
          <c:idx val="1"/>
          <c:order val="1"/>
          <c:tx>
            <c:v>2021</c:v>
          </c:tx>
          <c:spPr>
            <a:solidFill>
              <a:schemeClr val="accent2"/>
            </a:solidFill>
            <a:ln>
              <a:noFill/>
            </a:ln>
            <a:effectLst/>
          </c:spPr>
          <c:invertIfNegative val="0"/>
          <c:cat>
            <c:strRef>
              <c:f>'Reasons for moving renters'!$A$3:$A$26</c:f>
              <c:strCache>
                <c:ptCount val="24"/>
                <c:pt idx="0">
                  <c:v>To be closer to amenities/services/public transport</c:v>
                </c:pt>
                <c:pt idx="1">
                  <c:v>To start own business</c:v>
                </c:pt>
                <c:pt idx="2">
                  <c:v>To look for work</c:v>
                </c:pt>
                <c:pt idx="3">
                  <c:v>Personal/family reasons (NFI)</c:v>
                </c:pt>
                <c:pt idx="4">
                  <c:v>To start job with new employer</c:v>
                </c:pt>
                <c:pt idx="5">
                  <c:v>To get married/move in with partner</c:v>
                </c:pt>
                <c:pt idx="6">
                  <c:v>Work transfer</c:v>
                </c:pt>
                <c:pt idx="7">
                  <c:v>Travelling/returned from overseas</c:v>
                </c:pt>
                <c:pt idx="8">
                  <c:v>To follow a spouse or parent/whole family</c:v>
                </c:pt>
                <c:pt idx="9">
                  <c:v>Decided to relocate own business</c:v>
                </c:pt>
                <c:pt idx="10">
                  <c:v>Evicted</c:v>
                </c:pt>
                <c:pt idx="11">
                  <c:v>Housing/neighbourhood reason (NFI)</c:v>
                </c:pt>
                <c:pt idx="12">
                  <c:v>Other/NEI</c:v>
                </c:pt>
                <c:pt idx="13">
                  <c:v>To get a place of my/our own</c:v>
                </c:pt>
                <c:pt idx="14">
                  <c:v>To live in a better neighbourhood</c:v>
                </c:pt>
                <c:pt idx="15">
                  <c:v>To be nearer place of work</c:v>
                </c:pt>
                <c:pt idx="16">
                  <c:v>To get a smaller/less expensive place</c:v>
                </c:pt>
                <c:pt idx="17">
                  <c:v>Marital/relationship breakdown</c:v>
                </c:pt>
                <c:pt idx="18">
                  <c:v>Temporary relocation</c:v>
                </c:pt>
                <c:pt idx="19">
                  <c:v>To be closer to family &amp;/or friends</c:v>
                </c:pt>
                <c:pt idx="20">
                  <c:v>Health reasons</c:v>
                </c:pt>
                <c:pt idx="21">
                  <c:v>Seeking change of lifestyle</c:v>
                </c:pt>
                <c:pt idx="22">
                  <c:v>To get a larger/better place</c:v>
                </c:pt>
                <c:pt idx="23">
                  <c:v>Property no longer available</c:v>
                </c:pt>
              </c:strCache>
            </c:strRef>
          </c:cat>
          <c:val>
            <c:numRef>
              <c:f>'Reasons for moving renters'!$C$3:$C$26</c:f>
              <c:numCache>
                <c:formatCode>0%</c:formatCode>
                <c:ptCount val="24"/>
                <c:pt idx="0">
                  <c:v>0</c:v>
                </c:pt>
                <c:pt idx="1">
                  <c:v>0</c:v>
                </c:pt>
                <c:pt idx="2">
                  <c:v>0</c:v>
                </c:pt>
                <c:pt idx="3">
                  <c:v>0</c:v>
                </c:pt>
                <c:pt idx="4">
                  <c:v>8.130081300813009E-3</c:v>
                </c:pt>
                <c:pt idx="5">
                  <c:v>8.130081300813009E-3</c:v>
                </c:pt>
                <c:pt idx="6">
                  <c:v>8.130081300813009E-3</c:v>
                </c:pt>
                <c:pt idx="7">
                  <c:v>8.130081300813009E-3</c:v>
                </c:pt>
                <c:pt idx="8">
                  <c:v>1.6260162601626018E-2</c:v>
                </c:pt>
                <c:pt idx="9">
                  <c:v>1.6260162601626018E-2</c:v>
                </c:pt>
                <c:pt idx="10">
                  <c:v>2.4390243902439025E-2</c:v>
                </c:pt>
                <c:pt idx="11">
                  <c:v>3.2520325203252036E-2</c:v>
                </c:pt>
                <c:pt idx="12">
                  <c:v>4.065040650406504E-2</c:v>
                </c:pt>
                <c:pt idx="13">
                  <c:v>4.065040650406504E-2</c:v>
                </c:pt>
                <c:pt idx="14">
                  <c:v>4.065040650406504E-2</c:v>
                </c:pt>
                <c:pt idx="15">
                  <c:v>4.065040650406504E-2</c:v>
                </c:pt>
                <c:pt idx="16">
                  <c:v>7.3170731707317069E-2</c:v>
                </c:pt>
                <c:pt idx="17">
                  <c:v>7.3170731707317069E-2</c:v>
                </c:pt>
                <c:pt idx="18">
                  <c:v>7.3170731707317069E-2</c:v>
                </c:pt>
                <c:pt idx="19">
                  <c:v>8.943089430894309E-2</c:v>
                </c:pt>
                <c:pt idx="20">
                  <c:v>0.10569105691056911</c:v>
                </c:pt>
                <c:pt idx="21">
                  <c:v>0.10569105691056911</c:v>
                </c:pt>
                <c:pt idx="22">
                  <c:v>0.12195121951219512</c:v>
                </c:pt>
                <c:pt idx="23">
                  <c:v>0.31707317073170732</c:v>
                </c:pt>
              </c:numCache>
            </c:numRef>
          </c:val>
          <c:extLst>
            <c:ext xmlns:c16="http://schemas.microsoft.com/office/drawing/2014/chart" uri="{C3380CC4-5D6E-409C-BE32-E72D297353CC}">
              <c16:uniqueId val="{00000001-5BD5-47B6-B13E-0504083279FA}"/>
            </c:ext>
          </c:extLst>
        </c:ser>
        <c:dLbls>
          <c:showLegendKey val="0"/>
          <c:showVal val="0"/>
          <c:showCatName val="0"/>
          <c:showSerName val="0"/>
          <c:showPercent val="0"/>
          <c:showBubbleSize val="0"/>
        </c:dLbls>
        <c:gapWidth val="182"/>
        <c:axId val="729152192"/>
        <c:axId val="922200432"/>
      </c:barChart>
      <c:catAx>
        <c:axId val="729152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2200432"/>
        <c:crosses val="autoZero"/>
        <c:auto val="1"/>
        <c:lblAlgn val="ctr"/>
        <c:lblOffset val="100"/>
        <c:noMultiLvlLbl val="0"/>
      </c:catAx>
      <c:valAx>
        <c:axId val="9222004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9152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v>2016</c:v>
          </c:tx>
          <c:spPr>
            <a:solidFill>
              <a:schemeClr val="accent1"/>
            </a:solidFill>
            <a:ln>
              <a:noFill/>
            </a:ln>
            <a:effectLst/>
          </c:spPr>
          <c:invertIfNegative val="0"/>
          <c:cat>
            <c:strRef>
              <c:f>'Reasons for moving owners'!$A$3:$A$24</c:f>
              <c:strCache>
                <c:ptCount val="22"/>
                <c:pt idx="0">
                  <c:v>Work transfer</c:v>
                </c:pt>
                <c:pt idx="1">
                  <c:v>Evicted</c:v>
                </c:pt>
                <c:pt idx="2">
                  <c:v>Personal/family reasons (NFI)</c:v>
                </c:pt>
                <c:pt idx="3">
                  <c:v>Work reasons</c:v>
                </c:pt>
                <c:pt idx="4">
                  <c:v>Relocate/start own business</c:v>
                </c:pt>
                <c:pt idx="5">
                  <c:v>Travelling/returned from overseas</c:v>
                </c:pt>
                <c:pt idx="6">
                  <c:v>To be nearer place of work</c:v>
                </c:pt>
                <c:pt idx="7">
                  <c:v>Housing/neighbourhood reason (NFI)</c:v>
                </c:pt>
                <c:pt idx="8">
                  <c:v>Property no longer available</c:v>
                </c:pt>
                <c:pt idx="9">
                  <c:v>To follow a spouse or parent/whole family</c:v>
                </c:pt>
                <c:pt idx="10">
                  <c:v>To be closer to amenities/services/public transport</c:v>
                </c:pt>
                <c:pt idx="11">
                  <c:v>To get married/move in with partner</c:v>
                </c:pt>
                <c:pt idx="12">
                  <c:v>Temporary relocation</c:v>
                </c:pt>
                <c:pt idx="13">
                  <c:v>Marital/relationship breakdown</c:v>
                </c:pt>
                <c:pt idx="14">
                  <c:v>To live in a better neighbourhood</c:v>
                </c:pt>
                <c:pt idx="15">
                  <c:v>Other/NEI</c:v>
                </c:pt>
                <c:pt idx="16">
                  <c:v>To get a place of my/our own</c:v>
                </c:pt>
                <c:pt idx="17">
                  <c:v>Health reasons</c:v>
                </c:pt>
                <c:pt idx="18">
                  <c:v>To get a larger/better place</c:v>
                </c:pt>
                <c:pt idx="19">
                  <c:v>To be closer to family &amp;/or friends</c:v>
                </c:pt>
                <c:pt idx="20">
                  <c:v>To get a smaller/less expensive place</c:v>
                </c:pt>
                <c:pt idx="21">
                  <c:v>Seeking change of lifestyle</c:v>
                </c:pt>
              </c:strCache>
            </c:strRef>
          </c:cat>
          <c:val>
            <c:numRef>
              <c:f>'Reasons for moving owners'!$B$3:$B$24</c:f>
              <c:numCache>
                <c:formatCode>0%</c:formatCode>
                <c:ptCount val="22"/>
                <c:pt idx="0">
                  <c:v>1.0471204188481676E-2</c:v>
                </c:pt>
                <c:pt idx="1">
                  <c:v>5.235602094240838E-3</c:v>
                </c:pt>
                <c:pt idx="2">
                  <c:v>1.5706806282722512E-2</c:v>
                </c:pt>
                <c:pt idx="3">
                  <c:v>1.5706806282722512E-2</c:v>
                </c:pt>
                <c:pt idx="4">
                  <c:v>1.5706806282722512E-2</c:v>
                </c:pt>
                <c:pt idx="5">
                  <c:v>1.5706806282722512E-2</c:v>
                </c:pt>
                <c:pt idx="6">
                  <c:v>1.0471204188481676E-2</c:v>
                </c:pt>
                <c:pt idx="7">
                  <c:v>2.0942408376963352E-2</c:v>
                </c:pt>
                <c:pt idx="8">
                  <c:v>2.0942408376963352E-2</c:v>
                </c:pt>
                <c:pt idx="9">
                  <c:v>1.5706806282722512E-2</c:v>
                </c:pt>
                <c:pt idx="10">
                  <c:v>2.6178010471204188E-2</c:v>
                </c:pt>
                <c:pt idx="11">
                  <c:v>3.1413612565445025E-2</c:v>
                </c:pt>
                <c:pt idx="12">
                  <c:v>4.712041884816754E-2</c:v>
                </c:pt>
                <c:pt idx="13">
                  <c:v>2.6178010471204188E-2</c:v>
                </c:pt>
                <c:pt idx="14">
                  <c:v>8.3769633507853408E-2</c:v>
                </c:pt>
                <c:pt idx="15">
                  <c:v>4.1884816753926704E-2</c:v>
                </c:pt>
                <c:pt idx="16">
                  <c:v>0.11518324607329843</c:v>
                </c:pt>
                <c:pt idx="17">
                  <c:v>5.2356020942408377E-2</c:v>
                </c:pt>
                <c:pt idx="18">
                  <c:v>0.17801047120418848</c:v>
                </c:pt>
                <c:pt idx="19">
                  <c:v>0.11518324607329843</c:v>
                </c:pt>
                <c:pt idx="20">
                  <c:v>0.2356020942408377</c:v>
                </c:pt>
                <c:pt idx="21">
                  <c:v>0.21989528795811519</c:v>
                </c:pt>
              </c:numCache>
            </c:numRef>
          </c:val>
          <c:extLst>
            <c:ext xmlns:c16="http://schemas.microsoft.com/office/drawing/2014/chart" uri="{C3380CC4-5D6E-409C-BE32-E72D297353CC}">
              <c16:uniqueId val="{00000000-B26D-47FC-8441-1539EF7F839C}"/>
            </c:ext>
          </c:extLst>
        </c:ser>
        <c:ser>
          <c:idx val="1"/>
          <c:order val="1"/>
          <c:tx>
            <c:v>2021</c:v>
          </c:tx>
          <c:spPr>
            <a:solidFill>
              <a:schemeClr val="accent2"/>
            </a:solidFill>
            <a:ln>
              <a:noFill/>
            </a:ln>
            <a:effectLst/>
          </c:spPr>
          <c:invertIfNegative val="0"/>
          <c:cat>
            <c:strRef>
              <c:f>'Reasons for moving owners'!$A$3:$A$24</c:f>
              <c:strCache>
                <c:ptCount val="22"/>
                <c:pt idx="0">
                  <c:v>Work transfer</c:v>
                </c:pt>
                <c:pt idx="1">
                  <c:v>Evicted</c:v>
                </c:pt>
                <c:pt idx="2">
                  <c:v>Personal/family reasons (NFI)</c:v>
                </c:pt>
                <c:pt idx="3">
                  <c:v>Work reasons</c:v>
                </c:pt>
                <c:pt idx="4">
                  <c:v>Relocate/start own business</c:v>
                </c:pt>
                <c:pt idx="5">
                  <c:v>Travelling/returned from overseas</c:v>
                </c:pt>
                <c:pt idx="6">
                  <c:v>To be nearer place of work</c:v>
                </c:pt>
                <c:pt idx="7">
                  <c:v>Housing/neighbourhood reason (NFI)</c:v>
                </c:pt>
                <c:pt idx="8">
                  <c:v>Property no longer available</c:v>
                </c:pt>
                <c:pt idx="9">
                  <c:v>To follow a spouse or parent/whole family</c:v>
                </c:pt>
                <c:pt idx="10">
                  <c:v>To be closer to amenities/services/public transport</c:v>
                </c:pt>
                <c:pt idx="11">
                  <c:v>To get married/move in with partner</c:v>
                </c:pt>
                <c:pt idx="12">
                  <c:v>Temporary relocation</c:v>
                </c:pt>
                <c:pt idx="13">
                  <c:v>Marital/relationship breakdown</c:v>
                </c:pt>
                <c:pt idx="14">
                  <c:v>To live in a better neighbourhood</c:v>
                </c:pt>
                <c:pt idx="15">
                  <c:v>Other/NEI</c:v>
                </c:pt>
                <c:pt idx="16">
                  <c:v>To get a place of my/our own</c:v>
                </c:pt>
                <c:pt idx="17">
                  <c:v>Health reasons</c:v>
                </c:pt>
                <c:pt idx="18">
                  <c:v>To get a larger/better place</c:v>
                </c:pt>
                <c:pt idx="19">
                  <c:v>To be closer to family &amp;/or friends</c:v>
                </c:pt>
                <c:pt idx="20">
                  <c:v>To get a smaller/less expensive place</c:v>
                </c:pt>
                <c:pt idx="21">
                  <c:v>Seeking change of lifestyle</c:v>
                </c:pt>
              </c:strCache>
            </c:strRef>
          </c:cat>
          <c:val>
            <c:numRef>
              <c:f>'Reasons for moving owners'!$C$3:$C$24</c:f>
              <c:numCache>
                <c:formatCode>0%</c:formatCode>
                <c:ptCount val="22"/>
                <c:pt idx="0">
                  <c:v>0</c:v>
                </c:pt>
                <c:pt idx="1">
                  <c:v>0</c:v>
                </c:pt>
                <c:pt idx="2">
                  <c:v>0</c:v>
                </c:pt>
                <c:pt idx="3">
                  <c:v>5.0251256281407036E-3</c:v>
                </c:pt>
                <c:pt idx="4">
                  <c:v>5.0251256281407036E-3</c:v>
                </c:pt>
                <c:pt idx="5">
                  <c:v>5.0251256281407036E-3</c:v>
                </c:pt>
                <c:pt idx="6">
                  <c:v>1.0050251256281407E-2</c:v>
                </c:pt>
                <c:pt idx="7">
                  <c:v>1.0050251256281407E-2</c:v>
                </c:pt>
                <c:pt idx="8">
                  <c:v>1.507537688442211E-2</c:v>
                </c:pt>
                <c:pt idx="9">
                  <c:v>1.507537688442211E-2</c:v>
                </c:pt>
                <c:pt idx="10">
                  <c:v>1.507537688442211E-2</c:v>
                </c:pt>
                <c:pt idx="11">
                  <c:v>2.5125628140703519E-2</c:v>
                </c:pt>
                <c:pt idx="12">
                  <c:v>3.015075376884422E-2</c:v>
                </c:pt>
                <c:pt idx="13">
                  <c:v>3.5175879396984924E-2</c:v>
                </c:pt>
                <c:pt idx="14">
                  <c:v>5.5276381909547742E-2</c:v>
                </c:pt>
                <c:pt idx="15">
                  <c:v>8.0402010050251244E-2</c:v>
                </c:pt>
                <c:pt idx="16">
                  <c:v>0.10050251256281408</c:v>
                </c:pt>
                <c:pt idx="17">
                  <c:v>0.10050251256281408</c:v>
                </c:pt>
                <c:pt idx="18">
                  <c:v>0.11557788944723618</c:v>
                </c:pt>
                <c:pt idx="19">
                  <c:v>0.17587939698492464</c:v>
                </c:pt>
                <c:pt idx="20">
                  <c:v>0.25125628140703515</c:v>
                </c:pt>
                <c:pt idx="21">
                  <c:v>0.29145728643216079</c:v>
                </c:pt>
              </c:numCache>
            </c:numRef>
          </c:val>
          <c:extLst>
            <c:ext xmlns:c16="http://schemas.microsoft.com/office/drawing/2014/chart" uri="{C3380CC4-5D6E-409C-BE32-E72D297353CC}">
              <c16:uniqueId val="{00000001-B26D-47FC-8441-1539EF7F839C}"/>
            </c:ext>
          </c:extLst>
        </c:ser>
        <c:dLbls>
          <c:showLegendKey val="0"/>
          <c:showVal val="0"/>
          <c:showCatName val="0"/>
          <c:showSerName val="0"/>
          <c:showPercent val="0"/>
          <c:showBubbleSize val="0"/>
        </c:dLbls>
        <c:gapWidth val="182"/>
        <c:axId val="1526187984"/>
        <c:axId val="1236201264"/>
      </c:barChart>
      <c:catAx>
        <c:axId val="1526187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6201264"/>
        <c:crosses val="autoZero"/>
        <c:auto val="1"/>
        <c:lblAlgn val="ctr"/>
        <c:lblOffset val="100"/>
        <c:noMultiLvlLbl val="0"/>
      </c:catAx>
      <c:valAx>
        <c:axId val="12362012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6187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6449365001544"/>
          <c:y val="4.2105263157894736E-2"/>
          <c:w val="0.58102978098267288"/>
          <c:h val="0.78792992502731418"/>
        </c:manualLayout>
      </c:layout>
      <c:barChart>
        <c:barDir val="col"/>
        <c:grouping val="percentStacked"/>
        <c:varyColors val="0"/>
        <c:ser>
          <c:idx val="4"/>
          <c:order val="0"/>
          <c:tx>
            <c:strRef>
              <c:f>Sheet5!$A$29</c:f>
              <c:strCache>
                <c:ptCount val="1"/>
                <c:pt idx="0">
                  <c:v>None of the time</c:v>
                </c:pt>
              </c:strCache>
            </c:strRef>
          </c:tx>
          <c:spPr>
            <a:solidFill>
              <a:schemeClr val="accent5"/>
            </a:solidFill>
            <a:ln>
              <a:noFill/>
            </a:ln>
            <a:effectLst/>
          </c:spPr>
          <c:invertIfNegative val="0"/>
          <c:cat>
            <c:strRef>
              <c:f>Sheet5!$B$24:$E$24</c:f>
              <c:strCache>
                <c:ptCount val="4"/>
                <c:pt idx="0">
                  <c:v>Owner</c:v>
                </c:pt>
                <c:pt idx="1">
                  <c:v>Buyer</c:v>
                </c:pt>
                <c:pt idx="2">
                  <c:v>Renter</c:v>
                </c:pt>
                <c:pt idx="3">
                  <c:v>Rent free</c:v>
                </c:pt>
              </c:strCache>
            </c:strRef>
          </c:cat>
          <c:val>
            <c:numRef>
              <c:f>Sheet5!$B$29:$E$29</c:f>
              <c:numCache>
                <c:formatCode>0</c:formatCode>
                <c:ptCount val="4"/>
                <c:pt idx="0" formatCode="#,##0">
                  <c:v>2004</c:v>
                </c:pt>
                <c:pt idx="1">
                  <c:v>581</c:v>
                </c:pt>
                <c:pt idx="2">
                  <c:v>299</c:v>
                </c:pt>
                <c:pt idx="3">
                  <c:v>76</c:v>
                </c:pt>
              </c:numCache>
            </c:numRef>
          </c:val>
          <c:extLst>
            <c:ext xmlns:c16="http://schemas.microsoft.com/office/drawing/2014/chart" uri="{C3380CC4-5D6E-409C-BE32-E72D297353CC}">
              <c16:uniqueId val="{00000000-0602-4132-AFB7-987DB7690900}"/>
            </c:ext>
          </c:extLst>
        </c:ser>
        <c:ser>
          <c:idx val="3"/>
          <c:order val="1"/>
          <c:tx>
            <c:strRef>
              <c:f>Sheet5!$A$28</c:f>
              <c:strCache>
                <c:ptCount val="1"/>
                <c:pt idx="0">
                  <c:v>A little of the time</c:v>
                </c:pt>
              </c:strCache>
            </c:strRef>
          </c:tx>
          <c:spPr>
            <a:solidFill>
              <a:schemeClr val="accent4"/>
            </a:solidFill>
            <a:ln>
              <a:noFill/>
            </a:ln>
            <a:effectLst/>
          </c:spPr>
          <c:invertIfNegative val="0"/>
          <c:cat>
            <c:strRef>
              <c:f>Sheet5!$B$24:$E$24</c:f>
              <c:strCache>
                <c:ptCount val="4"/>
                <c:pt idx="0">
                  <c:v>Owner</c:v>
                </c:pt>
                <c:pt idx="1">
                  <c:v>Buyer</c:v>
                </c:pt>
                <c:pt idx="2">
                  <c:v>Renter</c:v>
                </c:pt>
                <c:pt idx="3">
                  <c:v>Rent free</c:v>
                </c:pt>
              </c:strCache>
            </c:strRef>
          </c:cat>
          <c:val>
            <c:numRef>
              <c:f>Sheet5!$B$28:$E$28</c:f>
              <c:numCache>
                <c:formatCode>0</c:formatCode>
                <c:ptCount val="4"/>
                <c:pt idx="0" formatCode="#,##0">
                  <c:v>623</c:v>
                </c:pt>
                <c:pt idx="1">
                  <c:v>188</c:v>
                </c:pt>
                <c:pt idx="2">
                  <c:v>162</c:v>
                </c:pt>
                <c:pt idx="3">
                  <c:v>27</c:v>
                </c:pt>
              </c:numCache>
            </c:numRef>
          </c:val>
          <c:extLst>
            <c:ext xmlns:c16="http://schemas.microsoft.com/office/drawing/2014/chart" uri="{C3380CC4-5D6E-409C-BE32-E72D297353CC}">
              <c16:uniqueId val="{00000001-0602-4132-AFB7-987DB7690900}"/>
            </c:ext>
          </c:extLst>
        </c:ser>
        <c:ser>
          <c:idx val="2"/>
          <c:order val="2"/>
          <c:tx>
            <c:strRef>
              <c:f>Sheet5!$A$27</c:f>
              <c:strCache>
                <c:ptCount val="1"/>
                <c:pt idx="0">
                  <c:v>Some of the time</c:v>
                </c:pt>
              </c:strCache>
            </c:strRef>
          </c:tx>
          <c:spPr>
            <a:solidFill>
              <a:schemeClr val="accent3"/>
            </a:solidFill>
            <a:ln>
              <a:noFill/>
            </a:ln>
            <a:effectLst/>
          </c:spPr>
          <c:invertIfNegative val="0"/>
          <c:cat>
            <c:strRef>
              <c:f>Sheet5!$B$24:$E$24</c:f>
              <c:strCache>
                <c:ptCount val="4"/>
                <c:pt idx="0">
                  <c:v>Owner</c:v>
                </c:pt>
                <c:pt idx="1">
                  <c:v>Buyer</c:v>
                </c:pt>
                <c:pt idx="2">
                  <c:v>Renter</c:v>
                </c:pt>
                <c:pt idx="3">
                  <c:v>Rent free</c:v>
                </c:pt>
              </c:strCache>
            </c:strRef>
          </c:cat>
          <c:val>
            <c:numRef>
              <c:f>Sheet5!$B$27:$E$27</c:f>
              <c:numCache>
                <c:formatCode>0</c:formatCode>
                <c:ptCount val="4"/>
                <c:pt idx="0" formatCode="General">
                  <c:v>545</c:v>
                </c:pt>
                <c:pt idx="1">
                  <c:v>180</c:v>
                </c:pt>
                <c:pt idx="2">
                  <c:v>203</c:v>
                </c:pt>
                <c:pt idx="3">
                  <c:v>38</c:v>
                </c:pt>
              </c:numCache>
            </c:numRef>
          </c:val>
          <c:extLst>
            <c:ext xmlns:c16="http://schemas.microsoft.com/office/drawing/2014/chart" uri="{C3380CC4-5D6E-409C-BE32-E72D297353CC}">
              <c16:uniqueId val="{00000002-0602-4132-AFB7-987DB7690900}"/>
            </c:ext>
          </c:extLst>
        </c:ser>
        <c:ser>
          <c:idx val="1"/>
          <c:order val="3"/>
          <c:tx>
            <c:strRef>
              <c:f>Sheet5!$A$26</c:f>
              <c:strCache>
                <c:ptCount val="1"/>
                <c:pt idx="0">
                  <c:v>Most of the time</c:v>
                </c:pt>
              </c:strCache>
            </c:strRef>
          </c:tx>
          <c:spPr>
            <a:solidFill>
              <a:schemeClr val="accent2"/>
            </a:solidFill>
            <a:ln>
              <a:noFill/>
            </a:ln>
            <a:effectLst/>
          </c:spPr>
          <c:invertIfNegative val="0"/>
          <c:cat>
            <c:strRef>
              <c:f>Sheet5!$B$24:$E$24</c:f>
              <c:strCache>
                <c:ptCount val="4"/>
                <c:pt idx="0">
                  <c:v>Owner</c:v>
                </c:pt>
                <c:pt idx="1">
                  <c:v>Buyer</c:v>
                </c:pt>
                <c:pt idx="2">
                  <c:v>Renter</c:v>
                </c:pt>
                <c:pt idx="3">
                  <c:v>Rent free</c:v>
                </c:pt>
              </c:strCache>
            </c:strRef>
          </c:cat>
          <c:val>
            <c:numRef>
              <c:f>Sheet5!$B$26:$E$26</c:f>
              <c:numCache>
                <c:formatCode>0</c:formatCode>
                <c:ptCount val="4"/>
                <c:pt idx="0" formatCode="General">
                  <c:v>210</c:v>
                </c:pt>
                <c:pt idx="1">
                  <c:v>59</c:v>
                </c:pt>
                <c:pt idx="2">
                  <c:v>126</c:v>
                </c:pt>
                <c:pt idx="3">
                  <c:v>10</c:v>
                </c:pt>
              </c:numCache>
            </c:numRef>
          </c:val>
          <c:extLst>
            <c:ext xmlns:c16="http://schemas.microsoft.com/office/drawing/2014/chart" uri="{C3380CC4-5D6E-409C-BE32-E72D297353CC}">
              <c16:uniqueId val="{00000003-0602-4132-AFB7-987DB7690900}"/>
            </c:ext>
          </c:extLst>
        </c:ser>
        <c:ser>
          <c:idx val="0"/>
          <c:order val="4"/>
          <c:tx>
            <c:strRef>
              <c:f>Sheet5!$A$25</c:f>
              <c:strCache>
                <c:ptCount val="1"/>
                <c:pt idx="0">
                  <c:v>All ot the time</c:v>
                </c:pt>
              </c:strCache>
            </c:strRef>
          </c:tx>
          <c:spPr>
            <a:solidFill>
              <a:schemeClr val="accent1"/>
            </a:solidFill>
            <a:ln>
              <a:noFill/>
            </a:ln>
            <a:effectLst/>
          </c:spPr>
          <c:invertIfNegative val="0"/>
          <c:cat>
            <c:strRef>
              <c:f>Sheet5!$B$24:$E$24</c:f>
              <c:strCache>
                <c:ptCount val="4"/>
                <c:pt idx="0">
                  <c:v>Owner</c:v>
                </c:pt>
                <c:pt idx="1">
                  <c:v>Buyer</c:v>
                </c:pt>
                <c:pt idx="2">
                  <c:v>Renter</c:v>
                </c:pt>
                <c:pt idx="3">
                  <c:v>Rent free</c:v>
                </c:pt>
              </c:strCache>
            </c:strRef>
          </c:cat>
          <c:val>
            <c:numRef>
              <c:f>Sheet5!$B$25:$E$25</c:f>
              <c:numCache>
                <c:formatCode>0</c:formatCode>
                <c:ptCount val="4"/>
                <c:pt idx="0" formatCode="General">
                  <c:v>127</c:v>
                </c:pt>
                <c:pt idx="1">
                  <c:v>32</c:v>
                </c:pt>
                <c:pt idx="2">
                  <c:v>61</c:v>
                </c:pt>
                <c:pt idx="3">
                  <c:v>8</c:v>
                </c:pt>
              </c:numCache>
            </c:numRef>
          </c:val>
          <c:extLst>
            <c:ext xmlns:c16="http://schemas.microsoft.com/office/drawing/2014/chart" uri="{C3380CC4-5D6E-409C-BE32-E72D297353CC}">
              <c16:uniqueId val="{00000004-0602-4132-AFB7-987DB7690900}"/>
            </c:ext>
          </c:extLst>
        </c:ser>
        <c:dLbls>
          <c:showLegendKey val="0"/>
          <c:showVal val="0"/>
          <c:showCatName val="0"/>
          <c:showSerName val="0"/>
          <c:showPercent val="0"/>
          <c:showBubbleSize val="0"/>
        </c:dLbls>
        <c:gapWidth val="150"/>
        <c:overlap val="100"/>
        <c:axId val="409785280"/>
        <c:axId val="321953072"/>
      </c:barChart>
      <c:catAx>
        <c:axId val="409785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Tenure category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953072"/>
        <c:crosses val="autoZero"/>
        <c:auto val="1"/>
        <c:lblAlgn val="ctr"/>
        <c:lblOffset val="100"/>
        <c:noMultiLvlLbl val="0"/>
      </c:catAx>
      <c:valAx>
        <c:axId val="321953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 of respondents in tenure category</a:t>
                </a:r>
              </a:p>
            </c:rich>
          </c:tx>
          <c:layout>
            <c:manualLayout>
              <c:xMode val="edge"/>
              <c:yMode val="edge"/>
              <c:x val="2.5685931115002919E-2"/>
              <c:y val="0.149971291866028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785280"/>
        <c:crosses val="autoZero"/>
        <c:crossBetween val="between"/>
        <c:majorUnit val="0.2"/>
      </c:valAx>
      <c:spPr>
        <a:noFill/>
        <a:ln>
          <a:noFill/>
        </a:ln>
        <a:effectLst/>
      </c:spPr>
    </c:plotArea>
    <c:legend>
      <c:legendPos val="r"/>
      <c:layout>
        <c:manualLayout>
          <c:xMode val="edge"/>
          <c:yMode val="edge"/>
          <c:x val="0.71867635142746056"/>
          <c:y val="0.33851546547112232"/>
          <c:w val="0.27024842937549282"/>
          <c:h val="0.322968767660023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596256989615428"/>
          <c:y val="4.3945894644986695E-2"/>
          <c:w val="0.68199627220510473"/>
          <c:h val="0.77198718176581971"/>
        </c:manualLayout>
      </c:layout>
      <c:barChart>
        <c:barDir val="bar"/>
        <c:grouping val="stacked"/>
        <c:varyColors val="0"/>
        <c:ser>
          <c:idx val="0"/>
          <c:order val="0"/>
          <c:tx>
            <c:strRef>
              <c:f>'Age and Gender CoI ABS data'!$K$4</c:f>
              <c:strCache>
                <c:ptCount val="1"/>
                <c:pt idx="0">
                  <c:v>Women</c:v>
                </c:pt>
              </c:strCache>
            </c:strRef>
          </c:tx>
          <c:spPr>
            <a:solidFill>
              <a:schemeClr val="accent1"/>
            </a:solidFill>
            <a:ln>
              <a:noFill/>
            </a:ln>
            <a:effectLst/>
          </c:spPr>
          <c:invertIfNegative val="0"/>
          <c:cat>
            <c:strRef>
              <c:f>'Age and Gender CoI ABS data'!$J$5:$J$16</c:f>
              <c:strCache>
                <c:ptCount val="12"/>
                <c:pt idx="0">
                  <c:v>45 - 49</c:v>
                </c:pt>
                <c:pt idx="1">
                  <c:v>50 - 54</c:v>
                </c:pt>
                <c:pt idx="2">
                  <c:v>55 - 59</c:v>
                </c:pt>
                <c:pt idx="3">
                  <c:v>60 - 64</c:v>
                </c:pt>
                <c:pt idx="4">
                  <c:v>65 - 69</c:v>
                </c:pt>
                <c:pt idx="5">
                  <c:v>70 - 74</c:v>
                </c:pt>
                <c:pt idx="6">
                  <c:v>75 - 79</c:v>
                </c:pt>
                <c:pt idx="7">
                  <c:v>80 - 84</c:v>
                </c:pt>
                <c:pt idx="8">
                  <c:v>85 - 89</c:v>
                </c:pt>
                <c:pt idx="9">
                  <c:v>90 - 94</c:v>
                </c:pt>
                <c:pt idx="10">
                  <c:v>95 - 99</c:v>
                </c:pt>
                <c:pt idx="11">
                  <c:v>100+</c:v>
                </c:pt>
              </c:strCache>
            </c:strRef>
          </c:cat>
          <c:val>
            <c:numRef>
              <c:f>'Age and Gender CoI ABS data'!$K$5:$K$16</c:f>
              <c:numCache>
                <c:formatCode>0.0%</c:formatCode>
                <c:ptCount val="12"/>
                <c:pt idx="0">
                  <c:v>-4.0434789293236784E-3</c:v>
                </c:pt>
                <c:pt idx="1">
                  <c:v>-4.5098370821354079E-3</c:v>
                </c:pt>
                <c:pt idx="2">
                  <c:v>-3.8948592982078522E-3</c:v>
                </c:pt>
                <c:pt idx="3">
                  <c:v>-3.4285011453961227E-3</c:v>
                </c:pt>
                <c:pt idx="4">
                  <c:v>-2.3574148383889632E-3</c:v>
                </c:pt>
                <c:pt idx="5">
                  <c:v>-1.8244340923184151E-3</c:v>
                </c:pt>
                <c:pt idx="6">
                  <c:v>-9.3784112048952235E-4</c:v>
                </c:pt>
                <c:pt idx="7">
                  <c:v>-5.8422889473117782E-4</c:v>
                </c:pt>
                <c:pt idx="8">
                  <c:v>-2.3574148383889631E-4</c:v>
                </c:pt>
                <c:pt idx="9">
                  <c:v>-6.1497778392755563E-5</c:v>
                </c:pt>
                <c:pt idx="10">
                  <c:v>-2.5624074330314816E-5</c:v>
                </c:pt>
                <c:pt idx="11">
                  <c:v>0</c:v>
                </c:pt>
              </c:numCache>
            </c:numRef>
          </c:val>
          <c:extLst>
            <c:ext xmlns:c16="http://schemas.microsoft.com/office/drawing/2014/chart" uri="{C3380CC4-5D6E-409C-BE32-E72D297353CC}">
              <c16:uniqueId val="{00000000-E5B0-430B-995D-7B7371B36054}"/>
            </c:ext>
          </c:extLst>
        </c:ser>
        <c:ser>
          <c:idx val="1"/>
          <c:order val="1"/>
          <c:tx>
            <c:strRef>
              <c:f>'Age and Gender CoI ABS data'!$L$4</c:f>
              <c:strCache>
                <c:ptCount val="1"/>
                <c:pt idx="0">
                  <c:v>Men</c:v>
                </c:pt>
              </c:strCache>
            </c:strRef>
          </c:tx>
          <c:spPr>
            <a:solidFill>
              <a:schemeClr val="accent2"/>
            </a:solidFill>
            <a:ln>
              <a:noFill/>
            </a:ln>
            <a:effectLst/>
          </c:spPr>
          <c:invertIfNegative val="0"/>
          <c:cat>
            <c:strRef>
              <c:f>'Age and Gender CoI ABS data'!$J$5:$J$16</c:f>
              <c:strCache>
                <c:ptCount val="12"/>
                <c:pt idx="0">
                  <c:v>45 - 49</c:v>
                </c:pt>
                <c:pt idx="1">
                  <c:v>50 - 54</c:v>
                </c:pt>
                <c:pt idx="2">
                  <c:v>55 - 59</c:v>
                </c:pt>
                <c:pt idx="3">
                  <c:v>60 - 64</c:v>
                </c:pt>
                <c:pt idx="4">
                  <c:v>65 - 69</c:v>
                </c:pt>
                <c:pt idx="5">
                  <c:v>70 - 74</c:v>
                </c:pt>
                <c:pt idx="6">
                  <c:v>75 - 79</c:v>
                </c:pt>
                <c:pt idx="7">
                  <c:v>80 - 84</c:v>
                </c:pt>
                <c:pt idx="8">
                  <c:v>85 - 89</c:v>
                </c:pt>
                <c:pt idx="9">
                  <c:v>90 - 94</c:v>
                </c:pt>
                <c:pt idx="10">
                  <c:v>95 - 99</c:v>
                </c:pt>
                <c:pt idx="11">
                  <c:v>100+</c:v>
                </c:pt>
              </c:strCache>
            </c:strRef>
          </c:cat>
          <c:val>
            <c:numRef>
              <c:f>'Age and Gender CoI ABS data'!$L$5:$L$16</c:f>
              <c:numCache>
                <c:formatCode>0.0%</c:formatCode>
                <c:ptCount val="12"/>
                <c:pt idx="0">
                  <c:v>3.5514967021816335E-3</c:v>
                </c:pt>
                <c:pt idx="1">
                  <c:v>3.8333615198150968E-3</c:v>
                </c:pt>
                <c:pt idx="2">
                  <c:v>3.0800137345038409E-3</c:v>
                </c:pt>
                <c:pt idx="3">
                  <c:v>3.1876348466911633E-3</c:v>
                </c:pt>
                <c:pt idx="4">
                  <c:v>2.367664468121089E-3</c:v>
                </c:pt>
                <c:pt idx="5">
                  <c:v>1.6809392760686521E-3</c:v>
                </c:pt>
                <c:pt idx="6">
                  <c:v>9.8396445428408901E-4</c:v>
                </c:pt>
                <c:pt idx="7">
                  <c:v>4.7148296767779262E-4</c:v>
                </c:pt>
                <c:pt idx="8">
                  <c:v>2.0499259464251853E-4</c:v>
                </c:pt>
                <c:pt idx="9">
                  <c:v>6.1497778392755563E-5</c:v>
                </c:pt>
                <c:pt idx="10">
                  <c:v>0</c:v>
                </c:pt>
                <c:pt idx="11">
                  <c:v>0</c:v>
                </c:pt>
              </c:numCache>
            </c:numRef>
          </c:val>
          <c:extLst>
            <c:ext xmlns:c16="http://schemas.microsoft.com/office/drawing/2014/chart" uri="{C3380CC4-5D6E-409C-BE32-E72D297353CC}">
              <c16:uniqueId val="{00000001-E5B0-430B-995D-7B7371B36054}"/>
            </c:ext>
          </c:extLst>
        </c:ser>
        <c:dLbls>
          <c:showLegendKey val="0"/>
          <c:showVal val="0"/>
          <c:showCatName val="0"/>
          <c:showSerName val="0"/>
          <c:showPercent val="0"/>
          <c:showBubbleSize val="0"/>
        </c:dLbls>
        <c:gapWidth val="150"/>
        <c:overlap val="100"/>
        <c:axId val="1664965456"/>
        <c:axId val="1584146240"/>
      </c:barChart>
      <c:catAx>
        <c:axId val="16649654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 (years)</a:t>
                </a:r>
              </a:p>
            </c:rich>
          </c:tx>
          <c:layout>
            <c:manualLayout>
              <c:xMode val="edge"/>
              <c:yMode val="edge"/>
              <c:x val="1.0079690402706119E-2"/>
              <c:y val="0.327126067465284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4146240"/>
        <c:crosses val="autoZero"/>
        <c:auto val="1"/>
        <c:lblAlgn val="ctr"/>
        <c:lblOffset val="100"/>
        <c:noMultiLvlLbl val="0"/>
      </c:catAx>
      <c:valAx>
        <c:axId val="1584146240"/>
        <c:scaling>
          <c:orientation val="minMax"/>
          <c:max val="1.0000000000000002E-2"/>
          <c:min val="-1.0000000000000002E-2"/>
        </c:scaling>
        <c:delete val="0"/>
        <c:axPos val="b"/>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4965456"/>
        <c:crosses val="autoZero"/>
        <c:crossBetween val="between"/>
        <c:majorUnit val="5.000000000000001E-3"/>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233656416504518E-2"/>
          <c:y val="0"/>
          <c:w val="0.87385299412631157"/>
          <c:h val="0.78462873272916356"/>
        </c:manualLayout>
      </c:layout>
      <c:barChart>
        <c:barDir val="bar"/>
        <c:grouping val="stacked"/>
        <c:varyColors val="0"/>
        <c:ser>
          <c:idx val="0"/>
          <c:order val="0"/>
          <c:tx>
            <c:strRef>
              <c:f>'age cohorts'!$AJ$22</c:f>
              <c:strCache>
                <c:ptCount val="1"/>
                <c:pt idx="0">
                  <c:v>% women in AHC CoI in this age cohort</c:v>
                </c:pt>
              </c:strCache>
            </c:strRef>
          </c:tx>
          <c:spPr>
            <a:solidFill>
              <a:schemeClr val="accent1"/>
            </a:solidFill>
            <a:ln>
              <a:noFill/>
            </a:ln>
            <a:effectLst/>
          </c:spPr>
          <c:invertIfNegative val="0"/>
          <c:cat>
            <c:strRef>
              <c:f>'age cohorts'!$AD$23:$AD$34</c:f>
              <c:strCache>
                <c:ptCount val="11"/>
                <c:pt idx="0">
                  <c:v>45-49</c:v>
                </c:pt>
                <c:pt idx="1">
                  <c:v>50-54</c:v>
                </c:pt>
                <c:pt idx="2">
                  <c:v>55-59</c:v>
                </c:pt>
                <c:pt idx="3">
                  <c:v>60-64</c:v>
                </c:pt>
                <c:pt idx="4">
                  <c:v>65-69</c:v>
                </c:pt>
                <c:pt idx="5">
                  <c:v>70-74</c:v>
                </c:pt>
                <c:pt idx="6">
                  <c:v>75-79</c:v>
                </c:pt>
                <c:pt idx="7">
                  <c:v>80-84</c:v>
                </c:pt>
                <c:pt idx="8">
                  <c:v>85-89</c:v>
                </c:pt>
                <c:pt idx="9">
                  <c:v>90-94</c:v>
                </c:pt>
                <c:pt idx="10">
                  <c:v>95-99</c:v>
                </c:pt>
              </c:strCache>
            </c:strRef>
          </c:cat>
          <c:val>
            <c:numRef>
              <c:f>'age cohorts'!$AJ$23:$AJ$33</c:f>
              <c:numCache>
                <c:formatCode>0.0%</c:formatCode>
                <c:ptCount val="11"/>
                <c:pt idx="0">
                  <c:v>-2.2371364653243847E-3</c:v>
                </c:pt>
                <c:pt idx="1">
                  <c:v>0</c:v>
                </c:pt>
                <c:pt idx="2">
                  <c:v>-2.9828486204325131E-2</c:v>
                </c:pt>
                <c:pt idx="3">
                  <c:v>-5.5182699478001494E-2</c:v>
                </c:pt>
                <c:pt idx="4">
                  <c:v>-6.4876957494407153E-2</c:v>
                </c:pt>
                <c:pt idx="5">
                  <c:v>-8.8739746457867266E-2</c:v>
                </c:pt>
                <c:pt idx="6">
                  <c:v>-0.12677106636838181</c:v>
                </c:pt>
                <c:pt idx="7">
                  <c:v>-0.13571961222967935</c:v>
                </c:pt>
                <c:pt idx="8">
                  <c:v>-0.12005965697240865</c:v>
                </c:pt>
                <c:pt idx="9">
                  <c:v>-6.5622669649515283E-2</c:v>
                </c:pt>
                <c:pt idx="10">
                  <c:v>-1.3422818791946308E-2</c:v>
                </c:pt>
              </c:numCache>
            </c:numRef>
          </c:val>
          <c:extLst>
            <c:ext xmlns:c16="http://schemas.microsoft.com/office/drawing/2014/chart" uri="{C3380CC4-5D6E-409C-BE32-E72D297353CC}">
              <c16:uniqueId val="{00000000-AD70-4FAC-BD28-8144F7FEDD0C}"/>
            </c:ext>
          </c:extLst>
        </c:ser>
        <c:ser>
          <c:idx val="1"/>
          <c:order val="1"/>
          <c:tx>
            <c:strRef>
              <c:f>'age cohorts'!$AK$22</c:f>
              <c:strCache>
                <c:ptCount val="1"/>
                <c:pt idx="0">
                  <c:v>% men in AHC CoI</c:v>
                </c:pt>
              </c:strCache>
            </c:strRef>
          </c:tx>
          <c:spPr>
            <a:solidFill>
              <a:schemeClr val="accent2"/>
            </a:solidFill>
            <a:ln>
              <a:noFill/>
            </a:ln>
            <a:effectLst/>
          </c:spPr>
          <c:invertIfNegative val="0"/>
          <c:cat>
            <c:strRef>
              <c:f>'age cohorts'!$AD$23:$AD$34</c:f>
              <c:strCache>
                <c:ptCount val="11"/>
                <c:pt idx="0">
                  <c:v>45-49</c:v>
                </c:pt>
                <c:pt idx="1">
                  <c:v>50-54</c:v>
                </c:pt>
                <c:pt idx="2">
                  <c:v>55-59</c:v>
                </c:pt>
                <c:pt idx="3">
                  <c:v>60-64</c:v>
                </c:pt>
                <c:pt idx="4">
                  <c:v>65-69</c:v>
                </c:pt>
                <c:pt idx="5">
                  <c:v>70-74</c:v>
                </c:pt>
                <c:pt idx="6">
                  <c:v>75-79</c:v>
                </c:pt>
                <c:pt idx="7">
                  <c:v>80-84</c:v>
                </c:pt>
                <c:pt idx="8">
                  <c:v>85-89</c:v>
                </c:pt>
                <c:pt idx="9">
                  <c:v>90-94</c:v>
                </c:pt>
                <c:pt idx="10">
                  <c:v>95-99</c:v>
                </c:pt>
              </c:strCache>
            </c:strRef>
          </c:cat>
          <c:val>
            <c:numRef>
              <c:f>'age cohorts'!$AK$23:$AK$33</c:f>
              <c:numCache>
                <c:formatCode>0.0%</c:formatCode>
                <c:ptCount val="11"/>
                <c:pt idx="0">
                  <c:v>7.4571215510812821E-4</c:v>
                </c:pt>
                <c:pt idx="1">
                  <c:v>0</c:v>
                </c:pt>
                <c:pt idx="2">
                  <c:v>1.5659955257270694E-2</c:v>
                </c:pt>
                <c:pt idx="3">
                  <c:v>2.7591349739000747E-2</c:v>
                </c:pt>
                <c:pt idx="4">
                  <c:v>2.9828486204325131E-2</c:v>
                </c:pt>
                <c:pt idx="5">
                  <c:v>3.7285607755406416E-2</c:v>
                </c:pt>
                <c:pt idx="6">
                  <c:v>4.9962714392244596E-2</c:v>
                </c:pt>
                <c:pt idx="7">
                  <c:v>5.5928411633109618E-2</c:v>
                </c:pt>
                <c:pt idx="8">
                  <c:v>4.5488441461595822E-2</c:v>
                </c:pt>
                <c:pt idx="9">
                  <c:v>3.0574198359433258E-2</c:v>
                </c:pt>
                <c:pt idx="10">
                  <c:v>4.4742729306487695E-3</c:v>
                </c:pt>
              </c:numCache>
            </c:numRef>
          </c:val>
          <c:extLst>
            <c:ext xmlns:c16="http://schemas.microsoft.com/office/drawing/2014/chart" uri="{C3380CC4-5D6E-409C-BE32-E72D297353CC}">
              <c16:uniqueId val="{00000001-AD70-4FAC-BD28-8144F7FEDD0C}"/>
            </c:ext>
          </c:extLst>
        </c:ser>
        <c:dLbls>
          <c:showLegendKey val="0"/>
          <c:showVal val="0"/>
          <c:showCatName val="0"/>
          <c:showSerName val="0"/>
          <c:showPercent val="0"/>
          <c:showBubbleSize val="0"/>
        </c:dLbls>
        <c:gapWidth val="150"/>
        <c:overlap val="100"/>
        <c:axId val="226077279"/>
        <c:axId val="795919567"/>
      </c:barChart>
      <c:catAx>
        <c:axId val="226077279"/>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5919567"/>
        <c:crosses val="autoZero"/>
        <c:auto val="1"/>
        <c:lblAlgn val="ctr"/>
        <c:lblOffset val="100"/>
        <c:noMultiLvlLbl val="0"/>
      </c:catAx>
      <c:valAx>
        <c:axId val="795919567"/>
        <c:scaling>
          <c:orientation val="minMax"/>
          <c:max val="0.25"/>
          <c:min val="-0.25"/>
        </c:scaling>
        <c:delete val="0"/>
        <c:axPos val="b"/>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0772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422633728572883"/>
          <c:y val="1.7885743005528563E-2"/>
          <c:w val="0.55500318741564336"/>
          <c:h val="0.81875773367074911"/>
        </c:manualLayout>
      </c:layout>
      <c:barChart>
        <c:barDir val="bar"/>
        <c:grouping val="clustered"/>
        <c:varyColors val="0"/>
        <c:ser>
          <c:idx val="0"/>
          <c:order val="0"/>
          <c:tx>
            <c:strRef>
              <c:f>Sheet1!$A$4</c:f>
              <c:strCache>
                <c:ptCount val="1"/>
                <c:pt idx="0">
                  <c:v>Living alone</c:v>
                </c:pt>
              </c:strCache>
            </c:strRef>
          </c:tx>
          <c:spPr>
            <a:solidFill>
              <a:schemeClr val="accent1"/>
            </a:solidFill>
            <a:ln>
              <a:noFill/>
            </a:ln>
            <a:effectLst/>
          </c:spPr>
          <c:invertIfNegative val="0"/>
          <c:cat>
            <c:strRef>
              <c:f>Sheet1!$B$3:$E$3</c:f>
              <c:strCache>
                <c:ptCount val="4"/>
                <c:pt idx="0">
                  <c:v>All Tasmanians</c:v>
                </c:pt>
                <c:pt idx="1">
                  <c:v>Older Tasmanians</c:v>
                </c:pt>
                <c:pt idx="2">
                  <c:v>Older Tasmanians - Anglicare aged care services</c:v>
                </c:pt>
                <c:pt idx="3">
                  <c:v>Older Tasmanians - seeking housing support</c:v>
                </c:pt>
              </c:strCache>
            </c:strRef>
          </c:cat>
          <c:val>
            <c:numRef>
              <c:f>Sheet1!$B$4:$E$4</c:f>
              <c:numCache>
                <c:formatCode>0.00%</c:formatCode>
                <c:ptCount val="4"/>
                <c:pt idx="0">
                  <c:v>0.114</c:v>
                </c:pt>
                <c:pt idx="1">
                  <c:v>0.23799999999999999</c:v>
                </c:pt>
                <c:pt idx="2">
                  <c:v>0.38900000000000001</c:v>
                </c:pt>
                <c:pt idx="3">
                  <c:v>0.72599999999999998</c:v>
                </c:pt>
              </c:numCache>
            </c:numRef>
          </c:val>
          <c:extLst>
            <c:ext xmlns:c16="http://schemas.microsoft.com/office/drawing/2014/chart" uri="{C3380CC4-5D6E-409C-BE32-E72D297353CC}">
              <c16:uniqueId val="{00000000-AA76-41E6-B19B-B9C044FC92C5}"/>
            </c:ext>
          </c:extLst>
        </c:ser>
        <c:dLbls>
          <c:showLegendKey val="0"/>
          <c:showVal val="0"/>
          <c:showCatName val="0"/>
          <c:showSerName val="0"/>
          <c:showPercent val="0"/>
          <c:showBubbleSize val="0"/>
        </c:dLbls>
        <c:gapWidth val="219"/>
        <c:axId val="362877056"/>
        <c:axId val="357793440"/>
      </c:barChart>
      <c:catAx>
        <c:axId val="362877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357793440"/>
        <c:crosses val="autoZero"/>
        <c:auto val="1"/>
        <c:lblAlgn val="ctr"/>
        <c:lblOffset val="100"/>
        <c:noMultiLvlLbl val="0"/>
      </c:catAx>
      <c:valAx>
        <c:axId val="3577934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877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681147866225459"/>
          <c:y val="7.0287539936102233E-2"/>
          <c:w val="0.66978241797445226"/>
          <c:h val="0.66726271037206608"/>
        </c:manualLayout>
      </c:layout>
      <c:barChart>
        <c:barDir val="bar"/>
        <c:grouping val="clustered"/>
        <c:varyColors val="0"/>
        <c:ser>
          <c:idx val="0"/>
          <c:order val="0"/>
          <c:tx>
            <c:strRef>
              <c:f>Sheet2!$B$2</c:f>
              <c:strCache>
                <c:ptCount val="1"/>
                <c:pt idx="0">
                  <c:v>1 week before</c:v>
                </c:pt>
              </c:strCache>
            </c:strRef>
          </c:tx>
          <c:spPr>
            <a:solidFill>
              <a:schemeClr val="accent1">
                <a:lumMod val="40000"/>
                <a:lumOff val="60000"/>
              </a:schemeClr>
            </a:solidFill>
            <a:ln>
              <a:solidFill>
                <a:schemeClr val="accent1">
                  <a:lumMod val="40000"/>
                  <a:lumOff val="60000"/>
                </a:schemeClr>
              </a:solidFill>
            </a:ln>
            <a:effectLst/>
          </c:spPr>
          <c:invertIfNegative val="0"/>
          <c:cat>
            <c:strRef>
              <c:f>Sheet2!$A$3:$A$8</c:f>
              <c:strCache>
                <c:ptCount val="6"/>
                <c:pt idx="0">
                  <c:v>Don't know</c:v>
                </c:pt>
                <c:pt idx="1">
                  <c:v>Group</c:v>
                </c:pt>
                <c:pt idx="2">
                  <c:v>Other family</c:v>
                </c:pt>
                <c:pt idx="3">
                  <c:v>One parent with child(ren)</c:v>
                </c:pt>
                <c:pt idx="4">
                  <c:v>Living in spousal arrangement</c:v>
                </c:pt>
                <c:pt idx="5">
                  <c:v>Lone person</c:v>
                </c:pt>
              </c:strCache>
            </c:strRef>
          </c:cat>
          <c:val>
            <c:numRef>
              <c:f>Sheet2!$B$3:$B$8</c:f>
              <c:numCache>
                <c:formatCode>0.00%</c:formatCode>
                <c:ptCount val="6"/>
                <c:pt idx="0">
                  <c:v>3.0000000000000001E-3</c:v>
                </c:pt>
                <c:pt idx="1">
                  <c:v>6.6000000000000003E-2</c:v>
                </c:pt>
                <c:pt idx="2">
                  <c:v>6.9000000000000006E-2</c:v>
                </c:pt>
                <c:pt idx="3">
                  <c:v>6.9000000000000006E-2</c:v>
                </c:pt>
                <c:pt idx="4">
                  <c:v>0.10100000000000001</c:v>
                </c:pt>
                <c:pt idx="5">
                  <c:v>0.69499999999999995</c:v>
                </c:pt>
              </c:numCache>
            </c:numRef>
          </c:val>
          <c:extLst>
            <c:ext xmlns:c16="http://schemas.microsoft.com/office/drawing/2014/chart" uri="{C3380CC4-5D6E-409C-BE32-E72D297353CC}">
              <c16:uniqueId val="{00000000-2F7E-4021-9E8D-A32E928DEF2B}"/>
            </c:ext>
          </c:extLst>
        </c:ser>
        <c:ser>
          <c:idx val="1"/>
          <c:order val="1"/>
          <c:tx>
            <c:strRef>
              <c:f>Sheet2!$C$2</c:f>
              <c:strCache>
                <c:ptCount val="1"/>
                <c:pt idx="0">
                  <c:v>at presentation </c:v>
                </c:pt>
              </c:strCache>
            </c:strRef>
          </c:tx>
          <c:spPr>
            <a:solidFill>
              <a:srgbClr val="0070C0"/>
            </a:solidFill>
            <a:ln>
              <a:solidFill>
                <a:schemeClr val="accent1">
                  <a:lumMod val="75000"/>
                </a:schemeClr>
              </a:solidFill>
            </a:ln>
            <a:effectLst/>
          </c:spPr>
          <c:invertIfNegative val="0"/>
          <c:cat>
            <c:strRef>
              <c:f>Sheet2!$A$3:$A$8</c:f>
              <c:strCache>
                <c:ptCount val="6"/>
                <c:pt idx="0">
                  <c:v>Don't know</c:v>
                </c:pt>
                <c:pt idx="1">
                  <c:v>Group</c:v>
                </c:pt>
                <c:pt idx="2">
                  <c:v>Other family</c:v>
                </c:pt>
                <c:pt idx="3">
                  <c:v>One parent with child(ren)</c:v>
                </c:pt>
                <c:pt idx="4">
                  <c:v>Living in spousal arrangement</c:v>
                </c:pt>
                <c:pt idx="5">
                  <c:v>Lone person</c:v>
                </c:pt>
              </c:strCache>
            </c:strRef>
          </c:cat>
          <c:val>
            <c:numRef>
              <c:f>Sheet2!$C$3:$C$8</c:f>
              <c:numCache>
                <c:formatCode>0.00%</c:formatCode>
                <c:ptCount val="6"/>
                <c:pt idx="0">
                  <c:v>3.0000000000000001E-3</c:v>
                </c:pt>
                <c:pt idx="1">
                  <c:v>0.06</c:v>
                </c:pt>
                <c:pt idx="2">
                  <c:v>6.3E-2</c:v>
                </c:pt>
                <c:pt idx="3">
                  <c:v>6.9000000000000006E-2</c:v>
                </c:pt>
                <c:pt idx="4">
                  <c:v>8.2000000000000003E-2</c:v>
                </c:pt>
                <c:pt idx="5">
                  <c:v>0.72599999999999998</c:v>
                </c:pt>
              </c:numCache>
            </c:numRef>
          </c:val>
          <c:extLst>
            <c:ext xmlns:c16="http://schemas.microsoft.com/office/drawing/2014/chart" uri="{C3380CC4-5D6E-409C-BE32-E72D297353CC}">
              <c16:uniqueId val="{00000001-2F7E-4021-9E8D-A32E928DEF2B}"/>
            </c:ext>
          </c:extLst>
        </c:ser>
        <c:dLbls>
          <c:showLegendKey val="0"/>
          <c:showVal val="0"/>
          <c:showCatName val="0"/>
          <c:showSerName val="0"/>
          <c:showPercent val="0"/>
          <c:showBubbleSize val="0"/>
        </c:dLbls>
        <c:gapWidth val="182"/>
        <c:axId val="420332112"/>
        <c:axId val="366927936"/>
      </c:barChart>
      <c:catAx>
        <c:axId val="420332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927936"/>
        <c:crosses val="autoZero"/>
        <c:auto val="1"/>
        <c:lblAlgn val="ctr"/>
        <c:lblOffset val="100"/>
        <c:noMultiLvlLbl val="0"/>
      </c:catAx>
      <c:valAx>
        <c:axId val="3669279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332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Housing tenure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'Table 1'!$G$100</c:f>
              <c:strCache>
                <c:ptCount val="1"/>
                <c:pt idx="0">
                  <c:v>Own/buying</c:v>
                </c:pt>
              </c:strCache>
            </c:strRef>
          </c:tx>
          <c:spPr>
            <a:solidFill>
              <a:schemeClr val="accent1"/>
            </a:solidFill>
            <a:ln>
              <a:noFill/>
            </a:ln>
            <a:effectLst/>
          </c:spPr>
          <c:invertIfNegative val="0"/>
          <c:cat>
            <c:strRef>
              <c:f>'Table 1'!$F$101:$F$104</c:f>
              <c:strCache>
                <c:ptCount val="4"/>
                <c:pt idx="0">
                  <c:v>All Tasmanians</c:v>
                </c:pt>
                <c:pt idx="1">
                  <c:v>Older Tasmanians</c:v>
                </c:pt>
                <c:pt idx="2">
                  <c:v>Older Tasmanians - Anglicare Aged Home Care</c:v>
                </c:pt>
                <c:pt idx="3">
                  <c:v>Older Tasmanians - Anglicare Front Door client</c:v>
                </c:pt>
              </c:strCache>
            </c:strRef>
          </c:cat>
          <c:val>
            <c:numRef>
              <c:f>'Table 1'!$G$101:$G$104</c:f>
              <c:numCache>
                <c:formatCode>0.0%</c:formatCode>
                <c:ptCount val="4"/>
                <c:pt idx="0">
                  <c:v>0.67369377744522296</c:v>
                </c:pt>
                <c:pt idx="1">
                  <c:v>0.78171243023402015</c:v>
                </c:pt>
                <c:pt idx="2">
                  <c:v>0.74199999999999999</c:v>
                </c:pt>
                <c:pt idx="3">
                  <c:v>0.12186</c:v>
                </c:pt>
              </c:numCache>
            </c:numRef>
          </c:val>
          <c:extLst>
            <c:ext xmlns:c16="http://schemas.microsoft.com/office/drawing/2014/chart" uri="{C3380CC4-5D6E-409C-BE32-E72D297353CC}">
              <c16:uniqueId val="{00000000-7041-4CB7-B1D9-9536DC23A98C}"/>
            </c:ext>
          </c:extLst>
        </c:ser>
        <c:ser>
          <c:idx val="1"/>
          <c:order val="1"/>
          <c:tx>
            <c:strRef>
              <c:f>'Table 1'!$H$100</c:f>
              <c:strCache>
                <c:ptCount val="1"/>
                <c:pt idx="0">
                  <c:v>Renting - private</c:v>
                </c:pt>
              </c:strCache>
            </c:strRef>
          </c:tx>
          <c:spPr>
            <a:solidFill>
              <a:schemeClr val="accent2"/>
            </a:solidFill>
            <a:ln>
              <a:noFill/>
            </a:ln>
            <a:effectLst/>
          </c:spPr>
          <c:invertIfNegative val="0"/>
          <c:cat>
            <c:strRef>
              <c:f>'Table 1'!$F$101:$F$104</c:f>
              <c:strCache>
                <c:ptCount val="4"/>
                <c:pt idx="0">
                  <c:v>All Tasmanians</c:v>
                </c:pt>
                <c:pt idx="1">
                  <c:v>Older Tasmanians</c:v>
                </c:pt>
                <c:pt idx="2">
                  <c:v>Older Tasmanians - Anglicare Aged Home Care</c:v>
                </c:pt>
                <c:pt idx="3">
                  <c:v>Older Tasmanians - Anglicare Front Door client</c:v>
                </c:pt>
              </c:strCache>
            </c:strRef>
          </c:cat>
          <c:val>
            <c:numRef>
              <c:f>'Table 1'!$H$101:$H$104</c:f>
              <c:numCache>
                <c:formatCode>0.0%</c:formatCode>
                <c:ptCount val="4"/>
                <c:pt idx="0">
                  <c:v>0.20830593534831343</c:v>
                </c:pt>
                <c:pt idx="1">
                  <c:v>8.6698408707012953E-2</c:v>
                </c:pt>
                <c:pt idx="2">
                  <c:v>0.108</c:v>
                </c:pt>
                <c:pt idx="3">
                  <c:v>0.36964200000000003</c:v>
                </c:pt>
              </c:numCache>
            </c:numRef>
          </c:val>
          <c:extLst>
            <c:ext xmlns:c16="http://schemas.microsoft.com/office/drawing/2014/chart" uri="{C3380CC4-5D6E-409C-BE32-E72D297353CC}">
              <c16:uniqueId val="{00000001-7041-4CB7-B1D9-9536DC23A98C}"/>
            </c:ext>
          </c:extLst>
        </c:ser>
        <c:ser>
          <c:idx val="2"/>
          <c:order val="2"/>
          <c:tx>
            <c:strRef>
              <c:f>'Table 1'!$I$100</c:f>
              <c:strCache>
                <c:ptCount val="1"/>
                <c:pt idx="0">
                  <c:v>Renting - social &amp; community</c:v>
                </c:pt>
              </c:strCache>
            </c:strRef>
          </c:tx>
          <c:spPr>
            <a:solidFill>
              <a:schemeClr val="accent3"/>
            </a:solidFill>
            <a:ln>
              <a:noFill/>
            </a:ln>
            <a:effectLst/>
          </c:spPr>
          <c:invertIfNegative val="0"/>
          <c:cat>
            <c:strRef>
              <c:f>'Table 1'!$F$101:$F$104</c:f>
              <c:strCache>
                <c:ptCount val="4"/>
                <c:pt idx="0">
                  <c:v>All Tasmanians</c:v>
                </c:pt>
                <c:pt idx="1">
                  <c:v>Older Tasmanians</c:v>
                </c:pt>
                <c:pt idx="2">
                  <c:v>Older Tasmanians - Anglicare Aged Home Care</c:v>
                </c:pt>
                <c:pt idx="3">
                  <c:v>Older Tasmanians - Anglicare Front Door client</c:v>
                </c:pt>
              </c:strCache>
            </c:strRef>
          </c:cat>
          <c:val>
            <c:numRef>
              <c:f>'Table 1'!$I$101:$I$104</c:f>
              <c:numCache>
                <c:formatCode>0.0%</c:formatCode>
                <c:ptCount val="4"/>
                <c:pt idx="0">
                  <c:v>4.2691729209653161E-2</c:v>
                </c:pt>
                <c:pt idx="1">
                  <c:v>4.1884187106754935E-2</c:v>
                </c:pt>
                <c:pt idx="2">
                  <c:v>0.107</c:v>
                </c:pt>
                <c:pt idx="3">
                  <c:v>8.1917000000000004E-2</c:v>
                </c:pt>
              </c:numCache>
            </c:numRef>
          </c:val>
          <c:extLst>
            <c:ext xmlns:c16="http://schemas.microsoft.com/office/drawing/2014/chart" uri="{C3380CC4-5D6E-409C-BE32-E72D297353CC}">
              <c16:uniqueId val="{00000002-7041-4CB7-B1D9-9536DC23A98C}"/>
            </c:ext>
          </c:extLst>
        </c:ser>
        <c:ser>
          <c:idx val="3"/>
          <c:order val="3"/>
          <c:tx>
            <c:strRef>
              <c:f>'Table 1'!$J$100</c:f>
              <c:strCache>
                <c:ptCount val="1"/>
                <c:pt idx="0">
                  <c:v>Non-private dwelling</c:v>
                </c:pt>
              </c:strCache>
            </c:strRef>
          </c:tx>
          <c:spPr>
            <a:solidFill>
              <a:schemeClr val="accent4"/>
            </a:solidFill>
            <a:ln>
              <a:noFill/>
            </a:ln>
            <a:effectLst/>
          </c:spPr>
          <c:invertIfNegative val="0"/>
          <c:cat>
            <c:strRef>
              <c:f>'Table 1'!$F$101:$F$104</c:f>
              <c:strCache>
                <c:ptCount val="4"/>
                <c:pt idx="0">
                  <c:v>All Tasmanians</c:v>
                </c:pt>
                <c:pt idx="1">
                  <c:v>Older Tasmanians</c:v>
                </c:pt>
                <c:pt idx="2">
                  <c:v>Older Tasmanians - Anglicare Aged Home Care</c:v>
                </c:pt>
                <c:pt idx="3">
                  <c:v>Older Tasmanians - Anglicare Front Door client</c:v>
                </c:pt>
              </c:strCache>
            </c:strRef>
          </c:cat>
          <c:val>
            <c:numRef>
              <c:f>'Table 1'!$J$101:$J$104</c:f>
              <c:numCache>
                <c:formatCode>0.0%</c:formatCode>
                <c:ptCount val="4"/>
                <c:pt idx="0">
                  <c:v>1.8859261274743216E-2</c:v>
                </c:pt>
                <c:pt idx="1">
                  <c:v>3.1175348351582272E-2</c:v>
                </c:pt>
                <c:pt idx="2">
                  <c:v>4.2999999999999997E-2</c:v>
                </c:pt>
                <c:pt idx="3">
                  <c:v>0.14100000000000001</c:v>
                </c:pt>
              </c:numCache>
            </c:numRef>
          </c:val>
          <c:extLst>
            <c:ext xmlns:c16="http://schemas.microsoft.com/office/drawing/2014/chart" uri="{C3380CC4-5D6E-409C-BE32-E72D297353CC}">
              <c16:uniqueId val="{00000003-7041-4CB7-B1D9-9536DC23A98C}"/>
            </c:ext>
          </c:extLst>
        </c:ser>
        <c:ser>
          <c:idx val="4"/>
          <c:order val="4"/>
          <c:tx>
            <c:strRef>
              <c:f>'Table 1'!$K$100</c:f>
              <c:strCache>
                <c:ptCount val="1"/>
                <c:pt idx="0">
                  <c:v>Other</c:v>
                </c:pt>
              </c:strCache>
            </c:strRef>
          </c:tx>
          <c:spPr>
            <a:solidFill>
              <a:schemeClr val="accent5"/>
            </a:solidFill>
            <a:ln>
              <a:noFill/>
            </a:ln>
            <a:effectLst/>
          </c:spPr>
          <c:invertIfNegative val="0"/>
          <c:cat>
            <c:strRef>
              <c:f>'Table 1'!$F$101:$F$104</c:f>
              <c:strCache>
                <c:ptCount val="4"/>
                <c:pt idx="0">
                  <c:v>All Tasmanians</c:v>
                </c:pt>
                <c:pt idx="1">
                  <c:v>Older Tasmanians</c:v>
                </c:pt>
                <c:pt idx="2">
                  <c:v>Older Tasmanians - Anglicare Aged Home Care</c:v>
                </c:pt>
                <c:pt idx="3">
                  <c:v>Older Tasmanians - Anglicare Front Door client</c:v>
                </c:pt>
              </c:strCache>
            </c:strRef>
          </c:cat>
          <c:val>
            <c:numRef>
              <c:f>'Table 1'!$K$101:$K$104</c:f>
              <c:numCache>
                <c:formatCode>0.0%</c:formatCode>
                <c:ptCount val="4"/>
                <c:pt idx="0">
                  <c:v>5.6449296722067221E-2</c:v>
                </c:pt>
                <c:pt idx="1">
                  <c:v>5.8529625600629687E-2</c:v>
                </c:pt>
                <c:pt idx="3">
                  <c:v>0.28658099999999997</c:v>
                </c:pt>
              </c:numCache>
            </c:numRef>
          </c:val>
          <c:extLst>
            <c:ext xmlns:c16="http://schemas.microsoft.com/office/drawing/2014/chart" uri="{C3380CC4-5D6E-409C-BE32-E72D297353CC}">
              <c16:uniqueId val="{00000004-7041-4CB7-B1D9-9536DC23A98C}"/>
            </c:ext>
          </c:extLst>
        </c:ser>
        <c:dLbls>
          <c:showLegendKey val="0"/>
          <c:showVal val="0"/>
          <c:showCatName val="0"/>
          <c:showSerName val="0"/>
          <c:showPercent val="0"/>
          <c:showBubbleSize val="0"/>
        </c:dLbls>
        <c:gapWidth val="150"/>
        <c:overlap val="100"/>
        <c:axId val="667642512"/>
        <c:axId val="532045936"/>
      </c:barChart>
      <c:catAx>
        <c:axId val="667642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045936"/>
        <c:crosses val="autoZero"/>
        <c:auto val="1"/>
        <c:lblAlgn val="ctr"/>
        <c:lblOffset val="100"/>
        <c:noMultiLvlLbl val="0"/>
      </c:catAx>
      <c:valAx>
        <c:axId val="5320459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642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 at presentation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Adult correctional facility</c:v>
                </c:pt>
                <c:pt idx="1">
                  <c:v>Boarding/rooming house</c:v>
                </c:pt>
                <c:pt idx="2">
                  <c:v>Cabin</c:v>
                </c:pt>
                <c:pt idx="3">
                  <c:v>Caravan</c:v>
                </c:pt>
                <c:pt idx="4">
                  <c:v>Emergency accommodation</c:v>
                </c:pt>
                <c:pt idx="5">
                  <c:v>Hospital (excluding psychiatric)</c:v>
                </c:pt>
                <c:pt idx="6">
                  <c:v>Hotel/motel/bed and breakfast</c:v>
                </c:pt>
                <c:pt idx="7">
                  <c:v>House/townhouse/flat</c:v>
                </c:pt>
                <c:pt idx="8">
                  <c:v>Improvised building/dwelling</c:v>
                </c:pt>
                <c:pt idx="9">
                  <c:v>Motor vehicle</c:v>
                </c:pt>
                <c:pt idx="10">
                  <c:v>No dwelling/street/park/in the open</c:v>
                </c:pt>
                <c:pt idx="11">
                  <c:v>Psychiatric hospital/unit</c:v>
                </c:pt>
                <c:pt idx="12">
                  <c:v>Rehabilitation</c:v>
                </c:pt>
                <c:pt idx="13">
                  <c:v>Tent</c:v>
                </c:pt>
                <c:pt idx="14">
                  <c:v>Other</c:v>
                </c:pt>
              </c:strCache>
            </c:strRef>
          </c:cat>
          <c:val>
            <c:numRef>
              <c:f>Sheet1!$B$2:$B$16</c:f>
              <c:numCache>
                <c:formatCode>0.0%</c:formatCode>
                <c:ptCount val="15"/>
                <c:pt idx="0">
                  <c:v>3.134796238244514E-3</c:v>
                </c:pt>
                <c:pt idx="1">
                  <c:v>6.269592476489028E-3</c:v>
                </c:pt>
                <c:pt idx="2">
                  <c:v>9.4043887147335428E-3</c:v>
                </c:pt>
                <c:pt idx="3">
                  <c:v>3.7617554858934171E-2</c:v>
                </c:pt>
                <c:pt idx="4">
                  <c:v>6.8965517241379309E-2</c:v>
                </c:pt>
                <c:pt idx="5">
                  <c:v>1.8808777429467086E-2</c:v>
                </c:pt>
                <c:pt idx="6">
                  <c:v>2.8213166144200628E-2</c:v>
                </c:pt>
                <c:pt idx="7">
                  <c:v>0.67711598746081503</c:v>
                </c:pt>
                <c:pt idx="8">
                  <c:v>3.7617554858934171E-2</c:v>
                </c:pt>
                <c:pt idx="9">
                  <c:v>6.2695924764890276E-2</c:v>
                </c:pt>
                <c:pt idx="10">
                  <c:v>1.5673981191222569E-2</c:v>
                </c:pt>
                <c:pt idx="11">
                  <c:v>1.2539184952978056E-2</c:v>
                </c:pt>
                <c:pt idx="12">
                  <c:v>3.134796238244514E-3</c:v>
                </c:pt>
                <c:pt idx="13">
                  <c:v>1.5673981191222569E-2</c:v>
                </c:pt>
                <c:pt idx="14">
                  <c:v>3.134796238244514E-3</c:v>
                </c:pt>
              </c:numCache>
            </c:numRef>
          </c:val>
          <c:extLst>
            <c:ext xmlns:c16="http://schemas.microsoft.com/office/drawing/2014/chart" uri="{C3380CC4-5D6E-409C-BE32-E72D297353CC}">
              <c16:uniqueId val="{00000000-281A-45B3-8484-F4C3DA8F105F}"/>
            </c:ext>
          </c:extLst>
        </c:ser>
        <c:ser>
          <c:idx val="1"/>
          <c:order val="1"/>
          <c:tx>
            <c:strRef>
              <c:f>Sheet1!$C$1</c:f>
              <c:strCache>
                <c:ptCount val="1"/>
                <c:pt idx="0">
                  <c:v>% one week before</c:v>
                </c:pt>
              </c:strCache>
            </c:strRef>
          </c:tx>
          <c:spPr>
            <a:solidFill>
              <a:schemeClr val="accent5">
                <a:lumMod val="40000"/>
                <a:lumOff val="60000"/>
              </a:schemeClr>
            </a:solidFill>
            <a:ln>
              <a:noFill/>
            </a:ln>
            <a:effectLst/>
          </c:spPr>
          <c:invertIfNegative val="0"/>
          <c:cat>
            <c:strRef>
              <c:f>Sheet1!$A$2:$A$16</c:f>
              <c:strCache>
                <c:ptCount val="15"/>
                <c:pt idx="0">
                  <c:v>Adult correctional facility</c:v>
                </c:pt>
                <c:pt idx="1">
                  <c:v>Boarding/rooming house</c:v>
                </c:pt>
                <c:pt idx="2">
                  <c:v>Cabin</c:v>
                </c:pt>
                <c:pt idx="3">
                  <c:v>Caravan</c:v>
                </c:pt>
                <c:pt idx="4">
                  <c:v>Emergency accommodation</c:v>
                </c:pt>
                <c:pt idx="5">
                  <c:v>Hospital (excluding psychiatric)</c:v>
                </c:pt>
                <c:pt idx="6">
                  <c:v>Hotel/motel/bed and breakfast</c:v>
                </c:pt>
                <c:pt idx="7">
                  <c:v>House/townhouse/flat</c:v>
                </c:pt>
                <c:pt idx="8">
                  <c:v>Improvised building/dwelling</c:v>
                </c:pt>
                <c:pt idx="9">
                  <c:v>Motor vehicle</c:v>
                </c:pt>
                <c:pt idx="10">
                  <c:v>No dwelling/street/park/in the open</c:v>
                </c:pt>
                <c:pt idx="11">
                  <c:v>Psychiatric hospital/unit</c:v>
                </c:pt>
                <c:pt idx="12">
                  <c:v>Rehabilitation</c:v>
                </c:pt>
                <c:pt idx="13">
                  <c:v>Tent</c:v>
                </c:pt>
                <c:pt idx="14">
                  <c:v>Other</c:v>
                </c:pt>
              </c:strCache>
            </c:strRef>
          </c:cat>
          <c:val>
            <c:numRef>
              <c:f>Sheet1!$C$2:$C$16</c:f>
              <c:numCache>
                <c:formatCode>0.0%</c:formatCode>
                <c:ptCount val="15"/>
                <c:pt idx="0">
                  <c:v>6.269592476489028E-3</c:v>
                </c:pt>
                <c:pt idx="1">
                  <c:v>6.269592476489028E-3</c:v>
                </c:pt>
                <c:pt idx="2">
                  <c:v>9.4043887147335428E-3</c:v>
                </c:pt>
                <c:pt idx="3">
                  <c:v>3.7617554858934171E-2</c:v>
                </c:pt>
                <c:pt idx="4">
                  <c:v>4.0752351097178681E-2</c:v>
                </c:pt>
                <c:pt idx="5">
                  <c:v>1.8808777429467086E-2</c:v>
                </c:pt>
                <c:pt idx="6">
                  <c:v>2.5078369905956112E-2</c:v>
                </c:pt>
                <c:pt idx="7">
                  <c:v>0.71473354231974917</c:v>
                </c:pt>
                <c:pt idx="8">
                  <c:v>3.4482758620689655E-2</c:v>
                </c:pt>
                <c:pt idx="9">
                  <c:v>5.9561128526645767E-2</c:v>
                </c:pt>
                <c:pt idx="10">
                  <c:v>9.4043887147335428E-3</c:v>
                </c:pt>
                <c:pt idx="11">
                  <c:v>1.2539184952978056E-2</c:v>
                </c:pt>
                <c:pt idx="12">
                  <c:v>6.269592476489028E-3</c:v>
                </c:pt>
                <c:pt idx="13">
                  <c:v>1.8808777429467086E-2</c:v>
                </c:pt>
                <c:pt idx="14">
                  <c:v>0</c:v>
                </c:pt>
              </c:numCache>
            </c:numRef>
          </c:val>
          <c:extLst>
            <c:ext xmlns:c16="http://schemas.microsoft.com/office/drawing/2014/chart" uri="{C3380CC4-5D6E-409C-BE32-E72D297353CC}">
              <c16:uniqueId val="{00000001-281A-45B3-8484-F4C3DA8F105F}"/>
            </c:ext>
          </c:extLst>
        </c:ser>
        <c:dLbls>
          <c:showLegendKey val="0"/>
          <c:showVal val="0"/>
          <c:showCatName val="0"/>
          <c:showSerName val="0"/>
          <c:showPercent val="0"/>
          <c:showBubbleSize val="0"/>
        </c:dLbls>
        <c:gapWidth val="150"/>
        <c:axId val="2022265103"/>
        <c:axId val="88308015"/>
      </c:barChart>
      <c:catAx>
        <c:axId val="20222651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308015"/>
        <c:crosses val="autoZero"/>
        <c:auto val="1"/>
        <c:lblAlgn val="ctr"/>
        <c:lblOffset val="100"/>
        <c:noMultiLvlLbl val="0"/>
      </c:catAx>
      <c:valAx>
        <c:axId val="8830801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2651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Sheet2!$AH$20</c:f>
              <c:strCache>
                <c:ptCount val="1"/>
                <c:pt idx="0">
                  <c:v>% of older cohort who gave this reason</c:v>
                </c:pt>
              </c:strCache>
            </c:strRef>
          </c:tx>
          <c:spPr>
            <a:solidFill>
              <a:schemeClr val="accent1"/>
            </a:solidFill>
            <a:ln>
              <a:noFill/>
            </a:ln>
            <a:effectLst/>
          </c:spPr>
          <c:invertIfNegative val="0"/>
          <c:cat>
            <c:strRef>
              <c:f>Sheet2!$AG$21:$AG$47</c:f>
              <c:strCache>
                <c:ptCount val="27"/>
                <c:pt idx="0">
                  <c:v>Housing affordability stress</c:v>
                </c:pt>
                <c:pt idx="1">
                  <c:v>Housing crisis (e.g. eviction)</c:v>
                </c:pt>
                <c:pt idx="2">
                  <c:v>Lack of family and/or community support</c:v>
                </c:pt>
                <c:pt idx="3">
                  <c:v>Inadequate or inappropriate dwelling conditions</c:v>
                </c:pt>
                <c:pt idx="4">
                  <c:v>Medical issues</c:v>
                </c:pt>
                <c:pt idx="5">
                  <c:v>Mental health issues</c:v>
                </c:pt>
                <c:pt idx="6">
                  <c:v>Previous accommodation ended</c:v>
                </c:pt>
                <c:pt idx="7">
                  <c:v>Financial difficulties</c:v>
                </c:pt>
                <c:pt idx="8">
                  <c:v>Relationship/family breakdown</c:v>
                </c:pt>
                <c:pt idx="9">
                  <c:v>Itinerant</c:v>
                </c:pt>
                <c:pt idx="10">
                  <c:v>Time out from family/other situation</c:v>
                </c:pt>
                <c:pt idx="11">
                  <c:v>Domestic and family violence</c:v>
                </c:pt>
                <c:pt idx="12">
                  <c:v>Non-family violence</c:v>
                </c:pt>
                <c:pt idx="13">
                  <c:v>Other</c:v>
                </c:pt>
                <c:pt idx="14">
                  <c:v>Unemployment</c:v>
                </c:pt>
                <c:pt idx="15">
                  <c:v>Transition from other care arrangements</c:v>
                </c:pt>
                <c:pt idx="16">
                  <c:v>Unable to return home due to environmental reasons</c:v>
                </c:pt>
                <c:pt idx="17">
                  <c:v>Problematic alcohol use</c:v>
                </c:pt>
                <c:pt idx="18">
                  <c:v>Problematic drug or substance use</c:v>
                </c:pt>
                <c:pt idx="19">
                  <c:v>Sexual abuse</c:v>
                </c:pt>
                <c:pt idx="20">
                  <c:v>Transition from custodial arrangements</c:v>
                </c:pt>
                <c:pt idx="21">
                  <c:v>Employment difficulties </c:v>
                </c:pt>
                <c:pt idx="22">
                  <c:v>Problematic gambling</c:v>
                </c:pt>
                <c:pt idx="23">
                  <c:v>Disengagement with school or other education and training</c:v>
                </c:pt>
                <c:pt idx="24">
                  <c:v>Discrimination including racial and sexual</c:v>
                </c:pt>
                <c:pt idx="25">
                  <c:v>Transition from foster care and child safety residential placements </c:v>
                </c:pt>
                <c:pt idx="26">
                  <c:v>Don't know</c:v>
                </c:pt>
              </c:strCache>
            </c:strRef>
          </c:cat>
          <c:val>
            <c:numRef>
              <c:f>Sheet2!$AH$21:$AH$47</c:f>
              <c:numCache>
                <c:formatCode>0.0%</c:formatCode>
                <c:ptCount val="27"/>
                <c:pt idx="0">
                  <c:v>0.47335423197492166</c:v>
                </c:pt>
                <c:pt idx="1">
                  <c:v>0.47021943573667713</c:v>
                </c:pt>
                <c:pt idx="2">
                  <c:v>0.40752351097178685</c:v>
                </c:pt>
                <c:pt idx="3">
                  <c:v>0.37304075235109718</c:v>
                </c:pt>
                <c:pt idx="4">
                  <c:v>0.35423197492163011</c:v>
                </c:pt>
                <c:pt idx="5">
                  <c:v>0.27899686520376177</c:v>
                </c:pt>
                <c:pt idx="6">
                  <c:v>0.2445141065830721</c:v>
                </c:pt>
                <c:pt idx="7">
                  <c:v>0.18808777429467086</c:v>
                </c:pt>
                <c:pt idx="8">
                  <c:v>0.11598746081504702</c:v>
                </c:pt>
                <c:pt idx="9">
                  <c:v>8.1504702194357362E-2</c:v>
                </c:pt>
                <c:pt idx="10">
                  <c:v>6.8965517241379309E-2</c:v>
                </c:pt>
                <c:pt idx="11">
                  <c:v>6.8965517241379309E-2</c:v>
                </c:pt>
                <c:pt idx="12">
                  <c:v>4.7021943573667714E-2</c:v>
                </c:pt>
                <c:pt idx="13">
                  <c:v>4.0752351097178681E-2</c:v>
                </c:pt>
                <c:pt idx="14">
                  <c:v>3.1347962382445138E-2</c:v>
                </c:pt>
                <c:pt idx="15">
                  <c:v>2.1943573667711599E-2</c:v>
                </c:pt>
                <c:pt idx="16">
                  <c:v>2.1943573667711599E-2</c:v>
                </c:pt>
                <c:pt idx="17">
                  <c:v>1.8808777429467086E-2</c:v>
                </c:pt>
                <c:pt idx="18">
                  <c:v>1.2539184952978056E-2</c:v>
                </c:pt>
                <c:pt idx="19">
                  <c:v>9.4043887147335428E-3</c:v>
                </c:pt>
                <c:pt idx="20">
                  <c:v>9.4043887147335428E-3</c:v>
                </c:pt>
                <c:pt idx="21">
                  <c:v>6.269592476489028E-3</c:v>
                </c:pt>
                <c:pt idx="22">
                  <c:v>3.134796238244514E-3</c:v>
                </c:pt>
                <c:pt idx="23">
                  <c:v>0</c:v>
                </c:pt>
                <c:pt idx="24">
                  <c:v>0</c:v>
                </c:pt>
                <c:pt idx="25">
                  <c:v>0</c:v>
                </c:pt>
                <c:pt idx="26">
                  <c:v>0</c:v>
                </c:pt>
              </c:numCache>
            </c:numRef>
          </c:val>
          <c:extLst>
            <c:ext xmlns:c16="http://schemas.microsoft.com/office/drawing/2014/chart" uri="{C3380CC4-5D6E-409C-BE32-E72D297353CC}">
              <c16:uniqueId val="{00000000-9337-444B-B2FC-2058D7C65BAA}"/>
            </c:ext>
          </c:extLst>
        </c:ser>
        <c:ser>
          <c:idx val="1"/>
          <c:order val="1"/>
          <c:tx>
            <c:strRef>
              <c:f>Sheet2!$AI$20</c:f>
              <c:strCache>
                <c:ptCount val="1"/>
                <c:pt idx="0">
                  <c:v>% complete FD cohort</c:v>
                </c:pt>
              </c:strCache>
            </c:strRef>
          </c:tx>
          <c:spPr>
            <a:solidFill>
              <a:schemeClr val="accent1">
                <a:lumMod val="40000"/>
                <a:lumOff val="60000"/>
              </a:schemeClr>
            </a:solidFill>
            <a:ln>
              <a:noFill/>
            </a:ln>
            <a:effectLst/>
          </c:spPr>
          <c:invertIfNegative val="0"/>
          <c:cat>
            <c:strRef>
              <c:f>Sheet2!$AG$21:$AG$47</c:f>
              <c:strCache>
                <c:ptCount val="27"/>
                <c:pt idx="0">
                  <c:v>Housing affordability stress</c:v>
                </c:pt>
                <c:pt idx="1">
                  <c:v>Housing crisis (e.g. eviction)</c:v>
                </c:pt>
                <c:pt idx="2">
                  <c:v>Lack of family and/or community support</c:v>
                </c:pt>
                <c:pt idx="3">
                  <c:v>Inadequate or inappropriate dwelling conditions</c:v>
                </c:pt>
                <c:pt idx="4">
                  <c:v>Medical issues</c:v>
                </c:pt>
                <c:pt idx="5">
                  <c:v>Mental health issues</c:v>
                </c:pt>
                <c:pt idx="6">
                  <c:v>Previous accommodation ended</c:v>
                </c:pt>
                <c:pt idx="7">
                  <c:v>Financial difficulties</c:v>
                </c:pt>
                <c:pt idx="8">
                  <c:v>Relationship/family breakdown</c:v>
                </c:pt>
                <c:pt idx="9">
                  <c:v>Itinerant</c:v>
                </c:pt>
                <c:pt idx="10">
                  <c:v>Time out from family/other situation</c:v>
                </c:pt>
                <c:pt idx="11">
                  <c:v>Domestic and family violence</c:v>
                </c:pt>
                <c:pt idx="12">
                  <c:v>Non-family violence</c:v>
                </c:pt>
                <c:pt idx="13">
                  <c:v>Other</c:v>
                </c:pt>
                <c:pt idx="14">
                  <c:v>Unemployment</c:v>
                </c:pt>
                <c:pt idx="15">
                  <c:v>Transition from other care arrangements</c:v>
                </c:pt>
                <c:pt idx="16">
                  <c:v>Unable to return home due to environmental reasons</c:v>
                </c:pt>
                <c:pt idx="17">
                  <c:v>Problematic alcohol use</c:v>
                </c:pt>
                <c:pt idx="18">
                  <c:v>Problematic drug or substance use</c:v>
                </c:pt>
                <c:pt idx="19">
                  <c:v>Sexual abuse</c:v>
                </c:pt>
                <c:pt idx="20">
                  <c:v>Transition from custodial arrangements</c:v>
                </c:pt>
                <c:pt idx="21">
                  <c:v>Employment difficulties </c:v>
                </c:pt>
                <c:pt idx="22">
                  <c:v>Problematic gambling</c:v>
                </c:pt>
                <c:pt idx="23">
                  <c:v>Disengagement with school or other education and training</c:v>
                </c:pt>
                <c:pt idx="24">
                  <c:v>Discrimination including racial and sexual</c:v>
                </c:pt>
                <c:pt idx="25">
                  <c:v>Transition from foster care and child safety residential placements </c:v>
                </c:pt>
                <c:pt idx="26">
                  <c:v>Don't know</c:v>
                </c:pt>
              </c:strCache>
            </c:strRef>
          </c:cat>
          <c:val>
            <c:numRef>
              <c:f>Sheet2!$AI$21:$AI$47</c:f>
              <c:numCache>
                <c:formatCode>0.0%</c:formatCode>
                <c:ptCount val="27"/>
                <c:pt idx="0">
                  <c:v>0.44</c:v>
                </c:pt>
                <c:pt idx="1">
                  <c:v>0.46300000000000002</c:v>
                </c:pt>
                <c:pt idx="2">
                  <c:v>0.39900000000000002</c:v>
                </c:pt>
                <c:pt idx="3">
                  <c:v>0.39700000000000002</c:v>
                </c:pt>
                <c:pt idx="4">
                  <c:v>0.16400000000000001</c:v>
                </c:pt>
                <c:pt idx="5">
                  <c:v>0.28299999999999997</c:v>
                </c:pt>
                <c:pt idx="6">
                  <c:v>0.28799999999999998</c:v>
                </c:pt>
                <c:pt idx="7">
                  <c:v>0.193</c:v>
                </c:pt>
                <c:pt idx="8">
                  <c:v>0.217</c:v>
                </c:pt>
                <c:pt idx="9">
                  <c:v>7.1999999999999995E-2</c:v>
                </c:pt>
                <c:pt idx="10">
                  <c:v>0.13700000000000001</c:v>
                </c:pt>
                <c:pt idx="11">
                  <c:v>0.156</c:v>
                </c:pt>
                <c:pt idx="12">
                  <c:v>6.3E-2</c:v>
                </c:pt>
                <c:pt idx="13">
                  <c:v>2.5000000000000001E-2</c:v>
                </c:pt>
                <c:pt idx="14">
                  <c:v>6.8000000000000005E-2</c:v>
                </c:pt>
                <c:pt idx="15">
                  <c:v>1.7000000000000001E-2</c:v>
                </c:pt>
                <c:pt idx="16">
                  <c:v>2.3E-2</c:v>
                </c:pt>
                <c:pt idx="17">
                  <c:v>1.9E-2</c:v>
                </c:pt>
                <c:pt idx="18">
                  <c:v>2.5999999999999999E-2</c:v>
                </c:pt>
                <c:pt idx="19">
                  <c:v>8.0000000000000002E-3</c:v>
                </c:pt>
                <c:pt idx="20">
                  <c:v>2.1000000000000001E-2</c:v>
                </c:pt>
                <c:pt idx="21">
                  <c:v>1.9E-2</c:v>
                </c:pt>
                <c:pt idx="22">
                  <c:v>1E-3</c:v>
                </c:pt>
                <c:pt idx="23">
                  <c:v>3.0000000000000001E-3</c:v>
                </c:pt>
                <c:pt idx="24">
                  <c:v>3.0000000000000001E-3</c:v>
                </c:pt>
                <c:pt idx="25">
                  <c:v>4.0000000000000001E-3</c:v>
                </c:pt>
                <c:pt idx="26">
                  <c:v>2E-3</c:v>
                </c:pt>
              </c:numCache>
            </c:numRef>
          </c:val>
          <c:extLst>
            <c:ext xmlns:c16="http://schemas.microsoft.com/office/drawing/2014/chart" uri="{C3380CC4-5D6E-409C-BE32-E72D297353CC}">
              <c16:uniqueId val="{00000001-9337-444B-B2FC-2058D7C65BAA}"/>
            </c:ext>
          </c:extLst>
        </c:ser>
        <c:dLbls>
          <c:showLegendKey val="0"/>
          <c:showVal val="0"/>
          <c:showCatName val="0"/>
          <c:showSerName val="0"/>
          <c:showPercent val="0"/>
          <c:showBubbleSize val="0"/>
        </c:dLbls>
        <c:gapWidth val="150"/>
        <c:axId val="2085330031"/>
        <c:axId val="367313871"/>
      </c:barChart>
      <c:catAx>
        <c:axId val="20853300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313871"/>
        <c:crosses val="autoZero"/>
        <c:auto val="1"/>
        <c:lblAlgn val="ctr"/>
        <c:lblOffset val="100"/>
        <c:noMultiLvlLbl val="0"/>
      </c:catAx>
      <c:valAx>
        <c:axId val="36731387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3300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'Final DS homeless last month'!$S$13</c:f>
              <c:strCache>
                <c:ptCount val="1"/>
                <c:pt idx="0">
                  <c:v>% 'Sleeping rough'</c:v>
                </c:pt>
              </c:strCache>
            </c:strRef>
          </c:tx>
          <c:spPr>
            <a:solidFill>
              <a:schemeClr val="accent1"/>
            </a:solidFill>
            <a:ln>
              <a:noFill/>
            </a:ln>
            <a:effectLst/>
          </c:spPr>
          <c:invertIfNegative val="0"/>
          <c:cat>
            <c:strRef>
              <c:f>'Final DS homeless last month'!$R$14:$R$22</c:f>
              <c:strCache>
                <c:ptCount val="9"/>
                <c:pt idx="0">
                  <c:v>45-49</c:v>
                </c:pt>
                <c:pt idx="1">
                  <c:v>50-54</c:v>
                </c:pt>
                <c:pt idx="2">
                  <c:v>55-59</c:v>
                </c:pt>
                <c:pt idx="3">
                  <c:v>60-64</c:v>
                </c:pt>
                <c:pt idx="4">
                  <c:v>65-69</c:v>
                </c:pt>
                <c:pt idx="5">
                  <c:v>70-74</c:v>
                </c:pt>
                <c:pt idx="6">
                  <c:v>75-79</c:v>
                </c:pt>
                <c:pt idx="7">
                  <c:v>80-84</c:v>
                </c:pt>
                <c:pt idx="8">
                  <c:v>85-89</c:v>
                </c:pt>
              </c:strCache>
            </c:strRef>
          </c:cat>
          <c:val>
            <c:numRef>
              <c:f>'Final DS homeless last month'!$S$14:$S$22</c:f>
              <c:numCache>
                <c:formatCode>0.0%</c:formatCode>
                <c:ptCount val="9"/>
                <c:pt idx="0">
                  <c:v>1.3422818791946308E-2</c:v>
                </c:pt>
                <c:pt idx="1">
                  <c:v>4.0268456375838924E-2</c:v>
                </c:pt>
                <c:pt idx="2">
                  <c:v>0.12751677852348994</c:v>
                </c:pt>
                <c:pt idx="3">
                  <c:v>6.0402684563758392E-2</c:v>
                </c:pt>
                <c:pt idx="4">
                  <c:v>4.6979865771812082E-2</c:v>
                </c:pt>
                <c:pt idx="5">
                  <c:v>4.0268456375838924E-2</c:v>
                </c:pt>
                <c:pt idx="6">
                  <c:v>0</c:v>
                </c:pt>
                <c:pt idx="7">
                  <c:v>6.7114093959731542E-3</c:v>
                </c:pt>
                <c:pt idx="8">
                  <c:v>0</c:v>
                </c:pt>
              </c:numCache>
            </c:numRef>
          </c:val>
          <c:extLst>
            <c:ext xmlns:c16="http://schemas.microsoft.com/office/drawing/2014/chart" uri="{C3380CC4-5D6E-409C-BE32-E72D297353CC}">
              <c16:uniqueId val="{00000000-8FC6-4172-AEE0-BF0F069E0A89}"/>
            </c:ext>
          </c:extLst>
        </c:ser>
        <c:ser>
          <c:idx val="1"/>
          <c:order val="1"/>
          <c:tx>
            <c:strRef>
              <c:f>'Final DS homeless last month'!$T$13</c:f>
              <c:strCache>
                <c:ptCount val="1"/>
                <c:pt idx="0">
                  <c:v>% Short-term or emergency accommodation </c:v>
                </c:pt>
              </c:strCache>
            </c:strRef>
          </c:tx>
          <c:spPr>
            <a:solidFill>
              <a:schemeClr val="accent2"/>
            </a:solidFill>
            <a:ln>
              <a:noFill/>
            </a:ln>
            <a:effectLst/>
          </c:spPr>
          <c:invertIfNegative val="0"/>
          <c:cat>
            <c:strRef>
              <c:f>'Final DS homeless last month'!$R$14:$R$22</c:f>
              <c:strCache>
                <c:ptCount val="9"/>
                <c:pt idx="0">
                  <c:v>45-49</c:v>
                </c:pt>
                <c:pt idx="1">
                  <c:v>50-54</c:v>
                </c:pt>
                <c:pt idx="2">
                  <c:v>55-59</c:v>
                </c:pt>
                <c:pt idx="3">
                  <c:v>60-64</c:v>
                </c:pt>
                <c:pt idx="4">
                  <c:v>65-69</c:v>
                </c:pt>
                <c:pt idx="5">
                  <c:v>70-74</c:v>
                </c:pt>
                <c:pt idx="6">
                  <c:v>75-79</c:v>
                </c:pt>
                <c:pt idx="7">
                  <c:v>80-84</c:v>
                </c:pt>
                <c:pt idx="8">
                  <c:v>85-89</c:v>
                </c:pt>
              </c:strCache>
            </c:strRef>
          </c:cat>
          <c:val>
            <c:numRef>
              <c:f>'Final DS homeless last month'!$T$14:$T$22</c:f>
              <c:numCache>
                <c:formatCode>0</c:formatCode>
                <c:ptCount val="9"/>
                <c:pt idx="0">
                  <c:v>8.0536912751677847E-2</c:v>
                </c:pt>
                <c:pt idx="1">
                  <c:v>4.6979865771812082E-2</c:v>
                </c:pt>
                <c:pt idx="2">
                  <c:v>0.22818791946308725</c:v>
                </c:pt>
                <c:pt idx="3">
                  <c:v>0.13422818791946309</c:v>
                </c:pt>
                <c:pt idx="4">
                  <c:v>9.3959731543624164E-2</c:v>
                </c:pt>
                <c:pt idx="5">
                  <c:v>6.0402684563758392E-2</c:v>
                </c:pt>
                <c:pt idx="6">
                  <c:v>2.0134228187919462E-2</c:v>
                </c:pt>
                <c:pt idx="7">
                  <c:v>2.0134228187919462E-2</c:v>
                </c:pt>
                <c:pt idx="8">
                  <c:v>6.7114093959731542E-3</c:v>
                </c:pt>
              </c:numCache>
            </c:numRef>
          </c:val>
          <c:extLst>
            <c:ext xmlns:c16="http://schemas.microsoft.com/office/drawing/2014/chart" uri="{C3380CC4-5D6E-409C-BE32-E72D297353CC}">
              <c16:uniqueId val="{00000001-8FC6-4172-AEE0-BF0F069E0A89}"/>
            </c:ext>
          </c:extLst>
        </c:ser>
        <c:dLbls>
          <c:showLegendKey val="0"/>
          <c:showVal val="0"/>
          <c:showCatName val="0"/>
          <c:showSerName val="0"/>
          <c:showPercent val="0"/>
          <c:showBubbleSize val="0"/>
        </c:dLbls>
        <c:gapWidth val="150"/>
        <c:overlap val="100"/>
        <c:axId val="179474575"/>
        <c:axId val="308525183"/>
      </c:barChart>
      <c:catAx>
        <c:axId val="17947457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 cohort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525183"/>
        <c:crosses val="autoZero"/>
        <c:auto val="1"/>
        <c:lblAlgn val="ctr"/>
        <c:lblOffset val="100"/>
        <c:noMultiLvlLbl val="0"/>
      </c:catAx>
      <c:valAx>
        <c:axId val="3085251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474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1D773-D7CC-43AB-A8D4-6992B4B8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53</Pages>
  <Words>14401</Words>
  <Characters>82087</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Claxton</dc:creator>
  <cp:keywords/>
  <dc:description/>
  <cp:lastModifiedBy>Selina Claxton</cp:lastModifiedBy>
  <cp:revision>10</cp:revision>
  <dcterms:created xsi:type="dcterms:W3CDTF">2024-05-14T03:17:00Z</dcterms:created>
  <dcterms:modified xsi:type="dcterms:W3CDTF">2024-06-24T04:49:00Z</dcterms:modified>
</cp:coreProperties>
</file>