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09FB4" w14:textId="0076A5A8" w:rsidR="00183AB6" w:rsidRDefault="00183AB6" w:rsidP="006519CA">
      <w:pPr>
        <w:pStyle w:val="Title"/>
        <w:contextualSpacing w:val="0"/>
        <w:rPr>
          <w:lang w:eastAsia="en-AU"/>
        </w:rPr>
      </w:pPr>
      <w:r>
        <w:rPr>
          <w:lang w:eastAsia="en-AU"/>
        </w:rPr>
        <w:t>Policy Brief:</w:t>
      </w:r>
    </w:p>
    <w:p w14:paraId="62BDCC2F" w14:textId="77777777" w:rsidR="00183AB6" w:rsidRPr="00183AB6" w:rsidRDefault="00183AB6" w:rsidP="006519CA">
      <w:pPr>
        <w:rPr>
          <w:lang w:eastAsia="en-AU"/>
        </w:rPr>
      </w:pPr>
    </w:p>
    <w:p w14:paraId="385FE822" w14:textId="79BF24B8" w:rsidR="00625CB3" w:rsidRPr="007E206F" w:rsidRDefault="00FA49EF" w:rsidP="006519CA">
      <w:pPr>
        <w:pStyle w:val="Title"/>
        <w:contextualSpacing w:val="0"/>
        <w:rPr>
          <w:lang w:eastAsia="en-AU"/>
        </w:rPr>
      </w:pPr>
      <w:r w:rsidRPr="007E206F">
        <w:rPr>
          <w:lang w:eastAsia="en-AU"/>
        </w:rPr>
        <w:t>Housing Security for Older Tasmanians</w:t>
      </w:r>
      <w:r w:rsidR="00625CB3" w:rsidRPr="007E206F">
        <w:rPr>
          <w:lang w:eastAsia="en-AU"/>
        </w:rPr>
        <w:t xml:space="preserve"> </w:t>
      </w:r>
    </w:p>
    <w:p w14:paraId="26DEEFDC" w14:textId="4FBE7FC7" w:rsidR="00625CB3" w:rsidRDefault="00625CB3" w:rsidP="006519CA">
      <w:pPr>
        <w:rPr>
          <w:lang w:eastAsia="en-AU"/>
        </w:rPr>
      </w:pPr>
    </w:p>
    <w:p w14:paraId="0E2443D6" w14:textId="03CD4CD9" w:rsidR="00E6121B" w:rsidRDefault="00E6121B" w:rsidP="006519CA">
      <w:pPr>
        <w:rPr>
          <w:lang w:eastAsia="en-AU"/>
        </w:rPr>
      </w:pPr>
    </w:p>
    <w:p w14:paraId="21951B8A" w14:textId="4EC29C4A" w:rsidR="00217D85" w:rsidRDefault="00183AB6" w:rsidP="006519CA">
      <w:pPr>
        <w:rPr>
          <w:lang w:eastAsia="en-AU"/>
        </w:rPr>
      </w:pPr>
      <w:r>
        <w:rPr>
          <w:lang w:eastAsia="en-AU"/>
        </w:rPr>
        <w:t>Social Action and Research Centre</w:t>
      </w:r>
    </w:p>
    <w:p w14:paraId="1AF28F3D" w14:textId="666DCE28" w:rsidR="00183AB6" w:rsidRDefault="00183AB6" w:rsidP="006519CA">
      <w:pPr>
        <w:rPr>
          <w:lang w:eastAsia="en-AU"/>
        </w:rPr>
      </w:pPr>
    </w:p>
    <w:p w14:paraId="1D8ABAD0" w14:textId="1802D939" w:rsidR="00183AB6" w:rsidRDefault="00183AB6" w:rsidP="006519CA">
      <w:pPr>
        <w:rPr>
          <w:lang w:eastAsia="en-AU"/>
        </w:rPr>
      </w:pPr>
      <w:r>
        <w:rPr>
          <w:lang w:eastAsia="en-AU"/>
        </w:rPr>
        <w:t>Anglicare Tasmania</w:t>
      </w:r>
    </w:p>
    <w:p w14:paraId="46B7F2E0" w14:textId="4C9E7882" w:rsidR="00217D85" w:rsidRDefault="00217D85" w:rsidP="006519CA">
      <w:pPr>
        <w:rPr>
          <w:lang w:eastAsia="en-AU"/>
        </w:rPr>
      </w:pPr>
      <w:r>
        <w:rPr>
          <w:lang w:eastAsia="en-AU"/>
        </w:rPr>
        <w:br w:type="page"/>
      </w:r>
    </w:p>
    <w:p w14:paraId="46D4FE42" w14:textId="285EAC67" w:rsidR="008512B8" w:rsidRDefault="00571896" w:rsidP="006519CA">
      <w:pPr>
        <w:pStyle w:val="Heading1"/>
        <w:rPr>
          <w:rFonts w:eastAsia="Times New Roman"/>
          <w:lang w:eastAsia="en-AU"/>
        </w:rPr>
      </w:pPr>
      <w:r>
        <w:rPr>
          <w:rFonts w:eastAsia="Times New Roman"/>
          <w:lang w:eastAsia="en-AU"/>
        </w:rPr>
        <w:lastRenderedPageBreak/>
        <w:t>Overview</w:t>
      </w:r>
    </w:p>
    <w:p w14:paraId="742AF26E" w14:textId="77777777" w:rsidR="005B4D40" w:rsidRPr="007E206F" w:rsidRDefault="008512B8" w:rsidP="006519CA">
      <w:r w:rsidRPr="007E206F">
        <w:t xml:space="preserve">Older Tasmanians </w:t>
      </w:r>
      <w:r w:rsidR="005B4D40" w:rsidRPr="007E206F">
        <w:t>are experiencing increasing housing insecurit</w:t>
      </w:r>
      <w:r w:rsidR="00CD1D5F" w:rsidRPr="007E206F">
        <w:t xml:space="preserve">y </w:t>
      </w:r>
      <w:r w:rsidR="00322C55" w:rsidRPr="007E206F">
        <w:t xml:space="preserve">and the underlying cause is a lack of </w:t>
      </w:r>
      <w:r w:rsidR="001873BA" w:rsidRPr="007E206F">
        <w:t xml:space="preserve">affordable </w:t>
      </w:r>
      <w:r w:rsidR="00322C55" w:rsidRPr="007E206F">
        <w:t>housing</w:t>
      </w:r>
      <w:r w:rsidR="001873BA" w:rsidRPr="007E206F">
        <w:t xml:space="preserve"> that is appropriate for older Tasmanians</w:t>
      </w:r>
      <w:r w:rsidR="005B4D40" w:rsidRPr="007E206F">
        <w:t xml:space="preserve">. </w:t>
      </w:r>
    </w:p>
    <w:p w14:paraId="2EA3589A" w14:textId="079CC646" w:rsidR="00EB7CFC" w:rsidRPr="00CB6A6D" w:rsidRDefault="005B4D40" w:rsidP="006519CA">
      <w:r w:rsidRPr="00CB6A6D">
        <w:t xml:space="preserve">Urgent action is needed </w:t>
      </w:r>
      <w:r w:rsidRPr="005C5342">
        <w:t xml:space="preserve">to </w:t>
      </w:r>
      <w:r w:rsidR="00EB7CFC" w:rsidRPr="005C5342">
        <w:t>enable older</w:t>
      </w:r>
      <w:r w:rsidR="00EB7CFC" w:rsidRPr="00CB6A6D">
        <w:t xml:space="preserve"> Tasmanians to ‘age in place’ in their local communit</w:t>
      </w:r>
      <w:r w:rsidR="007E206F">
        <w:t>ies</w:t>
      </w:r>
      <w:r w:rsidR="00EB7CFC" w:rsidRPr="00CB6A6D">
        <w:t xml:space="preserve">, </w:t>
      </w:r>
      <w:r w:rsidR="007E206F">
        <w:t xml:space="preserve">to </w:t>
      </w:r>
      <w:r w:rsidRPr="00CB6A6D">
        <w:t>reduce the</w:t>
      </w:r>
      <w:r w:rsidR="00EB7CFC" w:rsidRPr="00CB6A6D">
        <w:t>ir</w:t>
      </w:r>
      <w:r w:rsidRPr="00CB6A6D">
        <w:t xml:space="preserve"> experience and risk of homelessness and housing insecurit</w:t>
      </w:r>
      <w:r w:rsidR="00EB7CFC" w:rsidRPr="00CB6A6D">
        <w:t>y</w:t>
      </w:r>
      <w:r w:rsidR="007E206F">
        <w:t>,</w:t>
      </w:r>
      <w:r w:rsidR="00EB7CFC" w:rsidRPr="00CB6A6D">
        <w:t xml:space="preserve"> </w:t>
      </w:r>
      <w:r w:rsidRPr="00CB6A6D">
        <w:t xml:space="preserve">and </w:t>
      </w:r>
      <w:r w:rsidR="007E206F">
        <w:t xml:space="preserve">to </w:t>
      </w:r>
      <w:r w:rsidRPr="00CB6A6D">
        <w:t>improve the</w:t>
      </w:r>
      <w:r w:rsidR="00EB7CFC" w:rsidRPr="00CB6A6D">
        <w:t>ir</w:t>
      </w:r>
      <w:r w:rsidRPr="00CB6A6D">
        <w:t xml:space="preserve"> physical and mental health and wellbeing</w:t>
      </w:r>
      <w:r w:rsidR="00EB7CFC" w:rsidRPr="00CB6A6D">
        <w:t>.</w:t>
      </w:r>
    </w:p>
    <w:p w14:paraId="4B8AE27D" w14:textId="279E6A15" w:rsidR="00EB7CFC" w:rsidRPr="00CB6A6D" w:rsidRDefault="00EB7CFC" w:rsidP="006519CA">
      <w:r w:rsidRPr="00CB6A6D">
        <w:t>We call on the Tasmanian and Australian Governments t</w:t>
      </w:r>
      <w:r w:rsidR="00CD1D5F" w:rsidRPr="00CB6A6D">
        <w:t xml:space="preserve">o accelerate </w:t>
      </w:r>
      <w:r w:rsidR="00322C55" w:rsidRPr="00CB6A6D">
        <w:t xml:space="preserve">and prioritise </w:t>
      </w:r>
      <w:r w:rsidR="00CD1D5F" w:rsidRPr="00CB6A6D">
        <w:t xml:space="preserve">action to increase housing supply, including </w:t>
      </w:r>
      <w:r w:rsidRPr="00CB6A6D">
        <w:t>build</w:t>
      </w:r>
      <w:r w:rsidR="00CD1D5F" w:rsidRPr="00CB6A6D">
        <w:t>ing</w:t>
      </w:r>
      <w:r w:rsidRPr="00CB6A6D">
        <w:t xml:space="preserve"> more social and affordable</w:t>
      </w:r>
      <w:r w:rsidR="005B4D40" w:rsidRPr="00CB6A6D">
        <w:t xml:space="preserve"> </w:t>
      </w:r>
      <w:r w:rsidRPr="00CB6A6D">
        <w:t>housing</w:t>
      </w:r>
      <w:r w:rsidR="008A3516">
        <w:t>,</w:t>
      </w:r>
      <w:r w:rsidR="00CD1D5F" w:rsidRPr="00CB6A6D">
        <w:t xml:space="preserve"> and</w:t>
      </w:r>
      <w:r w:rsidR="007E206F">
        <w:t xml:space="preserve"> to</w:t>
      </w:r>
      <w:r w:rsidR="00CD1D5F" w:rsidRPr="00CB6A6D">
        <w:t>:</w:t>
      </w:r>
    </w:p>
    <w:p w14:paraId="2A1FA762" w14:textId="246F1ADC" w:rsidR="007E1A1D" w:rsidRPr="00CB6A6D" w:rsidRDefault="003F78CA" w:rsidP="006519CA">
      <w:pPr>
        <w:pStyle w:val="ListParagraph"/>
        <w:numPr>
          <w:ilvl w:val="0"/>
          <w:numId w:val="13"/>
        </w:numPr>
        <w:contextualSpacing w:val="0"/>
      </w:pPr>
      <w:r w:rsidRPr="00CB6A6D">
        <w:t>e</w:t>
      </w:r>
      <w:r w:rsidR="00EB7CFC" w:rsidRPr="00CB6A6D">
        <w:t>nsur</w:t>
      </w:r>
      <w:r w:rsidR="007E1A1D" w:rsidRPr="00CB6A6D">
        <w:t>e</w:t>
      </w:r>
      <w:r w:rsidR="00EB7CFC" w:rsidRPr="00CB6A6D">
        <w:t xml:space="preserve"> the </w:t>
      </w:r>
      <w:r w:rsidR="007E206F">
        <w:t>s</w:t>
      </w:r>
      <w:r w:rsidR="00EB7CFC" w:rsidRPr="00CB6A6D">
        <w:t>tate’s housing supply meets current</w:t>
      </w:r>
      <w:r w:rsidR="007E1A1D" w:rsidRPr="00CB6A6D">
        <w:t xml:space="preserve"> </w:t>
      </w:r>
      <w:r w:rsidR="00EB7CFC" w:rsidRPr="00CB6A6D">
        <w:t xml:space="preserve">and projected needs </w:t>
      </w:r>
    </w:p>
    <w:p w14:paraId="1B652981" w14:textId="4F22C2EF" w:rsidR="007E1A1D" w:rsidRPr="00CB6A6D" w:rsidRDefault="003F78CA" w:rsidP="006519CA">
      <w:pPr>
        <w:pStyle w:val="ListParagraph"/>
        <w:numPr>
          <w:ilvl w:val="0"/>
          <w:numId w:val="13"/>
        </w:numPr>
        <w:contextualSpacing w:val="0"/>
      </w:pPr>
      <w:r w:rsidRPr="00CB6A6D">
        <w:t>p</w:t>
      </w:r>
      <w:r w:rsidR="007E1A1D" w:rsidRPr="00CB6A6D">
        <w:t>rovide appropriate homes and supports for people to age in place in their communit</w:t>
      </w:r>
      <w:r w:rsidR="007E206F">
        <w:t>ies</w:t>
      </w:r>
      <w:r w:rsidR="007E1A1D" w:rsidRPr="00CB6A6D">
        <w:t xml:space="preserve">, reducing the need for older people to move </w:t>
      </w:r>
    </w:p>
    <w:p w14:paraId="12F5F79B" w14:textId="77777777" w:rsidR="007E1A1D" w:rsidRPr="00CB6A6D" w:rsidRDefault="003F78CA" w:rsidP="006519CA">
      <w:pPr>
        <w:pStyle w:val="ListParagraph"/>
        <w:numPr>
          <w:ilvl w:val="0"/>
          <w:numId w:val="13"/>
        </w:numPr>
        <w:contextualSpacing w:val="0"/>
      </w:pPr>
      <w:r w:rsidRPr="00CB6A6D">
        <w:t>i</w:t>
      </w:r>
      <w:r w:rsidR="00EB7CFC" w:rsidRPr="00CB6A6D">
        <w:t xml:space="preserve">ncrease the housing security of older renters </w:t>
      </w:r>
    </w:p>
    <w:p w14:paraId="0128C290" w14:textId="039D2B30" w:rsidR="00CC1A0D" w:rsidRPr="00CB6A6D" w:rsidRDefault="007E206F" w:rsidP="006519CA">
      <w:pPr>
        <w:pStyle w:val="ListParagraph"/>
        <w:numPr>
          <w:ilvl w:val="0"/>
          <w:numId w:val="13"/>
        </w:numPr>
        <w:contextualSpacing w:val="0"/>
      </w:pPr>
      <w:r>
        <w:t>p</w:t>
      </w:r>
      <w:r w:rsidR="00CC1A0D" w:rsidRPr="00CB6A6D">
        <w:t>rovide specific supports to assist older Tasmanians navigating the property market</w:t>
      </w:r>
    </w:p>
    <w:p w14:paraId="13BCCC35" w14:textId="3F8E742E" w:rsidR="00EB7CFC" w:rsidRDefault="007E206F" w:rsidP="006519CA">
      <w:pPr>
        <w:pStyle w:val="ListParagraph"/>
        <w:numPr>
          <w:ilvl w:val="0"/>
          <w:numId w:val="13"/>
        </w:numPr>
        <w:contextualSpacing w:val="0"/>
      </w:pPr>
      <w:r>
        <w:t>i</w:t>
      </w:r>
      <w:r w:rsidR="00EB7CFC" w:rsidRPr="00CB6A6D">
        <w:t>mprove housing security and equity for groups of people at higher risk</w:t>
      </w:r>
      <w:r>
        <w:t>.</w:t>
      </w:r>
    </w:p>
    <w:p w14:paraId="22CC5880" w14:textId="292CB94E" w:rsidR="00183AB6" w:rsidRDefault="00183AB6" w:rsidP="006519CA">
      <w:r>
        <w:br w:type="page"/>
      </w:r>
    </w:p>
    <w:p w14:paraId="063ABA03" w14:textId="02B7CA0E" w:rsidR="00BE6E84" w:rsidRPr="00F53CA6" w:rsidRDefault="00F53CA6" w:rsidP="006519CA">
      <w:pPr>
        <w:pStyle w:val="Heading1"/>
      </w:pPr>
      <w:r>
        <w:lastRenderedPageBreak/>
        <w:t>W</w:t>
      </w:r>
      <w:r w:rsidR="0031004D" w:rsidRPr="00F53CA6">
        <w:t>hy is</w:t>
      </w:r>
      <w:r w:rsidR="0003692C">
        <w:t xml:space="preserve"> this issue </w:t>
      </w:r>
      <w:r w:rsidR="00E30CA0" w:rsidRPr="00F53CA6">
        <w:t>important now?</w:t>
      </w:r>
    </w:p>
    <w:p w14:paraId="0EE4BD0F" w14:textId="6FB94A58" w:rsidR="0003692C" w:rsidRDefault="0003692C" w:rsidP="006519CA">
      <w:r>
        <w:t xml:space="preserve">In February 2023, Anglicare frontline workers reported an </w:t>
      </w:r>
      <w:r w:rsidR="00BA28F9">
        <w:t>increasing number of</w:t>
      </w:r>
      <w:r w:rsidR="00BA28F9" w:rsidRPr="00CB6A6D">
        <w:t xml:space="preserve"> older people</w:t>
      </w:r>
      <w:r w:rsidR="00BA28F9">
        <w:t xml:space="preserve"> </w:t>
      </w:r>
      <w:r w:rsidR="00BA28F9" w:rsidRPr="00CB6A6D">
        <w:t xml:space="preserve">presenting </w:t>
      </w:r>
      <w:r>
        <w:t xml:space="preserve">in need of housing. </w:t>
      </w:r>
      <w:r w:rsidR="006227B1">
        <w:t xml:space="preserve">In response, </w:t>
      </w:r>
      <w:r w:rsidR="00BA28F9">
        <w:t xml:space="preserve">Anglicare’s </w:t>
      </w:r>
      <w:hyperlink r:id="rId8" w:history="1">
        <w:r w:rsidR="00BA28F9" w:rsidRPr="004E75F5">
          <w:rPr>
            <w:rStyle w:val="Hyperlink"/>
            <w:i/>
          </w:rPr>
          <w:t>The Right to Belong</w:t>
        </w:r>
      </w:hyperlink>
      <w:r w:rsidR="00BA28F9">
        <w:rPr>
          <w:i/>
        </w:rPr>
        <w:t xml:space="preserve"> </w:t>
      </w:r>
      <w:r w:rsidR="00BA28F9">
        <w:t xml:space="preserve">research project explored older Tasmanians’ experience of housing insecurity. </w:t>
      </w:r>
    </w:p>
    <w:p w14:paraId="15FECC0D" w14:textId="570BD4D6" w:rsidR="00BE6E84" w:rsidRPr="000919D6" w:rsidRDefault="0003692C" w:rsidP="006519CA">
      <w:r>
        <w:t>Tasmania is experiencing an unprecedented</w:t>
      </w:r>
      <w:r w:rsidRPr="00CB6A6D">
        <w:t xml:space="preserve"> housing crisis in the context of a rapidly ageing population (see </w:t>
      </w:r>
      <w:r>
        <w:t>infographic</w:t>
      </w:r>
      <w:r w:rsidR="00183AB6">
        <w:t xml:space="preserve"> </w:t>
      </w:r>
      <w:r w:rsidR="00183AB6">
        <w:rPr>
          <w:i/>
        </w:rPr>
        <w:t>The facts</w:t>
      </w:r>
      <w:r>
        <w:t>)</w:t>
      </w:r>
      <w:r w:rsidR="007E206F">
        <w:t>.</w:t>
      </w:r>
      <w:r>
        <w:t xml:space="preserve"> </w:t>
      </w:r>
      <w:r w:rsidR="00BA28F9" w:rsidRPr="0003692C">
        <w:t>The findings and recommendations</w:t>
      </w:r>
      <w:r w:rsidR="00BA28F9">
        <w:t xml:space="preserve"> of </w:t>
      </w:r>
      <w:r>
        <w:rPr>
          <w:i/>
        </w:rPr>
        <w:t>The Right to Belong</w:t>
      </w:r>
      <w:r w:rsidR="00BA28F9">
        <w:t xml:space="preserve"> </w:t>
      </w:r>
      <w:r>
        <w:t xml:space="preserve">form the basis of this brief and call for an urgent response. </w:t>
      </w:r>
    </w:p>
    <w:p w14:paraId="18B525B2" w14:textId="7BF1048F" w:rsidR="00ED7FB2" w:rsidRPr="00CB6A6D" w:rsidRDefault="00ED7FB2" w:rsidP="006519CA">
      <w:r w:rsidRPr="00CB6A6D">
        <w:t>The housing crisis has economy</w:t>
      </w:r>
      <w:r w:rsidR="007E206F">
        <w:t>-</w:t>
      </w:r>
      <w:r w:rsidRPr="00CB6A6D">
        <w:t>wide impacts</w:t>
      </w:r>
      <w:r w:rsidR="00317A16" w:rsidRPr="00CB6A6D">
        <w:t xml:space="preserve">. </w:t>
      </w:r>
      <w:r w:rsidR="00F448F0" w:rsidRPr="00CB6A6D">
        <w:t xml:space="preserve">The current shortfall </w:t>
      </w:r>
      <w:r w:rsidR="0031004D">
        <w:t xml:space="preserve">in </w:t>
      </w:r>
      <w:r w:rsidR="00F448F0" w:rsidRPr="00CB6A6D">
        <w:t xml:space="preserve">housing supply is entrenching socioeconomic disadvantage, </w:t>
      </w:r>
      <w:r w:rsidR="0031004D">
        <w:t>undermining</w:t>
      </w:r>
      <w:r w:rsidR="00E30CA0" w:rsidRPr="00CB6A6D">
        <w:t xml:space="preserve"> efforts to reduce domestic violence, </w:t>
      </w:r>
      <w:r w:rsidR="0031004D">
        <w:t>constraining</w:t>
      </w:r>
      <w:r w:rsidR="00F448F0" w:rsidRPr="00CB6A6D">
        <w:t xml:space="preserve"> </w:t>
      </w:r>
      <w:r w:rsidR="00317A16" w:rsidRPr="00CB6A6D">
        <w:t xml:space="preserve">developmental and educational outcomes </w:t>
      </w:r>
      <w:r w:rsidR="008F5A85" w:rsidRPr="00CB6A6D">
        <w:t>for</w:t>
      </w:r>
      <w:r w:rsidR="00317A16" w:rsidRPr="00CB6A6D">
        <w:t xml:space="preserve"> </w:t>
      </w:r>
      <w:r w:rsidR="006227B1">
        <w:t>young Tasmanians</w:t>
      </w:r>
      <w:r w:rsidRPr="00CB6A6D">
        <w:t xml:space="preserve"> </w:t>
      </w:r>
      <w:r w:rsidR="00E30CA0" w:rsidRPr="00CB6A6D">
        <w:t xml:space="preserve">and </w:t>
      </w:r>
      <w:r w:rsidR="00317A16" w:rsidRPr="00CB6A6D">
        <w:t>increas</w:t>
      </w:r>
      <w:r w:rsidR="00F448F0" w:rsidRPr="00CB6A6D">
        <w:t>ing</w:t>
      </w:r>
      <w:r w:rsidR="00317A16" w:rsidRPr="00CB6A6D">
        <w:t xml:space="preserve"> intergenerational disadvantage</w:t>
      </w:r>
      <w:r w:rsidR="00E30CA0" w:rsidRPr="00CB6A6D">
        <w:t xml:space="preserve">. It is </w:t>
      </w:r>
      <w:r w:rsidR="006227B1">
        <w:t>driving up</w:t>
      </w:r>
      <w:r w:rsidR="00F448F0" w:rsidRPr="00CB6A6D">
        <w:t xml:space="preserve"> </w:t>
      </w:r>
      <w:r w:rsidRPr="00CB6A6D">
        <w:t xml:space="preserve">government spending </w:t>
      </w:r>
      <w:r w:rsidR="00F448F0" w:rsidRPr="00CB6A6D">
        <w:t xml:space="preserve">in </w:t>
      </w:r>
      <w:r w:rsidR="00E30CA0" w:rsidRPr="00CB6A6D">
        <w:t xml:space="preserve">a range of </w:t>
      </w:r>
      <w:r w:rsidR="00F448F0" w:rsidRPr="00CB6A6D">
        <w:t xml:space="preserve">areas </w:t>
      </w:r>
      <w:r w:rsidRPr="00CB6A6D">
        <w:t>including health, justice and community services</w:t>
      </w:r>
      <w:r w:rsidR="00317A16" w:rsidRPr="00CB6A6D">
        <w:t xml:space="preserve">, </w:t>
      </w:r>
      <w:r w:rsidR="0031004D">
        <w:t>and</w:t>
      </w:r>
      <w:r w:rsidR="00317A16" w:rsidRPr="00CB6A6D">
        <w:t xml:space="preserve"> </w:t>
      </w:r>
      <w:r w:rsidR="00E30CA0" w:rsidRPr="00CB6A6D">
        <w:t xml:space="preserve">also </w:t>
      </w:r>
      <w:r w:rsidR="00F448F0" w:rsidRPr="00CB6A6D">
        <w:t xml:space="preserve">reducing the effectiveness of each dollar spent. </w:t>
      </w:r>
      <w:r w:rsidR="008F5A85" w:rsidRPr="00CB6A6D">
        <w:t>It is wreaking havoc with the smooth operation of the labour market</w:t>
      </w:r>
      <w:r w:rsidR="0031004D">
        <w:t xml:space="preserve"> as workers </w:t>
      </w:r>
      <w:r w:rsidR="0096191D">
        <w:t>struggle to find housing</w:t>
      </w:r>
      <w:r w:rsidR="0031004D">
        <w:t xml:space="preserve"> near available jobs.</w:t>
      </w:r>
    </w:p>
    <w:p w14:paraId="3F7EC083" w14:textId="1C4BE0B5" w:rsidR="00E30CA0" w:rsidRPr="00CB6A6D" w:rsidRDefault="00317A16" w:rsidP="006519CA">
      <w:r w:rsidRPr="0062773E">
        <w:t xml:space="preserve">Like unpaid debt, for every month that </w:t>
      </w:r>
      <w:r w:rsidR="00F448F0" w:rsidRPr="0062773E">
        <w:t xml:space="preserve">we have insufficient housing for </w:t>
      </w:r>
      <w:r w:rsidR="007E206F">
        <w:t xml:space="preserve">every </w:t>
      </w:r>
      <w:r w:rsidR="00F448F0" w:rsidRPr="0062773E">
        <w:t>Tasmanian</w:t>
      </w:r>
      <w:r w:rsidRPr="0062773E">
        <w:t xml:space="preserve">, the long-term </w:t>
      </w:r>
      <w:r w:rsidR="00E30CA0" w:rsidRPr="0062773E">
        <w:t xml:space="preserve">impacts accumulate and </w:t>
      </w:r>
      <w:r w:rsidR="008F5A85" w:rsidRPr="0062773E">
        <w:t xml:space="preserve">further </w:t>
      </w:r>
      <w:r w:rsidR="00E30CA0" w:rsidRPr="0062773E">
        <w:t xml:space="preserve">constrain the capacity of Tasmanians to flourish and </w:t>
      </w:r>
      <w:r w:rsidR="007E206F">
        <w:t>the productivity of our economy</w:t>
      </w:r>
      <w:r w:rsidR="00E30CA0" w:rsidRPr="0062773E">
        <w:t>.</w:t>
      </w:r>
    </w:p>
    <w:p w14:paraId="5AC7B653" w14:textId="3265F2C7" w:rsidR="00E30CA0" w:rsidRDefault="008F5A85" w:rsidP="006519CA">
      <w:r w:rsidRPr="00CB6A6D">
        <w:t xml:space="preserve">The issue is not new. However, the </w:t>
      </w:r>
      <w:r w:rsidR="00115B31">
        <w:t>catastrophic</w:t>
      </w:r>
      <w:r w:rsidRPr="00CB6A6D">
        <w:t xml:space="preserve"> </w:t>
      </w:r>
      <w:r w:rsidR="00115B31">
        <w:t xml:space="preserve">impacts </w:t>
      </w:r>
      <w:r w:rsidRPr="00CB6A6D">
        <w:t xml:space="preserve">of </w:t>
      </w:r>
      <w:r w:rsidR="00115B31">
        <w:t>further delays in delivering an effective</w:t>
      </w:r>
      <w:r w:rsidR="00F00C1A" w:rsidRPr="00CB6A6D">
        <w:t xml:space="preserve"> response </w:t>
      </w:r>
      <w:r w:rsidR="00115B31">
        <w:t xml:space="preserve">to the housing crisis should make it an urgent priority </w:t>
      </w:r>
      <w:r w:rsidRPr="00CB6A6D">
        <w:t>for government.</w:t>
      </w:r>
    </w:p>
    <w:p w14:paraId="0C1F89D9" w14:textId="77777777" w:rsidR="004E75F5" w:rsidRPr="00CB6A6D" w:rsidRDefault="004E75F5" w:rsidP="006519CA"/>
    <w:p w14:paraId="6BD98A1E" w14:textId="643F3DC5" w:rsidR="00E30CA0" w:rsidRPr="00CB6A6D" w:rsidRDefault="00F53CA6" w:rsidP="006519CA">
      <w:pPr>
        <w:pStyle w:val="Heading2"/>
      </w:pPr>
      <w:r>
        <w:t>Why</w:t>
      </w:r>
      <w:r w:rsidR="00E30CA0" w:rsidRPr="00CB6A6D">
        <w:t xml:space="preserve"> focus on housing insecurity of older people? </w:t>
      </w:r>
    </w:p>
    <w:p w14:paraId="1D287E24" w14:textId="18CA1342" w:rsidR="00F7175A" w:rsidRDefault="00F00C1A" w:rsidP="006519CA">
      <w:r w:rsidRPr="00CB6A6D">
        <w:t>More than one in three Tasmanians is aged 55 or ove</w:t>
      </w:r>
      <w:r w:rsidR="00C37099" w:rsidRPr="00CB6A6D">
        <w:t>r.</w:t>
      </w:r>
      <w:r w:rsidR="00A114B4" w:rsidRPr="00CB6A6D">
        <w:t xml:space="preserve"> T</w:t>
      </w:r>
      <w:r w:rsidRPr="00CB6A6D">
        <w:t xml:space="preserve">his age group </w:t>
      </w:r>
      <w:r w:rsidR="006227B1">
        <w:t>is expected to</w:t>
      </w:r>
      <w:r w:rsidR="00A114B4" w:rsidRPr="00CB6A6D">
        <w:t xml:space="preserve"> </w:t>
      </w:r>
      <w:r w:rsidRPr="00CB6A6D">
        <w:t>account</w:t>
      </w:r>
      <w:r w:rsidR="00A114B4" w:rsidRPr="00CB6A6D">
        <w:t xml:space="preserve"> </w:t>
      </w:r>
      <w:r w:rsidRPr="00CB6A6D">
        <w:t xml:space="preserve">for </w:t>
      </w:r>
      <w:r w:rsidR="006227B1">
        <w:t xml:space="preserve">virtually </w:t>
      </w:r>
      <w:r w:rsidRPr="00CB6A6D">
        <w:t>all growth in the state’s population</w:t>
      </w:r>
      <w:r w:rsidR="00A114B4" w:rsidRPr="00CB6A6D">
        <w:t xml:space="preserve"> </w:t>
      </w:r>
      <w:r w:rsidR="006227B1">
        <w:t xml:space="preserve">over the next decade </w:t>
      </w:r>
      <w:r w:rsidR="00A114B4" w:rsidRPr="00CB6A6D">
        <w:t xml:space="preserve">and so their </w:t>
      </w:r>
      <w:r w:rsidR="00D91669" w:rsidRPr="00CB6A6D">
        <w:t>needs</w:t>
      </w:r>
      <w:r w:rsidRPr="00CB6A6D">
        <w:t xml:space="preserve"> </w:t>
      </w:r>
      <w:r w:rsidR="00A114B4" w:rsidRPr="00CB6A6D">
        <w:t>should</w:t>
      </w:r>
      <w:r w:rsidRPr="00CB6A6D">
        <w:t xml:space="preserve"> shape </w:t>
      </w:r>
      <w:r w:rsidR="00FC07C7">
        <w:t xml:space="preserve">investment in the </w:t>
      </w:r>
      <w:r w:rsidRPr="00CB6A6D">
        <w:t xml:space="preserve">new housing </w:t>
      </w:r>
      <w:r w:rsidR="00FC07C7">
        <w:t>needed to address the crisis</w:t>
      </w:r>
      <w:r w:rsidR="00A114B4" w:rsidRPr="00CB6A6D">
        <w:t xml:space="preserve">. </w:t>
      </w:r>
      <w:r w:rsidR="00D91669" w:rsidRPr="00CB6A6D">
        <w:t xml:space="preserve">However, the benefits </w:t>
      </w:r>
      <w:r w:rsidR="00115B31">
        <w:t xml:space="preserve">of expanding housing supply </w:t>
      </w:r>
      <w:r w:rsidR="00D91669" w:rsidRPr="00CB6A6D">
        <w:t>will flow to Tasmanians of all ages</w:t>
      </w:r>
      <w:r w:rsidR="00C37099" w:rsidRPr="00CB6A6D">
        <w:t xml:space="preserve">. </w:t>
      </w:r>
      <w:r w:rsidR="00115B31">
        <w:t>I</w:t>
      </w:r>
      <w:r w:rsidR="00D91669" w:rsidRPr="00CB6A6D">
        <w:t>mproved housing affordability, previously one of Tasmania’s key drawcards, will deliver greater intergenerational equity and support state growth.</w:t>
      </w:r>
    </w:p>
    <w:p w14:paraId="1B51831A" w14:textId="211F48CD" w:rsidR="00183AB6" w:rsidRDefault="00183AB6" w:rsidP="006519CA">
      <w:pPr>
        <w:rPr>
          <w:rFonts w:eastAsiaTheme="majorEastAsia" w:cstheme="majorBidi"/>
          <w:color w:val="2F5496" w:themeColor="accent1" w:themeShade="BF"/>
        </w:rPr>
      </w:pPr>
      <w:r>
        <w:rPr>
          <w:rFonts w:eastAsiaTheme="majorEastAsia" w:cstheme="majorBidi"/>
          <w:color w:val="2F5496" w:themeColor="accent1" w:themeShade="BF"/>
        </w:rPr>
        <w:br w:type="page"/>
      </w:r>
    </w:p>
    <w:p w14:paraId="2C5E67C5" w14:textId="3E17BCDF" w:rsidR="00F7175A" w:rsidRDefault="00E30CA0" w:rsidP="006519CA">
      <w:pPr>
        <w:pStyle w:val="Heading1"/>
      </w:pPr>
      <w:r>
        <w:lastRenderedPageBreak/>
        <w:t>The facts</w:t>
      </w:r>
      <w:r w:rsidR="0096191D">
        <w:t xml:space="preserve"> </w:t>
      </w:r>
    </w:p>
    <w:p w14:paraId="24608B09" w14:textId="3D877378" w:rsidR="001B48EA" w:rsidRDefault="00FF4631" w:rsidP="0037462B">
      <w:pPr>
        <w:pStyle w:val="Heading2"/>
        <w:rPr>
          <w:sz w:val="20"/>
        </w:rPr>
      </w:pPr>
      <w:r w:rsidRPr="00F7175A">
        <w:t xml:space="preserve">Affordability in the </w:t>
      </w:r>
      <w:r w:rsidR="009A29A5" w:rsidRPr="00F7175A">
        <w:t>Tasmanian</w:t>
      </w:r>
      <w:r w:rsidR="001B48EA" w:rsidRPr="00F7175A">
        <w:t xml:space="preserve"> </w:t>
      </w:r>
      <w:r w:rsidR="007E206F">
        <w:t>h</w:t>
      </w:r>
      <w:r w:rsidR="001B48EA" w:rsidRPr="00F7175A">
        <w:t xml:space="preserve">ousing </w:t>
      </w:r>
      <w:r w:rsidR="007E206F">
        <w:t>m</w:t>
      </w:r>
      <w:r w:rsidR="001B48EA" w:rsidRPr="00F7175A">
        <w:t>arket</w:t>
      </w:r>
      <w:r w:rsidRPr="00F7175A">
        <w:t xml:space="preserve"> </w:t>
      </w:r>
      <w:r w:rsidR="005C16F5" w:rsidRPr="00F7175A">
        <w:t>has never been worse</w:t>
      </w:r>
    </w:p>
    <w:p w14:paraId="42B7DEB5" w14:textId="385F2AC1" w:rsidR="00156BD4" w:rsidRPr="00287B11" w:rsidRDefault="00B73D14" w:rsidP="006519CA">
      <w:pPr>
        <w:pStyle w:val="ListParagraph"/>
        <w:numPr>
          <w:ilvl w:val="0"/>
          <w:numId w:val="14"/>
        </w:numPr>
        <w:contextualSpacing w:val="0"/>
      </w:pPr>
      <w:r w:rsidRPr="00287B11">
        <w:rPr>
          <w:noProof/>
        </w:rPr>
        <mc:AlternateContent>
          <mc:Choice Requires="wps">
            <w:drawing>
              <wp:anchor distT="0" distB="0" distL="114300" distR="114300" simplePos="0" relativeHeight="251661312" behindDoc="0" locked="0" layoutInCell="1" allowOverlap="1" wp14:anchorId="0BFDAC27" wp14:editId="3558C52D">
                <wp:simplePos x="0" y="0"/>
                <wp:positionH relativeFrom="margin">
                  <wp:posOffset>4420539</wp:posOffset>
                </wp:positionH>
                <wp:positionV relativeFrom="paragraph">
                  <wp:posOffset>113278</wp:posOffset>
                </wp:positionV>
                <wp:extent cx="1536700" cy="969645"/>
                <wp:effectExtent l="0" t="0" r="25400" b="20955"/>
                <wp:wrapSquare wrapText="bothSides"/>
                <wp:docPr id="25" name="Text Box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536700" cy="969645"/>
                        </a:xfrm>
                        <a:prstGeom prst="rect">
                          <a:avLst/>
                        </a:prstGeom>
                        <a:solidFill>
                          <a:schemeClr val="lt1"/>
                        </a:solidFill>
                        <a:ln w="6350">
                          <a:solidFill>
                            <a:prstClr val="black"/>
                          </a:solidFill>
                        </a:ln>
                      </wps:spPr>
                      <wps:txbx>
                        <w:txbxContent>
                          <w:p w14:paraId="70506D9B" w14:textId="6CD82B65" w:rsidR="003C17A2" w:rsidRPr="009A29A5" w:rsidRDefault="003C17A2" w:rsidP="00640E12">
                            <w:pPr>
                              <w:spacing w:after="0"/>
                              <w:jc w:val="center"/>
                            </w:pPr>
                            <w:r>
                              <w:t xml:space="preserve">Tasmanian </w:t>
                            </w:r>
                            <w:r w:rsidR="007E206F">
                              <w:t>h</w:t>
                            </w:r>
                            <w:r>
                              <w:t>ouse price index</w:t>
                            </w:r>
                          </w:p>
                          <w:p w14:paraId="0381E216" w14:textId="4D20E9B5" w:rsidR="003C17A2" w:rsidRPr="00640E12" w:rsidRDefault="003C17A2" w:rsidP="00640E12">
                            <w:pPr>
                              <w:spacing w:after="0"/>
                              <w:jc w:val="center"/>
                              <w:rPr>
                                <w:rFonts w:ascii="Montserrat72" w:hAnsi="Montserrat72"/>
                                <w:b/>
                                <w:sz w:val="40"/>
                                <w:szCs w:val="40"/>
                              </w:rPr>
                            </w:pPr>
                            <w:r w:rsidRPr="00640E12">
                              <w:rPr>
                                <w:rFonts w:ascii="Montserrat72" w:hAnsi="Montserrat72"/>
                                <w:b/>
                                <w:sz w:val="40"/>
                                <w:szCs w:val="40"/>
                              </w:rPr>
                              <w:sym w:font="Wingdings" w:char="F0E9"/>
                            </w:r>
                            <w:r w:rsidRPr="00640E12">
                              <w:rPr>
                                <w:rFonts w:ascii="Montserrat72" w:hAnsi="Montserrat72"/>
                                <w:b/>
                                <w:sz w:val="40"/>
                                <w:szCs w:val="40"/>
                              </w:rPr>
                              <w:t xml:space="preserve"> 34%</w:t>
                            </w:r>
                          </w:p>
                          <w:p w14:paraId="02B2B4B3" w14:textId="7524D39C" w:rsidR="003C17A2" w:rsidRPr="00FF0ADB" w:rsidRDefault="003C17A2" w:rsidP="00640E12">
                            <w:pPr>
                              <w:spacing w:after="0"/>
                              <w:jc w:val="center"/>
                            </w:pPr>
                            <w:r w:rsidRPr="00FF0ADB">
                              <w:t>since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FDAC27" id="_x0000_t202" coordsize="21600,21600" o:spt="202" path="m,l,21600r21600,l21600,xe">
                <v:stroke joinstyle="miter"/>
                <v:path gradientshapeok="t" o:connecttype="rect"/>
              </v:shapetype>
              <v:shape id="Text Box 25" o:spid="_x0000_s1026" type="#_x0000_t202" style="position:absolute;left:0;text-align:left;margin-left:348.05pt;margin-top:8.9pt;width:121pt;height:76.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" fillcolor="white [3201]" strokeweight=".5pt">
                <v:textbox>
                  <w:txbxContent>
                    <w:p w14:paraId="70506D9B" w14:textId="6CD82B65" w:rsidR="003C17A2" w:rsidRPr="009A29A5" w:rsidRDefault="003C17A2" w:rsidP="00640E12">
                      <w:pPr>
                        <w:spacing w:after="0"/>
                        <w:jc w:val="center"/>
                      </w:pPr>
                      <w:r>
                        <w:t xml:space="preserve">Tasmanian </w:t>
                      </w:r>
                      <w:r w:rsidR="007E206F">
                        <w:t>h</w:t>
                      </w:r>
                      <w:r>
                        <w:t>ouse price index</w:t>
                      </w:r>
                    </w:p>
                    <w:p w14:paraId="0381E216" w14:textId="4D20E9B5" w:rsidR="003C17A2" w:rsidRPr="00640E12" w:rsidRDefault="003C17A2" w:rsidP="00640E12">
                      <w:pPr>
                        <w:spacing w:after="0"/>
                        <w:jc w:val="center"/>
                        <w:rPr>
                          <w:rFonts w:ascii="Montserrat72" w:hAnsi="Montserrat72"/>
                          <w:b/>
                          <w:sz w:val="40"/>
                          <w:szCs w:val="40"/>
                        </w:rPr>
                      </w:pPr>
                      <w:r w:rsidRPr="00640E12">
                        <w:rPr>
                          <w:rFonts w:ascii="Montserrat72" w:hAnsi="Montserrat72"/>
                          <w:b/>
                          <w:sz w:val="40"/>
                          <w:szCs w:val="40"/>
                        </w:rPr>
                        <w:sym w:font="Wingdings" w:char="F0E9"/>
                      </w:r>
                      <w:r w:rsidRPr="00640E12">
                        <w:rPr>
                          <w:rFonts w:ascii="Montserrat72" w:hAnsi="Montserrat72"/>
                          <w:b/>
                          <w:sz w:val="40"/>
                          <w:szCs w:val="40"/>
                        </w:rPr>
                        <w:t xml:space="preserve"> 34%</w:t>
                      </w:r>
                    </w:p>
                    <w:p w14:paraId="02B2B4B3" w14:textId="7524D39C" w:rsidR="003C17A2" w:rsidRPr="00FF0ADB" w:rsidRDefault="003C17A2" w:rsidP="00640E12">
                      <w:pPr>
                        <w:spacing w:after="0"/>
                        <w:jc w:val="center"/>
                      </w:pPr>
                      <w:r w:rsidRPr="00FF0ADB">
                        <w:t>since 2020</w:t>
                      </w:r>
                    </w:p>
                  </w:txbxContent>
                </v:textbox>
                <w10:wrap type="square" anchorx="margin"/>
              </v:shape>
            </w:pict>
          </mc:Fallback>
        </mc:AlternateContent>
      </w:r>
      <w:r w:rsidR="00156BD4" w:rsidRPr="00287B11">
        <w:t>Tasmanian house prices and rents have risen sharply over the past decade to record levels</w:t>
      </w:r>
    </w:p>
    <w:p w14:paraId="703669B2" w14:textId="1065940B" w:rsidR="00C4300A" w:rsidRPr="00287B11" w:rsidRDefault="00C4300A" w:rsidP="006519CA">
      <w:pPr>
        <w:pStyle w:val="ListParagraph"/>
        <w:numPr>
          <w:ilvl w:val="0"/>
          <w:numId w:val="14"/>
        </w:numPr>
        <w:contextualSpacing w:val="0"/>
      </w:pPr>
      <w:r w:rsidRPr="00287B11">
        <w:t xml:space="preserve">Tasmania’s house price index has risen by 34% </w:t>
      </w:r>
      <w:r w:rsidR="003975F2" w:rsidRPr="00287B11">
        <w:t>since 2020</w:t>
      </w:r>
      <w:r w:rsidR="00156BD4" w:rsidRPr="00287B11">
        <w:t xml:space="preserve"> </w:t>
      </w:r>
      <w:r w:rsidR="009A29A5" w:rsidRPr="00287B11">
        <w:t>and housing affordability is at a historic low</w:t>
      </w:r>
      <w:r w:rsidR="002C5486" w:rsidRPr="00287B11">
        <w:t xml:space="preserve"> </w:t>
      </w:r>
      <w:r w:rsidR="002C5486" w:rsidRPr="00430C82">
        <w:fldChar w:fldCharType="begin"/>
      </w:r>
      <w:r w:rsidR="008C6123">
        <w:instrText xml:space="preserve"> ADDIN EN.CITE &lt;EndNote&gt;&lt;Cite&gt;&lt;Author&gt;National Housing Supply and Affordability Council&lt;/Author&gt;&lt;Year&gt;2024&lt;/Year&gt;&lt;RecNum&gt;244&lt;/RecNum&gt;&lt;DisplayText&gt;[1]&lt;/DisplayText&gt;&lt;record&gt;&lt;rec-number&gt;244&lt;/rec-number&gt;&lt;foreign-keys&gt;&lt;key app="EN" db-id="50a0w5efwezpaee0a2s5tv5b2aef0adxe9z2" timestamp="1715043260"&gt;244&lt;/key&gt;&lt;/foreign-keys&gt;&lt;ref-type name="Report"&gt;27&lt;/ref-type&gt;&lt;contributors&gt;&lt;authors&gt;&lt;author&gt;National Housing Supply and Affordability Council,&lt;/author&gt;&lt;/authors&gt;&lt;/contributors&gt;&lt;titles&gt;&lt;title&gt;State of the Housing System 2024&lt;/title&gt;&lt;/titles&gt;&lt;dates&gt;&lt;year&gt;2024&lt;/year&gt;&lt;/dates&gt;&lt;pub-location&gt;Canberra&lt;/pub-location&gt;&lt;publisher&gt;Commonwealth of Australia&lt;/publisher&gt;&lt;urls&gt;&lt;related-urls&gt;&lt;url&gt;https://nhsac.gov.au/sites/nhsac.gov.au/files/2024-05/state-of-the-housing-system-2024.pdf&lt;/url&gt;&lt;/related-urls&gt;&lt;/urls&gt;&lt;/record&gt;&lt;/Cite&gt;&lt;/EndNote&gt;</w:instrText>
      </w:r>
      <w:r w:rsidR="002C5486" w:rsidRPr="00430C82">
        <w:fldChar w:fldCharType="separate"/>
      </w:r>
      <w:r w:rsidR="002C5486" w:rsidRPr="00430C82">
        <w:rPr>
          <w:noProof/>
        </w:rPr>
        <w:t>[1]</w:t>
      </w:r>
      <w:r w:rsidR="002C5486" w:rsidRPr="00430C82">
        <w:fldChar w:fldCharType="end"/>
      </w:r>
    </w:p>
    <w:p w14:paraId="7611283E" w14:textId="7DA87E4E" w:rsidR="00C4300A" w:rsidRPr="00430C82" w:rsidRDefault="003975F2" w:rsidP="006519CA">
      <w:pPr>
        <w:pStyle w:val="ListParagraph"/>
        <w:numPr>
          <w:ilvl w:val="0"/>
          <w:numId w:val="14"/>
        </w:numPr>
        <w:contextualSpacing w:val="0"/>
      </w:pPr>
      <w:r w:rsidRPr="00287B11">
        <w:t>Hobart median rents have risen by 60% since 2016</w:t>
      </w:r>
      <w:r w:rsidR="00156BD4" w:rsidRPr="00287B11">
        <w:t xml:space="preserve"> and Hobart continues to have the (equal) lowest rental affordability in </w:t>
      </w:r>
      <w:r w:rsidR="00156BD4" w:rsidRPr="00430C82">
        <w:t>A</w:t>
      </w:r>
      <w:r w:rsidR="009A29A5" w:rsidRPr="00430C82">
        <w:t>us</w:t>
      </w:r>
      <w:r w:rsidR="00156BD4" w:rsidRPr="00430C82">
        <w:t>tralia</w:t>
      </w:r>
      <w:r w:rsidR="002C5486" w:rsidRPr="00430C82">
        <w:t xml:space="preserve"> </w:t>
      </w:r>
      <w:r w:rsidR="002C5486" w:rsidRPr="00430C82">
        <w:fldChar w:fldCharType="begin"/>
      </w:r>
      <w:r w:rsidR="002C5486" w:rsidRPr="00430C82">
        <w:instrText xml:space="preserve"> ADDIN EN.CITE &lt;EndNote&gt;&lt;Cite&gt;&lt;Author&gt;SGS Economics and Planning&lt;/Author&gt;&lt;Year&gt;2023&lt;/Year&gt;&lt;RecNum&gt;198&lt;/RecNum&gt;&lt;DisplayText&gt;[2]&lt;/DisplayText&gt;&lt;record&gt;&lt;rec-number&gt;198&lt;/rec-number&gt;&lt;foreign-keys&gt;&lt;key app="EN" db-id="50a0w5efwezpaee0a2s5tv5b2aef0adxe9z2" timestamp="1712634989"&gt;198&lt;/key&gt;&lt;/foreign-keys&gt;&lt;ref-type name="Report"&gt;27&lt;/ref-type&gt;&lt;contributors&gt;&lt;authors&gt;&lt;author&gt;SGS Economics and Planning,&lt;/author&gt;&lt;/authors&gt;&lt;tertiary-authors&gt;&lt;author&gt;SGS,&lt;/author&gt;&lt;/tertiary-authors&gt;&lt;/contributors&gt;&lt;titles&gt;&lt;title&gt;Rental Affordability Index&lt;/title&gt;&lt;/titles&gt;&lt;dates&gt;&lt;year&gt;2023&lt;/year&gt;&lt;/dates&gt;&lt;pub-location&gt;Canberra&lt;/pub-location&gt;&lt;urls&gt;&lt;/urls&gt;&lt;/record&gt;&lt;/Cite&gt;&lt;/EndNote&gt;</w:instrText>
      </w:r>
      <w:r w:rsidR="002C5486" w:rsidRPr="00430C82">
        <w:fldChar w:fldCharType="separate"/>
      </w:r>
      <w:r w:rsidR="002C5486" w:rsidRPr="00430C82">
        <w:rPr>
          <w:noProof/>
        </w:rPr>
        <w:t>[2]</w:t>
      </w:r>
      <w:r w:rsidR="002C5486" w:rsidRPr="00430C82">
        <w:fldChar w:fldCharType="end"/>
      </w:r>
    </w:p>
    <w:p w14:paraId="2CA0D4DD" w14:textId="44027830" w:rsidR="00C4300A" w:rsidRPr="00430C82" w:rsidRDefault="00183AB6" w:rsidP="006519CA">
      <w:pPr>
        <w:pStyle w:val="ListParagraph"/>
        <w:numPr>
          <w:ilvl w:val="0"/>
          <w:numId w:val="14"/>
        </w:numPr>
        <w:contextualSpacing w:val="0"/>
      </w:pPr>
      <w:r w:rsidRPr="00287B11">
        <w:rPr>
          <w:noProof/>
        </w:rPr>
        <mc:AlternateContent>
          <mc:Choice Requires="wps">
            <w:drawing>
              <wp:anchor distT="0" distB="0" distL="114300" distR="114300" simplePos="0" relativeHeight="251663360" behindDoc="0" locked="0" layoutInCell="1" allowOverlap="1" wp14:anchorId="1383F951" wp14:editId="2991157B">
                <wp:simplePos x="0" y="0"/>
                <wp:positionH relativeFrom="margin">
                  <wp:posOffset>4444365</wp:posOffset>
                </wp:positionH>
                <wp:positionV relativeFrom="paragraph">
                  <wp:posOffset>8007</wp:posOffset>
                </wp:positionV>
                <wp:extent cx="1523365" cy="818515"/>
                <wp:effectExtent l="0" t="0" r="19685" b="19685"/>
                <wp:wrapSquare wrapText="bothSides"/>
                <wp:docPr id="26" name="Text Box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523365" cy="818515"/>
                        </a:xfrm>
                        <a:prstGeom prst="rect">
                          <a:avLst/>
                        </a:prstGeom>
                        <a:solidFill>
                          <a:schemeClr val="lt1"/>
                        </a:solidFill>
                        <a:ln w="6350">
                          <a:solidFill>
                            <a:prstClr val="black"/>
                          </a:solidFill>
                        </a:ln>
                      </wps:spPr>
                      <wps:txbx>
                        <w:txbxContent>
                          <w:p w14:paraId="7F455A71" w14:textId="6617DBAA" w:rsidR="003C17A2" w:rsidRPr="009A29A5" w:rsidRDefault="003C17A2" w:rsidP="00640E12">
                            <w:pPr>
                              <w:spacing w:after="0"/>
                              <w:jc w:val="center"/>
                            </w:pPr>
                            <w:r>
                              <w:t>Hobart rents</w:t>
                            </w:r>
                          </w:p>
                          <w:p w14:paraId="22AB9079" w14:textId="187FCE95" w:rsidR="003C17A2" w:rsidRPr="00640E12" w:rsidRDefault="003C17A2" w:rsidP="00640E12">
                            <w:pPr>
                              <w:spacing w:after="0"/>
                              <w:jc w:val="center"/>
                              <w:rPr>
                                <w:rFonts w:ascii="Montserrat72" w:hAnsi="Montserrat72"/>
                                <w:b/>
                                <w:sz w:val="40"/>
                                <w:szCs w:val="40"/>
                              </w:rPr>
                            </w:pPr>
                            <w:r w:rsidRPr="00640E12">
                              <w:rPr>
                                <w:rFonts w:ascii="Montserrat72" w:hAnsi="Montserrat72"/>
                                <w:b/>
                                <w:sz w:val="40"/>
                                <w:szCs w:val="40"/>
                              </w:rPr>
                              <w:sym w:font="Wingdings" w:char="F0E9"/>
                            </w:r>
                            <w:r w:rsidRPr="00640E12">
                              <w:rPr>
                                <w:rFonts w:ascii="Montserrat72" w:hAnsi="Montserrat72"/>
                                <w:b/>
                                <w:sz w:val="40"/>
                                <w:szCs w:val="40"/>
                              </w:rPr>
                              <w:t xml:space="preserve"> 60%</w:t>
                            </w:r>
                          </w:p>
                          <w:p w14:paraId="2AD22955" w14:textId="69667698" w:rsidR="003C17A2" w:rsidRPr="00FF0ADB" w:rsidRDefault="003C17A2" w:rsidP="00640E12">
                            <w:pPr>
                              <w:spacing w:after="0"/>
                              <w:jc w:val="center"/>
                            </w:pPr>
                            <w:r w:rsidRPr="00FF0ADB">
                              <w:t>since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3F951" id="Text Box 26" o:spid="_x0000_s1027" type="#_x0000_t202" style="position:absolute;left:0;text-align:left;margin-left:349.95pt;margin-top:.65pt;width:119.95pt;height:64.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" fillcolor="white [3201]" strokeweight=".5pt">
                <v:textbox>
                  <w:txbxContent>
                    <w:p w14:paraId="7F455A71" w14:textId="6617DBAA" w:rsidR="003C17A2" w:rsidRPr="009A29A5" w:rsidRDefault="003C17A2" w:rsidP="00640E12">
                      <w:pPr>
                        <w:spacing w:after="0"/>
                        <w:jc w:val="center"/>
                      </w:pPr>
                      <w:r>
                        <w:t>Hobart rents</w:t>
                      </w:r>
                    </w:p>
                    <w:p w14:paraId="22AB9079" w14:textId="187FCE95" w:rsidR="003C17A2" w:rsidRPr="00640E12" w:rsidRDefault="003C17A2" w:rsidP="00640E12">
                      <w:pPr>
                        <w:spacing w:after="0"/>
                        <w:jc w:val="center"/>
                        <w:rPr>
                          <w:rFonts w:ascii="Montserrat72" w:hAnsi="Montserrat72"/>
                          <w:b/>
                          <w:sz w:val="40"/>
                          <w:szCs w:val="40"/>
                        </w:rPr>
                      </w:pPr>
                      <w:r w:rsidRPr="00640E12">
                        <w:rPr>
                          <w:rFonts w:ascii="Montserrat72" w:hAnsi="Montserrat72"/>
                          <w:b/>
                          <w:sz w:val="40"/>
                          <w:szCs w:val="40"/>
                        </w:rPr>
                        <w:sym w:font="Wingdings" w:char="F0E9"/>
                      </w:r>
                      <w:r w:rsidRPr="00640E12">
                        <w:rPr>
                          <w:rFonts w:ascii="Montserrat72" w:hAnsi="Montserrat72"/>
                          <w:b/>
                          <w:sz w:val="40"/>
                          <w:szCs w:val="40"/>
                        </w:rPr>
                        <w:t xml:space="preserve"> 60%</w:t>
                      </w:r>
                    </w:p>
                    <w:p w14:paraId="2AD22955" w14:textId="69667698" w:rsidR="003C17A2" w:rsidRPr="00FF0ADB" w:rsidRDefault="003C17A2" w:rsidP="00640E12">
                      <w:pPr>
                        <w:spacing w:after="0"/>
                        <w:jc w:val="center"/>
                      </w:pPr>
                      <w:r w:rsidRPr="00FF0ADB">
                        <w:t>since 2016</w:t>
                      </w:r>
                    </w:p>
                  </w:txbxContent>
                </v:textbox>
                <w10:wrap type="square" anchorx="margin"/>
              </v:shape>
            </w:pict>
          </mc:Fallback>
        </mc:AlternateContent>
      </w:r>
      <w:r w:rsidR="009A29A5" w:rsidRPr="00275926">
        <w:t>Since 2020, r</w:t>
      </w:r>
      <w:r w:rsidR="00C4300A" w:rsidRPr="00275926">
        <w:t>ental affordability in the rest of Tasmania has fallen by 17%</w:t>
      </w:r>
      <w:r w:rsidR="009A29A5" w:rsidRPr="00275926">
        <w:t xml:space="preserve"> to an all-time low </w:t>
      </w:r>
      <w:r w:rsidR="002C5486" w:rsidRPr="00430C82">
        <w:fldChar w:fldCharType="begin"/>
      </w:r>
      <w:r w:rsidR="002C5486" w:rsidRPr="00430C82">
        <w:instrText xml:space="preserve"> ADDIN EN.CITE &lt;EndNote&gt;&lt;Cite&gt;&lt;Author&gt;SGS Economics and Planning&lt;/Author&gt;&lt;Year&gt;2023&lt;/Year&gt;&lt;RecNum&gt;198&lt;/RecNum&gt;&lt;DisplayText&gt;[2]&lt;/DisplayText&gt;&lt;record&gt;&lt;rec-number&gt;198&lt;/rec-number&gt;&lt;foreign-keys&gt;&lt;key app="EN" db-id="50a0w5efwezpaee0a2s5tv5b2aef0adxe9z2" timestamp="1712634989"&gt;198&lt;/key&gt;&lt;/foreign-keys&gt;&lt;ref-type name="Report"&gt;27&lt;/ref-type&gt;&lt;contributors&gt;&lt;authors&gt;&lt;author&gt;SGS Economics and Planning,&lt;/author&gt;&lt;/authors&gt;&lt;tertiary-authors&gt;&lt;author&gt;SGS,&lt;/author&gt;&lt;/tertiary-authors&gt;&lt;/contributors&gt;&lt;titles&gt;&lt;title&gt;Rental Affordability Index&lt;/title&gt;&lt;/titles&gt;&lt;dates&gt;&lt;year&gt;2023&lt;/year&gt;&lt;/dates&gt;&lt;pub-location&gt;Canberra&lt;/pub-location&gt;&lt;urls&gt;&lt;/urls&gt;&lt;/record&gt;&lt;/Cite&gt;&lt;/EndNote&gt;</w:instrText>
      </w:r>
      <w:r w:rsidR="002C5486" w:rsidRPr="00430C82">
        <w:fldChar w:fldCharType="separate"/>
      </w:r>
      <w:r w:rsidR="002C5486" w:rsidRPr="00430C82">
        <w:rPr>
          <w:noProof/>
        </w:rPr>
        <w:t>[2]</w:t>
      </w:r>
      <w:r w:rsidR="002C5486" w:rsidRPr="00430C82">
        <w:fldChar w:fldCharType="end"/>
      </w:r>
    </w:p>
    <w:p w14:paraId="3F756830" w14:textId="6BD741AE" w:rsidR="003975F2" w:rsidRPr="00430C82" w:rsidRDefault="003975F2" w:rsidP="006519CA">
      <w:pPr>
        <w:pStyle w:val="ListParagraph"/>
        <w:numPr>
          <w:ilvl w:val="0"/>
          <w:numId w:val="14"/>
        </w:numPr>
        <w:contextualSpacing w:val="0"/>
      </w:pPr>
      <w:r w:rsidRPr="00430C82">
        <w:t>New housing supply is inadequate</w:t>
      </w:r>
      <w:r w:rsidR="005876FA" w:rsidRPr="00430C82">
        <w:t xml:space="preserve"> and s</w:t>
      </w:r>
      <w:r w:rsidR="00DF2528" w:rsidRPr="00430C82">
        <w:t>ocial housing has not kept pace with demand</w:t>
      </w:r>
      <w:r w:rsidR="00287B11" w:rsidRPr="00430C82">
        <w:t xml:space="preserve"> </w:t>
      </w:r>
      <w:r w:rsidR="00FF0ADB" w:rsidRPr="00430C82">
        <w:fldChar w:fldCharType="begin"/>
      </w:r>
      <w:r w:rsidR="008C6123">
        <w:instrText xml:space="preserve"> ADDIN EN.CITE &lt;EndNote&gt;&lt;Cite&gt;&lt;Author&gt;National Housing Supply and Affordability Council&lt;/Author&gt;&lt;Year&gt;2024&lt;/Year&gt;&lt;RecNum&gt;244&lt;/RecNum&gt;&lt;DisplayText&gt;[1]&lt;/DisplayText&gt;&lt;record&gt;&lt;rec-number&gt;244&lt;/rec-number&gt;&lt;foreign-keys&gt;&lt;key app="EN" db-id="50a0w5efwezpaee0a2s5tv5b2aef0adxe9z2" timestamp="1715043260"&gt;244&lt;/key&gt;&lt;/foreign-keys&gt;&lt;ref-type name="Report"&gt;27&lt;/ref-type&gt;&lt;contributors&gt;&lt;authors&gt;&lt;author&gt;National Housing Supply and Affordability Council,&lt;/author&gt;&lt;/authors&gt;&lt;/contributors&gt;&lt;titles&gt;&lt;title&gt;State of the Housing System 2024&lt;/title&gt;&lt;/titles&gt;&lt;dates&gt;&lt;year&gt;2024&lt;/year&gt;&lt;/dates&gt;&lt;pub-location&gt;Canberra&lt;/pub-location&gt;&lt;publisher&gt;Commonwealth of Australia&lt;/publisher&gt;&lt;urls&gt;&lt;related-urls&gt;&lt;url&gt;https://nhsac.gov.au/sites/nhsac.gov.au/files/2024-05/state-of-the-housing-system-2024.pdf&lt;/url&gt;&lt;/related-urls&gt;&lt;/urls&gt;&lt;/record&gt;&lt;/Cite&gt;&lt;/EndNote&gt;</w:instrText>
      </w:r>
      <w:r w:rsidR="00FF0ADB" w:rsidRPr="00430C82">
        <w:fldChar w:fldCharType="separate"/>
      </w:r>
      <w:r w:rsidR="00FF0ADB" w:rsidRPr="00430C82">
        <w:rPr>
          <w:noProof/>
        </w:rPr>
        <w:t>[1]</w:t>
      </w:r>
      <w:r w:rsidR="00FF0ADB" w:rsidRPr="00430C82">
        <w:fldChar w:fldCharType="end"/>
      </w:r>
    </w:p>
    <w:p w14:paraId="09874895" w14:textId="5054A2D7" w:rsidR="00183AB6" w:rsidRDefault="00183AB6" w:rsidP="006519CA"/>
    <w:p w14:paraId="46D1CD0F" w14:textId="3BFF936B" w:rsidR="00183AB6" w:rsidRPr="00A1204E" w:rsidRDefault="00183AB6" w:rsidP="0037462B">
      <w:pPr>
        <w:pStyle w:val="Heading2"/>
      </w:pPr>
      <w:r w:rsidRPr="00430C82">
        <w:rPr>
          <w:noProof/>
        </w:rPr>
        <mc:AlternateContent>
          <mc:Choice Requires="wps">
            <w:drawing>
              <wp:anchor distT="0" distB="0" distL="114300" distR="114300" simplePos="0" relativeHeight="251665408" behindDoc="0" locked="0" layoutInCell="1" allowOverlap="1" wp14:anchorId="619DF8FF" wp14:editId="3DF1EA1F">
                <wp:simplePos x="0" y="0"/>
                <wp:positionH relativeFrom="margin">
                  <wp:posOffset>4460240</wp:posOffset>
                </wp:positionH>
                <wp:positionV relativeFrom="paragraph">
                  <wp:posOffset>6985</wp:posOffset>
                </wp:positionV>
                <wp:extent cx="1526540" cy="805180"/>
                <wp:effectExtent l="0" t="0" r="16510" b="13970"/>
                <wp:wrapSquare wrapText="bothSides"/>
                <wp:docPr id="29" name="Text Box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526540" cy="805180"/>
                        </a:xfrm>
                        <a:prstGeom prst="rect">
                          <a:avLst/>
                        </a:prstGeom>
                        <a:solidFill>
                          <a:schemeClr val="lt1"/>
                        </a:solidFill>
                        <a:ln w="6350">
                          <a:solidFill>
                            <a:prstClr val="black"/>
                          </a:solidFill>
                        </a:ln>
                      </wps:spPr>
                      <wps:txbx>
                        <w:txbxContent>
                          <w:p w14:paraId="5A574F97" w14:textId="72C65164" w:rsidR="003C17A2" w:rsidRPr="00640E12" w:rsidRDefault="003C17A2" w:rsidP="00640E12">
                            <w:pPr>
                              <w:spacing w:after="0"/>
                              <w:jc w:val="center"/>
                              <w:rPr>
                                <w:rFonts w:ascii="Montserrat72" w:hAnsi="Montserrat72"/>
                                <w:b/>
                                <w:sz w:val="40"/>
                                <w:szCs w:val="40"/>
                              </w:rPr>
                            </w:pPr>
                            <w:r w:rsidRPr="00640E12">
                              <w:rPr>
                                <w:rFonts w:ascii="Montserrat72" w:hAnsi="Montserrat72"/>
                                <w:b/>
                                <w:sz w:val="40"/>
                                <w:szCs w:val="40"/>
                              </w:rPr>
                              <w:t>7 in 20</w:t>
                            </w:r>
                          </w:p>
                          <w:p w14:paraId="629530FD" w14:textId="08B1A6DE" w:rsidR="003C17A2" w:rsidRDefault="003C17A2" w:rsidP="00640E12">
                            <w:pPr>
                              <w:spacing w:after="0"/>
                              <w:jc w:val="center"/>
                            </w:pPr>
                            <w:r w:rsidRPr="006611DF">
                              <w:t>Tasmanians are aged 55+</w:t>
                            </w:r>
                          </w:p>
                          <w:p w14:paraId="42901060" w14:textId="2BD111BC" w:rsidR="003C17A2" w:rsidRPr="006611DF" w:rsidRDefault="003C17A2" w:rsidP="0064637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DF8FF" id="Text Box 29" o:spid="_x0000_s1028" type="#_x0000_t202" style="position:absolute;margin-left:351.2pt;margin-top:.55pt;width:120.2pt;height:63.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" fillcolor="white [3201]" strokeweight=".5pt">
                <v:textbox>
                  <w:txbxContent>
                    <w:p w14:paraId="5A574F97" w14:textId="72C65164" w:rsidR="003C17A2" w:rsidRPr="00640E12" w:rsidRDefault="003C17A2" w:rsidP="00640E12">
                      <w:pPr>
                        <w:spacing w:after="0"/>
                        <w:jc w:val="center"/>
                        <w:rPr>
                          <w:rFonts w:ascii="Montserrat72" w:hAnsi="Montserrat72"/>
                          <w:b/>
                          <w:sz w:val="40"/>
                          <w:szCs w:val="40"/>
                        </w:rPr>
                      </w:pPr>
                      <w:r w:rsidRPr="00640E12">
                        <w:rPr>
                          <w:rFonts w:ascii="Montserrat72" w:hAnsi="Montserrat72"/>
                          <w:b/>
                          <w:sz w:val="40"/>
                          <w:szCs w:val="40"/>
                        </w:rPr>
                        <w:t>7 in 20</w:t>
                      </w:r>
                    </w:p>
                    <w:p w14:paraId="629530FD" w14:textId="08B1A6DE" w:rsidR="003C17A2" w:rsidRDefault="003C17A2" w:rsidP="00640E12">
                      <w:pPr>
                        <w:spacing w:after="0"/>
                        <w:jc w:val="center"/>
                      </w:pPr>
                      <w:r w:rsidRPr="006611DF">
                        <w:t>Tasmanians are aged 55+</w:t>
                      </w:r>
                    </w:p>
                    <w:p w14:paraId="42901060" w14:textId="2BD111BC" w:rsidR="003C17A2" w:rsidRPr="006611DF" w:rsidRDefault="003C17A2" w:rsidP="00646379">
                      <w:r>
                        <w:t>\</w:t>
                      </w:r>
                    </w:p>
                  </w:txbxContent>
                </v:textbox>
                <w10:wrap type="square" anchorx="margin"/>
              </v:shape>
            </w:pict>
          </mc:Fallback>
        </mc:AlternateContent>
      </w:r>
      <w:r w:rsidRPr="00A1204E">
        <w:t xml:space="preserve">Home ownership </w:t>
      </w:r>
      <w:r>
        <w:t>among older Tasmanians is falling</w:t>
      </w:r>
    </w:p>
    <w:p w14:paraId="79B49B6D" w14:textId="23ED2E7C" w:rsidR="00183AB6" w:rsidRPr="00287B11" w:rsidRDefault="00183AB6" w:rsidP="006519CA">
      <w:pPr>
        <w:pStyle w:val="ListParagraph"/>
        <w:numPr>
          <w:ilvl w:val="0"/>
          <w:numId w:val="14"/>
        </w:numPr>
        <w:contextualSpacing w:val="0"/>
      </w:pPr>
      <w:r w:rsidRPr="00287B11">
        <w:t>Decreasing housing affordability is reducing home ownership rates among older Australians</w:t>
      </w:r>
    </w:p>
    <w:p w14:paraId="20BBA2C7" w14:textId="3FA258EC" w:rsidR="00183AB6" w:rsidRPr="00287B11" w:rsidRDefault="00183AB6" w:rsidP="006519CA">
      <w:pPr>
        <w:pStyle w:val="ListParagraph"/>
        <w:numPr>
          <w:ilvl w:val="0"/>
          <w:numId w:val="14"/>
        </w:numPr>
        <w:contextualSpacing w:val="0"/>
      </w:pPr>
      <w:r w:rsidRPr="00287B11">
        <w:t xml:space="preserve">The proportion of older Australians renting has increased from 18% in 1996 to 21% in 2021 </w:t>
      </w:r>
      <w:r w:rsidRPr="00287B11">
        <w:fldChar w:fldCharType="begin"/>
      </w:r>
      <w:r>
        <w:instrText xml:space="preserve"> ADDIN EN.CITE &lt;EndNote&gt;&lt;Cite&gt;&lt;Author&gt;Australian Institute of Health and Welfare&lt;/Author&gt;&lt;Year&gt;2023&lt;/Year&gt;&lt;RecNum&gt;197&lt;/RecNum&gt;&lt;DisplayText&gt;[3]&lt;/DisplayText&gt;&lt;record&gt;&lt;rec-number&gt;197&lt;/rec-number&gt;&lt;foreign-keys&gt;&lt;key app="EN" db-id="50a0w5efwezpaee0a2s5tv5b2aef0adxe9z2" timestamp="1712634808"&gt;197&lt;/key&gt;&lt;/foreign-keys&gt;&lt;ref-type name="Web Page"&gt;12&lt;/ref-type&gt;&lt;contributors&gt;&lt;authors&gt;&lt;author&gt;Australian Institute of Health and Welfare,&lt;/author&gt;&lt;/authors&gt;&lt;/contributors&gt;&lt;titles&gt;&lt;title&gt;Home ownership and housing tenure&lt;/title&gt;&lt;/titles&gt;&lt;number&gt;April 2024&lt;/number&gt;&lt;dates&gt;&lt;year&gt;2023&lt;/year&gt;&lt;/dates&gt;&lt;publisher&gt;AIHW&lt;/publisher&gt;&lt;urls&gt;&lt;related-urls&gt;&lt;url&gt;https://www.aihw.gov.au/reports/australias-welfare/home-ownership-and-housing-tenure&lt;/url&gt;&lt;/related-urls&gt;&lt;/urls&gt;&lt;/record&gt;&lt;/Cite&gt;&lt;/EndNote&gt;</w:instrText>
      </w:r>
      <w:r w:rsidRPr="00287B11">
        <w:fldChar w:fldCharType="separate"/>
      </w:r>
      <w:r>
        <w:rPr>
          <w:noProof/>
        </w:rPr>
        <w:t>[3]</w:t>
      </w:r>
      <w:r w:rsidRPr="00287B11">
        <w:fldChar w:fldCharType="end"/>
      </w:r>
      <w:r w:rsidRPr="00287B11">
        <w:t xml:space="preserve">. </w:t>
      </w:r>
    </w:p>
    <w:p w14:paraId="596081A3" w14:textId="50A6771D" w:rsidR="00183AB6" w:rsidRPr="00287B11" w:rsidRDefault="00183AB6" w:rsidP="006519CA">
      <w:pPr>
        <w:pStyle w:val="ListParagraph"/>
        <w:numPr>
          <w:ilvl w:val="0"/>
          <w:numId w:val="14"/>
        </w:numPr>
        <w:contextualSpacing w:val="0"/>
      </w:pPr>
      <w:r w:rsidRPr="00287B11">
        <w:rPr>
          <w:noProof/>
        </w:rPr>
        <mc:AlternateContent>
          <mc:Choice Requires="wps">
            <w:drawing>
              <wp:anchor distT="0" distB="0" distL="114300" distR="114300" simplePos="0" relativeHeight="251743232" behindDoc="0" locked="0" layoutInCell="1" allowOverlap="1" wp14:anchorId="665A1FC8" wp14:editId="04AF8A52">
                <wp:simplePos x="0" y="0"/>
                <wp:positionH relativeFrom="margin">
                  <wp:posOffset>4492293</wp:posOffset>
                </wp:positionH>
                <wp:positionV relativeFrom="paragraph">
                  <wp:posOffset>170457</wp:posOffset>
                </wp:positionV>
                <wp:extent cx="1510665" cy="1025525"/>
                <wp:effectExtent l="0" t="0" r="13335" b="22225"/>
                <wp:wrapSquare wrapText="bothSides"/>
                <wp:docPr id="32" name="Text Box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510665" cy="1025525"/>
                        </a:xfrm>
                        <a:prstGeom prst="rect">
                          <a:avLst/>
                        </a:prstGeom>
                        <a:solidFill>
                          <a:schemeClr val="lt1"/>
                        </a:solidFill>
                        <a:ln w="6350">
                          <a:solidFill>
                            <a:prstClr val="black"/>
                          </a:solidFill>
                        </a:ln>
                      </wps:spPr>
                      <wps:txbx>
                        <w:txbxContent>
                          <w:p w14:paraId="2E48BFF7" w14:textId="64FB860D" w:rsidR="00183AB6" w:rsidRDefault="00183AB6" w:rsidP="00183AB6">
                            <w:pPr>
                              <w:spacing w:after="0"/>
                              <w:jc w:val="center"/>
                            </w:pPr>
                            <w:r w:rsidRPr="006611DF">
                              <w:t>Tasmanian renters aged 55+</w:t>
                            </w:r>
                          </w:p>
                          <w:p w14:paraId="37F92DB0" w14:textId="77777777" w:rsidR="00183AB6" w:rsidRPr="00E15310" w:rsidRDefault="00183AB6" w:rsidP="00183AB6">
                            <w:pPr>
                              <w:spacing w:after="0"/>
                              <w:jc w:val="center"/>
                              <w:rPr>
                                <w:rFonts w:ascii="Montserrat72" w:hAnsi="Montserrat72"/>
                                <w:b/>
                                <w:sz w:val="56"/>
                              </w:rPr>
                            </w:pPr>
                            <w:r w:rsidRPr="00E15310">
                              <w:rPr>
                                <w:rFonts w:ascii="Montserrat72" w:hAnsi="Montserrat72"/>
                                <w:b/>
                                <w:sz w:val="40"/>
                              </w:rPr>
                              <w:sym w:font="Wingdings" w:char="F0E9"/>
                            </w:r>
                            <w:r w:rsidRPr="00E15310">
                              <w:rPr>
                                <w:rFonts w:ascii="Montserrat72" w:hAnsi="Montserrat72"/>
                                <w:b/>
                                <w:sz w:val="40"/>
                              </w:rPr>
                              <w:t xml:space="preserve"> 17%</w:t>
                            </w:r>
                          </w:p>
                          <w:p w14:paraId="6D5A934C" w14:textId="77777777" w:rsidR="00183AB6" w:rsidRPr="00086581" w:rsidRDefault="00183AB6" w:rsidP="00183AB6">
                            <w:pPr>
                              <w:spacing w:after="0"/>
                              <w:jc w:val="center"/>
                            </w:pPr>
                            <w:r w:rsidRPr="00086581">
                              <w:t>2023 - 2030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A1FC8" id="Text Box 32" o:spid="_x0000_s1029" type="#_x0000_t202" style="position:absolute;left:0;text-align:left;margin-left:353.7pt;margin-top:13.4pt;width:118.95pt;height:80.7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" fillcolor="white [3201]" strokeweight=".5pt">
                <v:textbox>
                  <w:txbxContent>
                    <w:p w14:paraId="2E48BFF7" w14:textId="64FB860D" w:rsidR="00183AB6" w:rsidRDefault="00183AB6" w:rsidP="00183AB6">
                      <w:pPr>
                        <w:spacing w:after="0"/>
                        <w:jc w:val="center"/>
                      </w:pPr>
                      <w:r w:rsidRPr="006611DF">
                        <w:t>Tasmanian renters aged 55+</w:t>
                      </w:r>
                    </w:p>
                    <w:p w14:paraId="37F92DB0" w14:textId="77777777" w:rsidR="00183AB6" w:rsidRPr="00E15310" w:rsidRDefault="00183AB6" w:rsidP="00183AB6">
                      <w:pPr>
                        <w:spacing w:after="0"/>
                        <w:jc w:val="center"/>
                        <w:rPr>
                          <w:rFonts w:ascii="Montserrat72" w:hAnsi="Montserrat72"/>
                          <w:b/>
                          <w:sz w:val="56"/>
                        </w:rPr>
                      </w:pPr>
                      <w:r w:rsidRPr="00E15310">
                        <w:rPr>
                          <w:rFonts w:ascii="Montserrat72" w:hAnsi="Montserrat72"/>
                          <w:b/>
                          <w:sz w:val="40"/>
                        </w:rPr>
                        <w:sym w:font="Wingdings" w:char="F0E9"/>
                      </w:r>
                      <w:r w:rsidRPr="00E15310">
                        <w:rPr>
                          <w:rFonts w:ascii="Montserrat72" w:hAnsi="Montserrat72"/>
                          <w:b/>
                          <w:sz w:val="40"/>
                        </w:rPr>
                        <w:t xml:space="preserve"> 17%</w:t>
                      </w:r>
                    </w:p>
                    <w:p w14:paraId="6D5A934C" w14:textId="77777777" w:rsidR="00183AB6" w:rsidRPr="00086581" w:rsidRDefault="00183AB6" w:rsidP="00183AB6">
                      <w:pPr>
                        <w:spacing w:after="0"/>
                        <w:jc w:val="center"/>
                      </w:pPr>
                      <w:r w:rsidRPr="00086581">
                        <w:t>2023 - 2030</w:t>
                      </w:r>
                    </w:p>
                  </w:txbxContent>
                </v:textbox>
                <w10:wrap type="square" anchorx="margin"/>
              </v:shape>
            </w:pict>
          </mc:Fallback>
        </mc:AlternateContent>
      </w:r>
      <w:r w:rsidRPr="00287B11">
        <w:t xml:space="preserve">From 2023 to 2030, it is estimated that the number of older Tasmanian renters will increase by 17% due to declining home ownership and population ageing </w:t>
      </w:r>
      <w:r w:rsidRPr="00287B11">
        <w:fldChar w:fldCharType="begin"/>
      </w:r>
      <w:r>
        <w:instrText xml:space="preserve"> ADDIN EN.CITE &lt;EndNote&gt;&lt;Cite&gt;&lt;Author&gt;Claxton&lt;/Author&gt;&lt;Year&gt;2024&lt;/Year&gt;&lt;RecNum&gt;210&lt;/RecNum&gt;&lt;DisplayText&gt;[4]&lt;/DisplayText&gt;&lt;record&gt;&lt;rec-number&gt;210&lt;/rec-number&gt;&lt;foreign-keys&gt;&lt;key app="EN" db-id="50a0w5efwezpaee0a2s5tv5b2aef0adxe9z2" timestamp="1714697860"&gt;210&lt;/key&gt;&lt;/foreign-keys&gt;&lt;ref-type name="Report"&gt;27&lt;/ref-type&gt;&lt;contributors&gt;&lt;authors&gt;&lt;author&gt;Claxton, Selina&lt;/author&gt;&lt;author&gt;Bennett, Mary&lt;/author&gt;&lt;/authors&gt;&lt;tertiary-authors&gt;&lt;author&gt;Anglicare Tasmania,&lt;/author&gt;&lt;/tertiary-authors&gt;&lt;/contributors&gt;&lt;titles&gt;&lt;title&gt;Rental Affordability Snapshot Tasmania&lt;/title&gt;&lt;/titles&gt;&lt;dates&gt;&lt;year&gt;2024&lt;/year&gt;&lt;/dates&gt;&lt;pub-location&gt;Hobart&lt;/pub-location&gt;&lt;publisher&gt;Social Action and Reseach Centre&lt;/publisher&gt;&lt;urls&gt;&lt;related-urls&gt;&lt;url&gt;https://www.anglicare-tas.org.au/research/rental-affordability-snapshot-tasmania-2024/&lt;/url&gt;&lt;/related-urls&gt;&lt;/urls&gt;&lt;/record&gt;&lt;/Cite&gt;&lt;/EndNote&gt;</w:instrText>
      </w:r>
      <w:r w:rsidRPr="00287B11">
        <w:fldChar w:fldCharType="separate"/>
      </w:r>
      <w:r>
        <w:rPr>
          <w:noProof/>
        </w:rPr>
        <w:t>[4]</w:t>
      </w:r>
      <w:r w:rsidRPr="00287B11">
        <w:fldChar w:fldCharType="end"/>
      </w:r>
      <w:r w:rsidRPr="00287B11">
        <w:t>.</w:t>
      </w:r>
    </w:p>
    <w:p w14:paraId="6D6933D8" w14:textId="63691062" w:rsidR="00183AB6" w:rsidRDefault="00183AB6" w:rsidP="006519CA"/>
    <w:p w14:paraId="06F3F6C9" w14:textId="4F1B8279" w:rsidR="00DF2528" w:rsidRDefault="006611DF" w:rsidP="0037462B">
      <w:pPr>
        <w:pStyle w:val="Heading2"/>
      </w:pPr>
      <w:r>
        <w:t>Older Tasmanians are a growing share of population</w:t>
      </w:r>
    </w:p>
    <w:p w14:paraId="2B358CA4" w14:textId="7FD6CAC1" w:rsidR="009A29A5" w:rsidRPr="00430C82" w:rsidRDefault="00183AB6" w:rsidP="006519CA">
      <w:pPr>
        <w:pStyle w:val="ListParagraph"/>
        <w:numPr>
          <w:ilvl w:val="0"/>
          <w:numId w:val="14"/>
        </w:numPr>
        <w:contextualSpacing w:val="0"/>
      </w:pPr>
      <w:r w:rsidRPr="00CB6A6D">
        <w:rPr>
          <w:noProof/>
        </w:rPr>
        <mc:AlternateContent>
          <mc:Choice Requires="wps">
            <w:drawing>
              <wp:anchor distT="0" distB="0" distL="114300" distR="114300" simplePos="0" relativeHeight="251667456" behindDoc="0" locked="0" layoutInCell="1" allowOverlap="1" wp14:anchorId="79E9400E" wp14:editId="5D5A2435">
                <wp:simplePos x="0" y="0"/>
                <wp:positionH relativeFrom="margin">
                  <wp:posOffset>4513663</wp:posOffset>
                </wp:positionH>
                <wp:positionV relativeFrom="paragraph">
                  <wp:posOffset>346296</wp:posOffset>
                </wp:positionV>
                <wp:extent cx="1523365" cy="985520"/>
                <wp:effectExtent l="0" t="0" r="19685" b="24130"/>
                <wp:wrapSquare wrapText="bothSides"/>
                <wp:docPr id="31" name="Text Box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523365" cy="985520"/>
                        </a:xfrm>
                        <a:prstGeom prst="rect">
                          <a:avLst/>
                        </a:prstGeom>
                        <a:solidFill>
                          <a:schemeClr val="lt1"/>
                        </a:solidFill>
                        <a:ln w="6350">
                          <a:solidFill>
                            <a:prstClr val="black"/>
                          </a:solidFill>
                        </a:ln>
                      </wps:spPr>
                      <wps:txbx>
                        <w:txbxContent>
                          <w:p w14:paraId="22800D18" w14:textId="1785345E" w:rsidR="003C17A2" w:rsidRDefault="003C17A2" w:rsidP="00640E12">
                            <w:pPr>
                              <w:spacing w:after="0"/>
                              <w:jc w:val="center"/>
                            </w:pPr>
                            <w:r w:rsidRPr="006611DF">
                              <w:t>Tasmanians</w:t>
                            </w:r>
                            <w:r>
                              <w:t xml:space="preserve"> </w:t>
                            </w:r>
                            <w:r w:rsidRPr="006611DF">
                              <w:t>aged 55+</w:t>
                            </w:r>
                          </w:p>
                          <w:p w14:paraId="50D13BC3" w14:textId="2B66D181" w:rsidR="003C17A2" w:rsidRPr="00E15310" w:rsidRDefault="003C17A2" w:rsidP="00640E12">
                            <w:pPr>
                              <w:spacing w:after="0"/>
                              <w:jc w:val="center"/>
                              <w:rPr>
                                <w:rFonts w:ascii="Montserrat72" w:hAnsi="Montserrat72"/>
                                <w:b/>
                                <w:sz w:val="40"/>
                                <w:szCs w:val="40"/>
                              </w:rPr>
                            </w:pPr>
                            <w:r w:rsidRPr="00E15310">
                              <w:rPr>
                                <w:rFonts w:ascii="Montserrat72" w:hAnsi="Montserrat72"/>
                                <w:b/>
                                <w:sz w:val="40"/>
                                <w:szCs w:val="40"/>
                              </w:rPr>
                              <w:sym w:font="Wingdings" w:char="F0E9"/>
                            </w:r>
                            <w:r w:rsidRPr="00E15310">
                              <w:rPr>
                                <w:rFonts w:ascii="Montserrat72" w:hAnsi="Montserrat72"/>
                                <w:b/>
                                <w:sz w:val="40"/>
                                <w:szCs w:val="40"/>
                              </w:rPr>
                              <w:t xml:space="preserve"> 12%</w:t>
                            </w:r>
                          </w:p>
                          <w:p w14:paraId="138AE16F" w14:textId="6C36ACDF" w:rsidR="003C17A2" w:rsidRPr="00086581" w:rsidRDefault="003C17A2" w:rsidP="00640E12">
                            <w:pPr>
                              <w:spacing w:after="0"/>
                              <w:jc w:val="center"/>
                            </w:pPr>
                            <w:r w:rsidRPr="00086581">
                              <w:t>202</w:t>
                            </w:r>
                            <w:r w:rsidR="00C07058">
                              <w:t>4</w:t>
                            </w:r>
                            <w:r w:rsidR="00287B11">
                              <w:t xml:space="preserve"> - </w:t>
                            </w:r>
                            <w:r w:rsidRPr="00086581">
                              <w:t>203</w:t>
                            </w:r>
                            <w:r w:rsidR="00F7451D">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9400E" id="Text Box 31" o:spid="_x0000_s1030" type="#_x0000_t202" style="position:absolute;left:0;text-align:left;margin-left:355.4pt;margin-top:27.25pt;width:119.95pt;height:77.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" fillcolor="white [3201]" strokeweight=".5pt">
                <v:textbox>
                  <w:txbxContent>
                    <w:p w14:paraId="22800D18" w14:textId="1785345E" w:rsidR="003C17A2" w:rsidRDefault="003C17A2" w:rsidP="00640E12">
                      <w:pPr>
                        <w:spacing w:after="0"/>
                        <w:jc w:val="center"/>
                      </w:pPr>
                      <w:r w:rsidRPr="006611DF">
                        <w:t>Tasmanians</w:t>
                      </w:r>
                      <w:r>
                        <w:t xml:space="preserve"> </w:t>
                      </w:r>
                      <w:r w:rsidRPr="006611DF">
                        <w:t>aged 55+</w:t>
                      </w:r>
                    </w:p>
                    <w:p w14:paraId="50D13BC3" w14:textId="2B66D181" w:rsidR="003C17A2" w:rsidRPr="00E15310" w:rsidRDefault="003C17A2" w:rsidP="00640E12">
                      <w:pPr>
                        <w:spacing w:after="0"/>
                        <w:jc w:val="center"/>
                        <w:rPr>
                          <w:rFonts w:ascii="Montserrat72" w:hAnsi="Montserrat72"/>
                          <w:b/>
                          <w:sz w:val="40"/>
                          <w:szCs w:val="40"/>
                        </w:rPr>
                      </w:pPr>
                      <w:r w:rsidRPr="00E15310">
                        <w:rPr>
                          <w:rFonts w:ascii="Montserrat72" w:hAnsi="Montserrat72"/>
                          <w:b/>
                          <w:sz w:val="40"/>
                          <w:szCs w:val="40"/>
                        </w:rPr>
                        <w:sym w:font="Wingdings" w:char="F0E9"/>
                      </w:r>
                      <w:r w:rsidRPr="00E15310">
                        <w:rPr>
                          <w:rFonts w:ascii="Montserrat72" w:hAnsi="Montserrat72"/>
                          <w:b/>
                          <w:sz w:val="40"/>
                          <w:szCs w:val="40"/>
                        </w:rPr>
                        <w:t xml:space="preserve"> 12%</w:t>
                      </w:r>
                    </w:p>
                    <w:p w14:paraId="138AE16F" w14:textId="6C36ACDF" w:rsidR="003C17A2" w:rsidRPr="00086581" w:rsidRDefault="003C17A2" w:rsidP="00640E12">
                      <w:pPr>
                        <w:spacing w:after="0"/>
                        <w:jc w:val="center"/>
                      </w:pPr>
                      <w:r w:rsidRPr="00086581">
                        <w:t>202</w:t>
                      </w:r>
                      <w:r w:rsidR="00C07058">
                        <w:t>4</w:t>
                      </w:r>
                      <w:r w:rsidR="00287B11">
                        <w:t xml:space="preserve"> - </w:t>
                      </w:r>
                      <w:r w:rsidRPr="00086581">
                        <w:t>203</w:t>
                      </w:r>
                      <w:r w:rsidR="00F7451D">
                        <w:t>2</w:t>
                      </w:r>
                    </w:p>
                  </w:txbxContent>
                </v:textbox>
                <w10:wrap type="square" anchorx="margin"/>
              </v:shape>
            </w:pict>
          </mc:Fallback>
        </mc:AlternateContent>
      </w:r>
      <w:r w:rsidR="009A29A5" w:rsidRPr="00CB6A6D">
        <w:t xml:space="preserve">35% of Tasmanians are aged 55 years or older, compared to </w:t>
      </w:r>
      <w:r w:rsidR="006F0A4C" w:rsidRPr="00CB6A6D">
        <w:t xml:space="preserve">only </w:t>
      </w:r>
      <w:r w:rsidR="009A29A5" w:rsidRPr="00CB6A6D">
        <w:t xml:space="preserve">29% </w:t>
      </w:r>
      <w:r w:rsidR="009A29A5" w:rsidRPr="00430C82">
        <w:t>nationally</w:t>
      </w:r>
      <w:r w:rsidR="002C5486" w:rsidRPr="00430C82">
        <w:t xml:space="preserve"> </w:t>
      </w:r>
      <w:r w:rsidR="002C5486" w:rsidRPr="00430C82">
        <w:fldChar w:fldCharType="begin"/>
      </w:r>
      <w:r>
        <w:instrText xml:space="preserve"> ADDIN EN.CITE &lt;EndNote&gt;&lt;Cite&gt;&lt;Author&gt;Australian Bureau of Statistics&lt;/Author&gt;&lt;Year&gt;2023&lt;/Year&gt;&lt;RecNum&gt;224&lt;/RecNum&gt;&lt;DisplayText&gt;[5]&lt;/DisplayText&gt;&lt;record&gt;&lt;rec-number&gt;224&lt;/rec-number&gt;&lt;foreign-keys&gt;&lt;key app="EN" db-id="50a0w5efwezpaee0a2s5tv5b2aef0adxe9z2" timestamp="1714701223"&gt;224&lt;/key&gt;&lt;/foreign-keys&gt;&lt;ref-type name="Web Page"&gt;12&lt;/ref-type&gt;&lt;contributors&gt;&lt;authors&gt;&lt;author&gt;Australian Bureau of Statistics,&lt;/author&gt;&lt;/authors&gt;&lt;/contributors&gt;&lt;titles&gt;&lt;title&gt;National, state and territory population&lt;/title&gt;&lt;/titles&gt;&lt;number&gt;May 2024&lt;/number&gt;&lt;dates&gt;&lt;year&gt;2023&lt;/year&gt;&lt;/dates&gt;&lt;urls&gt;&lt;related-urls&gt;&lt;url&gt;https://www.abs.gov.au/statistics/people/population/national-state-and-territory-population/latest-release&lt;/url&gt;&lt;/related-urls&gt;&lt;/urls&gt;&lt;/record&gt;&lt;/Cite&gt;&lt;/EndNote&gt;</w:instrText>
      </w:r>
      <w:r w:rsidR="002C5486" w:rsidRPr="00430C82">
        <w:fldChar w:fldCharType="separate"/>
      </w:r>
      <w:r>
        <w:rPr>
          <w:noProof/>
        </w:rPr>
        <w:t>[5]</w:t>
      </w:r>
      <w:r w:rsidR="002C5486" w:rsidRPr="00430C82">
        <w:fldChar w:fldCharType="end"/>
      </w:r>
    </w:p>
    <w:p w14:paraId="7558F16A" w14:textId="48124466" w:rsidR="00A1204E" w:rsidRDefault="006F0A4C" w:rsidP="006519CA">
      <w:pPr>
        <w:pStyle w:val="ListParagraph"/>
        <w:numPr>
          <w:ilvl w:val="0"/>
          <w:numId w:val="14"/>
        </w:numPr>
        <w:contextualSpacing w:val="0"/>
      </w:pPr>
      <w:r w:rsidRPr="00CB6A6D">
        <w:t>Between 202</w:t>
      </w:r>
      <w:r w:rsidR="00C07058">
        <w:t>4</w:t>
      </w:r>
      <w:r w:rsidRPr="00CB6A6D">
        <w:t xml:space="preserve"> and 203</w:t>
      </w:r>
      <w:r w:rsidR="00C07058">
        <w:t>2</w:t>
      </w:r>
      <w:r w:rsidRPr="00CB6A6D">
        <w:t>, the number of Tasmanians aged 55 years and over is projected to increase by</w:t>
      </w:r>
      <w:r w:rsidR="00C07058">
        <w:t xml:space="preserve"> 23</w:t>
      </w:r>
      <w:r w:rsidR="00287B11">
        <w:t>,</w:t>
      </w:r>
      <w:r w:rsidR="00C07058">
        <w:t>800</w:t>
      </w:r>
      <w:r w:rsidRPr="00CB6A6D">
        <w:t xml:space="preserve"> </w:t>
      </w:r>
      <w:r w:rsidR="00C07058">
        <w:t>(</w:t>
      </w:r>
      <w:r w:rsidRPr="00CB6A6D">
        <w:t>12%</w:t>
      </w:r>
      <w:r w:rsidR="00C07058">
        <w:t>)</w:t>
      </w:r>
      <w:r w:rsidRPr="00CB6A6D">
        <w:t xml:space="preserve"> </w:t>
      </w:r>
      <w:r w:rsidR="007E6899" w:rsidRPr="00CB6A6D">
        <w:t xml:space="preserve">to </w:t>
      </w:r>
      <w:r w:rsidR="00B04582">
        <w:t>over 22</w:t>
      </w:r>
      <w:r w:rsidR="00C07058">
        <w:t>5</w:t>
      </w:r>
      <w:r w:rsidR="00B04582">
        <w:t>,000</w:t>
      </w:r>
      <w:r w:rsidR="007E6899" w:rsidRPr="00CB6A6D">
        <w:t xml:space="preserve"> and account for </w:t>
      </w:r>
      <w:r w:rsidR="00C07058">
        <w:t>95%</w:t>
      </w:r>
      <w:r w:rsidR="00D26C88">
        <w:t xml:space="preserve"> </w:t>
      </w:r>
      <w:r w:rsidR="007E6899" w:rsidRPr="00CB6A6D">
        <w:t>Tasmanian population growth</w:t>
      </w:r>
      <w:r w:rsidR="00C07058" w:rsidDel="00C07058">
        <w:t xml:space="preserve"> </w:t>
      </w:r>
      <w:r w:rsidR="00275926">
        <w:fldChar w:fldCharType="begin"/>
      </w:r>
      <w:r w:rsidR="00183AB6">
        <w:instrText xml:space="preserve"> ADDIN EN.CITE &lt;EndNote&gt;&lt;Cite&gt;&lt;Author&gt;Tasmanian Government&lt;/Author&gt;&lt;Year&gt;2024&lt;/Year&gt;&lt;RecNum&gt;272&lt;/RecNum&gt;&lt;DisplayText&gt;[6]&lt;/DisplayText&gt;&lt;record&gt;&lt;rec-number&gt;272&lt;/rec-number&gt;&lt;foreign-keys&gt;&lt;key app="EN" db-id="50a0w5efwezpaee0a2s5tv5b2aef0adxe9z2" timestamp="1716179465"&gt;272&lt;/key&gt;&lt;/foreign-keys&gt;&lt;ref-type name="Report"&gt;27&lt;/ref-type&gt;&lt;contributors&gt;&lt;authors&gt;&lt;author&gt;Tasmanian Government,&lt;/author&gt;&lt;/authors&gt;&lt;tertiary-authors&gt;&lt;author&gt;Department of Treasury and Finance,&lt;/author&gt;&lt;/tertiary-authors&gt;&lt;/contributors&gt;&lt;titles&gt;&lt;title&gt;TasPOPP 2024: Tasmanian and Local Government Area Population Projections 2023 to 2053&lt;/title&gt;&lt;/titles&gt;&lt;dates&gt;&lt;year&gt;2024&lt;/year&gt;&lt;/dates&gt;&lt;pub-location&gt;Hobart&lt;/pub-location&gt;&lt;urls&gt;&lt;related-urls&gt;&lt;url&gt;https://www.treasury.tas.gov.au/Documents/TasPOPP%202024%20-%20Tasmanian%20and%20local%20government%20area%20population%20projections%202023%20to%202053%20-%20final%20report.pdf&lt;/url&gt;&lt;/related-urls&gt;&lt;/urls&gt;&lt;access-date&gt;May 2024&lt;/access-date&gt;&lt;/record&gt;&lt;/Cite&gt;&lt;/EndNote&gt;</w:instrText>
      </w:r>
      <w:r w:rsidR="00275926">
        <w:fldChar w:fldCharType="separate"/>
      </w:r>
      <w:r w:rsidR="00183AB6">
        <w:rPr>
          <w:noProof/>
        </w:rPr>
        <w:t>[6]</w:t>
      </w:r>
      <w:r w:rsidR="00275926">
        <w:fldChar w:fldCharType="end"/>
      </w:r>
    </w:p>
    <w:p w14:paraId="4FA01BE2" w14:textId="5D1CFF45" w:rsidR="00C07058" w:rsidRPr="00CB6A6D" w:rsidRDefault="00217D85" w:rsidP="006519CA">
      <w:pPr>
        <w:pStyle w:val="ListParagraph"/>
        <w:numPr>
          <w:ilvl w:val="0"/>
          <w:numId w:val="14"/>
        </w:numPr>
        <w:contextualSpacing w:val="0"/>
      </w:pPr>
      <w:r>
        <w:t>From the mid 2040s, it is projected that more than two in five Tasmanians will be aged 55 years and over, with this age group accounting for all growth in the state’s population</w:t>
      </w:r>
    </w:p>
    <w:p w14:paraId="1ABC48B9" w14:textId="540FA9E6" w:rsidR="00F7451D" w:rsidRDefault="00F7451D" w:rsidP="006519CA"/>
    <w:p w14:paraId="7C1281B1" w14:textId="36D807E4" w:rsidR="00C07058" w:rsidRPr="00183AB6" w:rsidRDefault="00837B0B" w:rsidP="006519CA">
      <w:pPr>
        <w:rPr>
          <w:i/>
        </w:rPr>
      </w:pPr>
      <w:bookmarkStart w:id="0" w:name="_GoBack"/>
      <w:r>
        <w:rPr>
          <w:noProof/>
        </w:rPr>
        <w:lastRenderedPageBreak/>
        <w:drawing>
          <wp:inline distT="0" distB="0" distL="0" distR="0" wp14:anchorId="75D2014A" wp14:editId="40DCF7EB">
            <wp:extent cx="5731510" cy="3618230"/>
            <wp:effectExtent l="0" t="0" r="2540" b="1270"/>
            <wp:docPr id="5" name="Chart 5" descr="Graph showing a steady increase in people aged over 55 up to 70,000 additional people by 2054. People aged 0-54 is a very small section by comparison, with an increase or decrease of no more than 5,000.">
              <a:extLst xmlns:a="http://schemas.openxmlformats.org/drawingml/2006/main">
                <a:ext uri="{FF2B5EF4-FFF2-40B4-BE49-F238E27FC236}">
                  <a16:creationId xmlns:a16="http://schemas.microsoft.com/office/drawing/2014/main" id="{2025E799-325E-4558-8277-0C5CB09E45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0"/>
      <w:r w:rsidR="00E15310" w:rsidRPr="00183AB6">
        <w:rPr>
          <w:i/>
        </w:rPr>
        <w:t xml:space="preserve">Figure 1: </w:t>
      </w:r>
      <w:r w:rsidR="00183AB6" w:rsidRPr="00183AB6">
        <w:rPr>
          <w:i/>
        </w:rPr>
        <w:t>Cumulative change in the Tasmanian population by age group, 2023 - 2053</w:t>
      </w:r>
    </w:p>
    <w:p w14:paraId="25A3BD4A" w14:textId="3C6F8BAF" w:rsidR="00086581" w:rsidRPr="00086581" w:rsidRDefault="00086581" w:rsidP="0037462B">
      <w:pPr>
        <w:pStyle w:val="Heading2"/>
      </w:pPr>
      <w:r>
        <w:t>What older Tasmanians say about life</w:t>
      </w:r>
      <w:r w:rsidR="00A3189E">
        <w:fldChar w:fldCharType="begin"/>
      </w:r>
      <w:r w:rsidR="008228CF">
        <w:instrText xml:space="preserve"> ADDIN EN.CITE &lt;EndNote&gt;&lt;Cite&gt;&lt;Author&gt;Polidoras&lt;/Author&gt;&lt;Year&gt;2023&lt;/Year&gt;&lt;RecNum&gt;242&lt;/RecNum&gt;&lt;DisplayText&gt;[7]&lt;/DisplayText&gt;&lt;record&gt;&lt;rec-number&gt;242&lt;/rec-number&gt;&lt;foreign-keys&gt;&lt;key app="EN" db-id="50a0w5efwezpaee0a2s5tv5b2aef0adxe9z2" timestamp="1714717631"&gt;242&lt;/key&gt;&lt;/foreign-keys&gt;&lt;ref-type name="Report"&gt;27&lt;/ref-type&gt;&lt;contributors&gt;&lt;authors&gt;&lt;author&gt;Polidoras, Alexis&lt;/author&gt;&lt;author&gt;Toner, Kate&lt;/author&gt;&lt;author&gt;Banks, Cat&lt;/author&gt;&lt;author&gt;Diseris, Irene&lt;/author&gt;&lt;/authors&gt;&lt;tertiary-authors&gt;&lt;author&gt;Council on the Ageing, &lt;/author&gt;&lt;/tertiary-authors&gt;&lt;/contributors&gt;&lt;titles&gt;&lt;title&gt;State of the Older Nation 2023&lt;/title&gt;&lt;/titles&gt;&lt;dates&gt;&lt;year&gt;2023&lt;/year&gt;&lt;/dates&gt;&lt;pub-location&gt;Sydney&lt;/pub-location&gt;&lt;urls&gt;&lt;related-urls&gt;&lt;url&gt;https://cota.org.au/wp-content/uploads/2023/05/SOTON-2023-Full-Report.pdf&lt;/url&gt;&lt;/related-urls&gt;&lt;/urls&gt;&lt;/record&gt;&lt;/Cite&gt;&lt;/EndNote&gt;</w:instrText>
      </w:r>
      <w:r w:rsidR="00A3189E">
        <w:fldChar w:fldCharType="separate"/>
      </w:r>
      <w:r w:rsidR="00275926">
        <w:rPr>
          <w:noProof/>
        </w:rPr>
        <w:t>[7]</w:t>
      </w:r>
      <w:r w:rsidR="00A3189E">
        <w:fldChar w:fldCharType="end"/>
      </w:r>
    </w:p>
    <w:p w14:paraId="7BA4EC40" w14:textId="2368447E" w:rsidR="00086581" w:rsidRPr="00275926" w:rsidRDefault="00086581" w:rsidP="006519CA">
      <w:pPr>
        <w:pStyle w:val="ListParagraph"/>
        <w:numPr>
          <w:ilvl w:val="0"/>
          <w:numId w:val="14"/>
        </w:numPr>
        <w:contextualSpacing w:val="0"/>
      </w:pPr>
      <w:r w:rsidRPr="00275926">
        <w:t>Half (54%) of older Tasmanians are pessimistic about the future</w:t>
      </w:r>
      <w:r w:rsidR="00A17FF0" w:rsidRPr="00275926">
        <w:t xml:space="preserve"> with most citing the cost of living as a concern</w:t>
      </w:r>
    </w:p>
    <w:p w14:paraId="612F05B2" w14:textId="556C7D3E" w:rsidR="00086581" w:rsidRPr="00275926" w:rsidRDefault="00086581" w:rsidP="006519CA">
      <w:pPr>
        <w:pStyle w:val="ListParagraph"/>
        <w:numPr>
          <w:ilvl w:val="0"/>
          <w:numId w:val="14"/>
        </w:numPr>
        <w:contextualSpacing w:val="0"/>
      </w:pPr>
      <w:r w:rsidRPr="00275926">
        <w:t>Satisfaction across most aspects of quality of life had fallen since 2018 and respondents were most dissatisfied with their:</w:t>
      </w:r>
    </w:p>
    <w:p w14:paraId="63FA7373" w14:textId="77777777" w:rsidR="00086581" w:rsidRPr="00275926" w:rsidRDefault="00086581" w:rsidP="006519CA">
      <w:pPr>
        <w:pStyle w:val="ListParagraph"/>
        <w:numPr>
          <w:ilvl w:val="0"/>
          <w:numId w:val="17"/>
        </w:numPr>
        <w:contextualSpacing w:val="0"/>
      </w:pPr>
      <w:r w:rsidRPr="00275926">
        <w:t>physical health</w:t>
      </w:r>
    </w:p>
    <w:p w14:paraId="1A2BF14D" w14:textId="3C79EB0F" w:rsidR="00086581" w:rsidRPr="00275926" w:rsidRDefault="00086581" w:rsidP="006519CA">
      <w:pPr>
        <w:pStyle w:val="ListParagraph"/>
        <w:numPr>
          <w:ilvl w:val="0"/>
          <w:numId w:val="17"/>
        </w:numPr>
        <w:contextualSpacing w:val="0"/>
      </w:pPr>
      <w:r w:rsidRPr="00275926">
        <w:t>financial situation</w:t>
      </w:r>
    </w:p>
    <w:p w14:paraId="22D4C761" w14:textId="2C3B74FE" w:rsidR="00086581" w:rsidRPr="00275926" w:rsidRDefault="00086581" w:rsidP="006519CA">
      <w:pPr>
        <w:pStyle w:val="ListParagraph"/>
        <w:numPr>
          <w:ilvl w:val="0"/>
          <w:numId w:val="17"/>
        </w:numPr>
        <w:contextualSpacing w:val="0"/>
      </w:pPr>
      <w:r w:rsidRPr="00275926">
        <w:t>connection to community</w:t>
      </w:r>
    </w:p>
    <w:p w14:paraId="57F194C0" w14:textId="00040640" w:rsidR="00086581" w:rsidRPr="00275926" w:rsidRDefault="00086581" w:rsidP="006519CA">
      <w:pPr>
        <w:pStyle w:val="ListParagraph"/>
        <w:numPr>
          <w:ilvl w:val="0"/>
          <w:numId w:val="14"/>
        </w:numPr>
        <w:contextualSpacing w:val="0"/>
      </w:pPr>
      <w:r w:rsidRPr="00275926">
        <w:t xml:space="preserve">The top concern about their home was </w:t>
      </w:r>
      <w:r w:rsidRPr="00275926">
        <w:rPr>
          <w:b/>
        </w:rPr>
        <w:t>their ability to adapt their home</w:t>
      </w:r>
      <w:r w:rsidRPr="00275926">
        <w:t xml:space="preserve"> to make it accessible (17% rated as very poor), followed by energy efficiency </w:t>
      </w:r>
    </w:p>
    <w:p w14:paraId="15C8588F" w14:textId="35706DCA" w:rsidR="007E1A30" w:rsidRDefault="00086581" w:rsidP="005C414E">
      <w:pPr>
        <w:pStyle w:val="ListParagraph"/>
        <w:numPr>
          <w:ilvl w:val="0"/>
          <w:numId w:val="14"/>
        </w:numPr>
        <w:contextualSpacing w:val="0"/>
      </w:pPr>
      <w:r w:rsidRPr="00275926">
        <w:t xml:space="preserve">Almost </w:t>
      </w:r>
      <w:r w:rsidR="00A3189E" w:rsidRPr="006519CA">
        <w:rPr>
          <w:b/>
        </w:rPr>
        <w:t>one in four</w:t>
      </w:r>
      <w:r w:rsidRPr="00275926">
        <w:t xml:space="preserve"> (24%) rated </w:t>
      </w:r>
      <w:r w:rsidRPr="006519CA">
        <w:rPr>
          <w:b/>
        </w:rPr>
        <w:t xml:space="preserve">access to public transport </w:t>
      </w:r>
      <w:r w:rsidRPr="00275926">
        <w:t xml:space="preserve">as very poor in their area, and this was the top concern respondents had about </w:t>
      </w:r>
      <w:r w:rsidR="00B73D14" w:rsidRPr="00275926">
        <w:t>the</w:t>
      </w:r>
      <w:r w:rsidR="0008386A" w:rsidRPr="00275926">
        <w:t xml:space="preserve"> </w:t>
      </w:r>
      <w:r w:rsidR="00B73D14" w:rsidRPr="00275926">
        <w:t>are</w:t>
      </w:r>
      <w:r w:rsidR="0008386A" w:rsidRPr="00275926">
        <w:t>a</w:t>
      </w:r>
      <w:r w:rsidR="00B73D14" w:rsidRPr="00275926">
        <w:t xml:space="preserve"> they live in</w:t>
      </w:r>
      <w:r w:rsidRPr="00275926">
        <w:t xml:space="preserve"> </w:t>
      </w:r>
    </w:p>
    <w:tbl>
      <w:tblPr>
        <w:tblStyle w:val="TableGrid"/>
        <w:tblpPr w:leftFromText="180" w:rightFromText="180" w:vertAnchor="text" w:horzAnchor="page" w:tblpX="1409" w:tblpY="264"/>
        <w:tblW w:w="9067" w:type="dxa"/>
        <w:tblLook w:val="04A0" w:firstRow="1" w:lastRow="0" w:firstColumn="1" w:lastColumn="0" w:noHBand="0" w:noVBand="1"/>
      </w:tblPr>
      <w:tblGrid>
        <w:gridCol w:w="7388"/>
        <w:gridCol w:w="1679"/>
      </w:tblGrid>
      <w:tr w:rsidR="0008386A" w:rsidRPr="00CF55CE" w14:paraId="3F243492" w14:textId="77777777" w:rsidTr="00287B11">
        <w:tc>
          <w:tcPr>
            <w:tcW w:w="7388" w:type="dxa"/>
          </w:tcPr>
          <w:p w14:paraId="2FFC21B1" w14:textId="2BF89827" w:rsidR="0008386A" w:rsidRPr="006519CA" w:rsidRDefault="0008386A" w:rsidP="006519CA">
            <w:pPr>
              <w:jc w:val="center"/>
              <w:rPr>
                <w:b/>
                <w:i/>
              </w:rPr>
            </w:pPr>
          </w:p>
        </w:tc>
        <w:tc>
          <w:tcPr>
            <w:tcW w:w="1679" w:type="dxa"/>
          </w:tcPr>
          <w:p w14:paraId="76A55113" w14:textId="77777777" w:rsidR="0008386A" w:rsidRPr="006519CA" w:rsidRDefault="0008386A" w:rsidP="006519CA">
            <w:pPr>
              <w:rPr>
                <w:i/>
              </w:rPr>
            </w:pPr>
            <w:r w:rsidRPr="006519CA">
              <w:rPr>
                <w:i/>
              </w:rPr>
              <w:t>Since 2018</w:t>
            </w:r>
          </w:p>
        </w:tc>
      </w:tr>
      <w:tr w:rsidR="0008386A" w14:paraId="5F6DCC92" w14:textId="77777777" w:rsidTr="00287B11">
        <w:tc>
          <w:tcPr>
            <w:tcW w:w="7388" w:type="dxa"/>
          </w:tcPr>
          <w:p w14:paraId="6B01A9D1" w14:textId="77777777" w:rsidR="0008386A" w:rsidRPr="006519CA" w:rsidRDefault="0008386A" w:rsidP="006519CA">
            <w:pPr>
              <w:jc w:val="center"/>
            </w:pPr>
            <w:r w:rsidRPr="006519CA">
              <w:rPr>
                <w:b/>
              </w:rPr>
              <w:t>12%</w:t>
            </w:r>
            <w:r w:rsidRPr="006519CA">
              <w:t xml:space="preserve"> rate their quality of life as poor</w:t>
            </w:r>
          </w:p>
        </w:tc>
        <w:tc>
          <w:tcPr>
            <w:tcW w:w="1679" w:type="dxa"/>
            <w:vAlign w:val="center"/>
          </w:tcPr>
          <w:p w14:paraId="39DC9C87" w14:textId="77777777" w:rsidR="0008386A" w:rsidRPr="006519CA" w:rsidRDefault="0008386A" w:rsidP="006519CA">
            <w:pPr>
              <w:jc w:val="center"/>
            </w:pPr>
            <w:r w:rsidRPr="006519CA">
              <w:sym w:font="Wingdings" w:char="F0E9"/>
            </w:r>
            <w:r w:rsidRPr="006519CA">
              <w:t xml:space="preserve"> 5%</w:t>
            </w:r>
          </w:p>
        </w:tc>
      </w:tr>
      <w:tr w:rsidR="0008386A" w14:paraId="06C96FA6" w14:textId="77777777" w:rsidTr="00287B11">
        <w:tc>
          <w:tcPr>
            <w:tcW w:w="7388" w:type="dxa"/>
          </w:tcPr>
          <w:p w14:paraId="124DDB9A" w14:textId="77777777" w:rsidR="0008386A" w:rsidRPr="006519CA" w:rsidRDefault="0008386A" w:rsidP="006519CA">
            <w:pPr>
              <w:jc w:val="center"/>
            </w:pPr>
            <w:r w:rsidRPr="006519CA">
              <w:rPr>
                <w:b/>
              </w:rPr>
              <w:t>49%</w:t>
            </w:r>
            <w:r w:rsidRPr="006519CA">
              <w:t xml:space="preserve"> rate their physical health as poor</w:t>
            </w:r>
          </w:p>
        </w:tc>
        <w:tc>
          <w:tcPr>
            <w:tcW w:w="1679" w:type="dxa"/>
            <w:vAlign w:val="center"/>
          </w:tcPr>
          <w:p w14:paraId="4FEE5F43" w14:textId="77777777" w:rsidR="0008386A" w:rsidRPr="006519CA" w:rsidRDefault="0008386A" w:rsidP="006519CA">
            <w:pPr>
              <w:jc w:val="center"/>
            </w:pPr>
            <w:r w:rsidRPr="006519CA">
              <w:sym w:font="Wingdings" w:char="F0E9"/>
            </w:r>
            <w:r w:rsidRPr="006519CA">
              <w:t xml:space="preserve"> 15%</w:t>
            </w:r>
          </w:p>
        </w:tc>
      </w:tr>
      <w:tr w:rsidR="0008386A" w14:paraId="7851968F" w14:textId="77777777" w:rsidTr="00287B11">
        <w:tc>
          <w:tcPr>
            <w:tcW w:w="7388" w:type="dxa"/>
          </w:tcPr>
          <w:p w14:paraId="78CCF2C4" w14:textId="77777777" w:rsidR="0008386A" w:rsidRPr="006519CA" w:rsidRDefault="0008386A" w:rsidP="006519CA">
            <w:pPr>
              <w:jc w:val="center"/>
            </w:pPr>
            <w:r w:rsidRPr="006519CA">
              <w:rPr>
                <w:b/>
              </w:rPr>
              <w:t>46%</w:t>
            </w:r>
            <w:r w:rsidRPr="006519CA">
              <w:t xml:space="preserve"> rate their financial situation as poor</w:t>
            </w:r>
          </w:p>
        </w:tc>
        <w:tc>
          <w:tcPr>
            <w:tcW w:w="1679" w:type="dxa"/>
            <w:vAlign w:val="center"/>
          </w:tcPr>
          <w:p w14:paraId="698A43A2" w14:textId="77777777" w:rsidR="0008386A" w:rsidRPr="006519CA" w:rsidRDefault="0008386A" w:rsidP="006519CA">
            <w:pPr>
              <w:jc w:val="center"/>
            </w:pPr>
            <w:r w:rsidRPr="006519CA">
              <w:sym w:font="Wingdings" w:char="F0E9"/>
            </w:r>
            <w:r w:rsidRPr="006519CA">
              <w:t xml:space="preserve"> 10%</w:t>
            </w:r>
          </w:p>
        </w:tc>
      </w:tr>
      <w:tr w:rsidR="0008386A" w14:paraId="1700AD6B" w14:textId="77777777" w:rsidTr="00287B11">
        <w:trPr>
          <w:trHeight w:val="70"/>
        </w:trPr>
        <w:tc>
          <w:tcPr>
            <w:tcW w:w="7388" w:type="dxa"/>
          </w:tcPr>
          <w:p w14:paraId="6D09DDB0" w14:textId="77777777" w:rsidR="0008386A" w:rsidRPr="006519CA" w:rsidRDefault="0008386A" w:rsidP="006519CA">
            <w:pPr>
              <w:jc w:val="center"/>
            </w:pPr>
            <w:r w:rsidRPr="006519CA">
              <w:rPr>
                <w:b/>
              </w:rPr>
              <w:t>45%</w:t>
            </w:r>
            <w:r w:rsidRPr="006519CA">
              <w:t xml:space="preserve"> rate their connection to their community as poor</w:t>
            </w:r>
          </w:p>
        </w:tc>
        <w:tc>
          <w:tcPr>
            <w:tcW w:w="1679" w:type="dxa"/>
            <w:vAlign w:val="center"/>
          </w:tcPr>
          <w:p w14:paraId="2E8A9EF3" w14:textId="77777777" w:rsidR="0008386A" w:rsidRPr="006519CA" w:rsidRDefault="0008386A" w:rsidP="006519CA">
            <w:pPr>
              <w:jc w:val="center"/>
            </w:pPr>
            <w:r w:rsidRPr="006519CA">
              <w:sym w:font="Wingdings" w:char="F0E9"/>
            </w:r>
            <w:r w:rsidRPr="006519CA">
              <w:t xml:space="preserve"> 12%</w:t>
            </w:r>
          </w:p>
        </w:tc>
      </w:tr>
      <w:tr w:rsidR="0008386A" w14:paraId="7DEFC71B" w14:textId="77777777" w:rsidTr="00287B11">
        <w:tc>
          <w:tcPr>
            <w:tcW w:w="7388" w:type="dxa"/>
            <w:tcBorders>
              <w:bottom w:val="single" w:sz="4" w:space="0" w:color="808080" w:themeColor="background1" w:themeShade="80"/>
            </w:tcBorders>
          </w:tcPr>
          <w:p w14:paraId="10098CE2" w14:textId="77777777" w:rsidR="0008386A" w:rsidRPr="006519CA" w:rsidRDefault="0008386A" w:rsidP="006519CA">
            <w:pPr>
              <w:jc w:val="center"/>
            </w:pPr>
            <w:r w:rsidRPr="006519CA">
              <w:rPr>
                <w:b/>
              </w:rPr>
              <w:t>54%</w:t>
            </w:r>
            <w:r w:rsidRPr="006519CA">
              <w:t xml:space="preserve"> say things are getting worse for their generation</w:t>
            </w:r>
          </w:p>
        </w:tc>
        <w:tc>
          <w:tcPr>
            <w:tcW w:w="1679" w:type="dxa"/>
            <w:tcBorders>
              <w:bottom w:val="single" w:sz="4" w:space="0" w:color="808080" w:themeColor="background1" w:themeShade="80"/>
            </w:tcBorders>
            <w:vAlign w:val="center"/>
          </w:tcPr>
          <w:p w14:paraId="596E779E" w14:textId="77777777" w:rsidR="0008386A" w:rsidRPr="006519CA" w:rsidRDefault="0008386A" w:rsidP="006519CA">
            <w:pPr>
              <w:jc w:val="center"/>
            </w:pPr>
            <w:r w:rsidRPr="006519CA">
              <w:sym w:font="Wingdings" w:char="F0E9"/>
            </w:r>
            <w:r w:rsidRPr="006519CA">
              <w:t xml:space="preserve"> 16%</w:t>
            </w:r>
          </w:p>
        </w:tc>
      </w:tr>
      <w:tr w:rsidR="0008386A" w14:paraId="6645EBEA" w14:textId="77777777" w:rsidTr="00287B11">
        <w:tc>
          <w:tcPr>
            <w:tcW w:w="738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72B6476C" w14:textId="77777777" w:rsidR="0008386A" w:rsidRPr="006519CA" w:rsidRDefault="0008386A" w:rsidP="006519CA">
            <w:pPr>
              <w:jc w:val="center"/>
            </w:pPr>
            <w:r w:rsidRPr="006519CA">
              <w:rPr>
                <w:b/>
              </w:rPr>
              <w:t>29%</w:t>
            </w:r>
            <w:r w:rsidRPr="006519CA">
              <w:t xml:space="preserve"> rate their level of difficulty accessing medical services as high</w:t>
            </w:r>
          </w:p>
        </w:tc>
        <w:tc>
          <w:tcPr>
            <w:tcW w:w="1679"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DEFABC" w14:textId="77777777" w:rsidR="0008386A" w:rsidRPr="006519CA" w:rsidRDefault="0008386A" w:rsidP="006519CA">
            <w:pPr>
              <w:jc w:val="center"/>
            </w:pPr>
            <w:r w:rsidRPr="006519CA">
              <w:sym w:font="Wingdings" w:char="F0E9"/>
            </w:r>
            <w:r w:rsidRPr="006519CA">
              <w:t xml:space="preserve"> 12%</w:t>
            </w:r>
          </w:p>
        </w:tc>
      </w:tr>
      <w:tr w:rsidR="0008386A" w14:paraId="5CF74A7D" w14:textId="77777777" w:rsidTr="00287B11">
        <w:tc>
          <w:tcPr>
            <w:tcW w:w="9067" w:type="dxa"/>
            <w:gridSpan w:val="2"/>
            <w:tcBorders>
              <w:top w:val="single" w:sz="4" w:space="0" w:color="808080" w:themeColor="background1" w:themeShade="80"/>
              <w:left w:val="nil"/>
              <w:bottom w:val="nil"/>
              <w:right w:val="nil"/>
            </w:tcBorders>
          </w:tcPr>
          <w:p w14:paraId="2378663F" w14:textId="77777777" w:rsidR="0008386A" w:rsidRPr="006519CA" w:rsidRDefault="0008386A" w:rsidP="006519CA">
            <w:pPr>
              <w:rPr>
                <w:i/>
              </w:rPr>
            </w:pPr>
            <w:r w:rsidRPr="006519CA">
              <w:rPr>
                <w:i/>
              </w:rPr>
              <w:t>Source: COTA 2023</w:t>
            </w:r>
          </w:p>
        </w:tc>
      </w:tr>
    </w:tbl>
    <w:p w14:paraId="1CDA094A" w14:textId="0505590B" w:rsidR="00FF4631" w:rsidRDefault="00AD7917" w:rsidP="006519CA">
      <w:pPr>
        <w:pStyle w:val="Heading1"/>
      </w:pPr>
      <w:r>
        <w:lastRenderedPageBreak/>
        <w:t>Causes of housing insecurity</w:t>
      </w:r>
      <w:r w:rsidR="002A2B0D">
        <w:t xml:space="preserve"> for </w:t>
      </w:r>
      <w:r w:rsidR="00525AD4">
        <w:t>o</w:t>
      </w:r>
      <w:r w:rsidR="002A2B0D">
        <w:t>lder Tasmanians</w:t>
      </w:r>
      <w:r>
        <w:t xml:space="preserve"> </w:t>
      </w:r>
    </w:p>
    <w:p w14:paraId="7ADC5367" w14:textId="1796C8E0" w:rsidR="00750035" w:rsidRDefault="000167DA" w:rsidP="006519CA">
      <w:r w:rsidRPr="009C3C6D">
        <w:t xml:space="preserve">Many older Tasmanians </w:t>
      </w:r>
      <w:r w:rsidR="008C40DA">
        <w:t>experience</w:t>
      </w:r>
      <w:r w:rsidRPr="009C3C6D">
        <w:t xml:space="preserve"> housing </w:t>
      </w:r>
      <w:r w:rsidR="008C40DA">
        <w:t>in</w:t>
      </w:r>
      <w:r w:rsidRPr="009C3C6D">
        <w:t xml:space="preserve">security and either need to move out of a home they would like to stay in or </w:t>
      </w:r>
      <w:r w:rsidR="0031004D">
        <w:t>are unable</w:t>
      </w:r>
      <w:r w:rsidRPr="009C3C6D">
        <w:t xml:space="preserve"> to afford or find a </w:t>
      </w:r>
      <w:r w:rsidR="001C483A">
        <w:t xml:space="preserve">suitable </w:t>
      </w:r>
      <w:r w:rsidRPr="009C3C6D">
        <w:t>place of their own at all</w:t>
      </w:r>
      <w:r w:rsidR="00683D94">
        <w:t xml:space="preserve">. As shown in Figure </w:t>
      </w:r>
      <w:r w:rsidR="00022C63" w:rsidRPr="00022C63">
        <w:t>2</w:t>
      </w:r>
      <w:r w:rsidR="00683D94">
        <w:t>, causes of housing insecurity for older Tasmanians include:</w:t>
      </w:r>
    </w:p>
    <w:p w14:paraId="728CAC7E" w14:textId="24E252BD" w:rsidR="00750035" w:rsidRDefault="00571138" w:rsidP="006519CA">
      <w:pPr>
        <w:pStyle w:val="ListParagraph"/>
        <w:numPr>
          <w:ilvl w:val="0"/>
          <w:numId w:val="16"/>
        </w:numPr>
        <w:contextualSpacing w:val="0"/>
      </w:pPr>
      <w:r>
        <w:t>lack of</w:t>
      </w:r>
      <w:r w:rsidR="00750035">
        <w:t xml:space="preserve"> access </w:t>
      </w:r>
      <w:r w:rsidR="00275926">
        <w:t xml:space="preserve">to </w:t>
      </w:r>
      <w:r w:rsidR="00750035">
        <w:t>services and supports they n</w:t>
      </w:r>
      <w:r w:rsidR="00FC07C7">
        <w:t>eed</w:t>
      </w:r>
    </w:p>
    <w:p w14:paraId="4ABD3ED5" w14:textId="1424FA2C" w:rsidR="00750035" w:rsidRDefault="00147730" w:rsidP="006519CA">
      <w:pPr>
        <w:pStyle w:val="ListParagraph"/>
        <w:numPr>
          <w:ilvl w:val="0"/>
          <w:numId w:val="16"/>
        </w:numPr>
        <w:contextualSpacing w:val="0"/>
      </w:pPr>
      <w:r>
        <w:t>failure of</w:t>
      </w:r>
      <w:r w:rsidR="00571138">
        <w:t xml:space="preserve"> housing </w:t>
      </w:r>
      <w:r>
        <w:t>to</w:t>
      </w:r>
      <w:r w:rsidR="00571138">
        <w:t xml:space="preserve"> meet their </w:t>
      </w:r>
      <w:r w:rsidR="00750035">
        <w:t xml:space="preserve">mobility or </w:t>
      </w:r>
      <w:r w:rsidR="00957F92">
        <w:t xml:space="preserve">health needs </w:t>
      </w:r>
    </w:p>
    <w:p w14:paraId="6182FCA6" w14:textId="2C92D9AD" w:rsidR="0031004D" w:rsidRDefault="00147730" w:rsidP="006519CA">
      <w:pPr>
        <w:pStyle w:val="ListParagraph"/>
        <w:numPr>
          <w:ilvl w:val="0"/>
          <w:numId w:val="16"/>
        </w:numPr>
        <w:contextualSpacing w:val="0"/>
      </w:pPr>
      <w:r>
        <w:t>housing unaffordability</w:t>
      </w:r>
    </w:p>
    <w:p w14:paraId="4CA4DF1E" w14:textId="198CF1B5" w:rsidR="0031004D" w:rsidRDefault="00147730" w:rsidP="006519CA">
      <w:pPr>
        <w:pStyle w:val="ListParagraph"/>
        <w:numPr>
          <w:ilvl w:val="0"/>
          <w:numId w:val="16"/>
        </w:numPr>
        <w:contextualSpacing w:val="0"/>
      </w:pPr>
      <w:r>
        <w:t xml:space="preserve">the </w:t>
      </w:r>
      <w:r w:rsidR="00571138">
        <w:t xml:space="preserve">increase in the </w:t>
      </w:r>
      <w:r>
        <w:t xml:space="preserve">state’s </w:t>
      </w:r>
      <w:r w:rsidR="00571138">
        <w:t>older population outstripping supply of age</w:t>
      </w:r>
      <w:r w:rsidR="00275926">
        <w:t>-</w:t>
      </w:r>
      <w:r w:rsidR="00571138">
        <w:t>appropriate housing</w:t>
      </w:r>
      <w:r w:rsidR="00DF499F">
        <w:t xml:space="preserve"> </w:t>
      </w:r>
    </w:p>
    <w:p w14:paraId="69F8B912" w14:textId="3A00E221" w:rsidR="0031004D" w:rsidRDefault="00ED5291" w:rsidP="006519CA">
      <w:pPr>
        <w:pStyle w:val="ListParagraph"/>
        <w:numPr>
          <w:ilvl w:val="0"/>
          <w:numId w:val="16"/>
        </w:numPr>
        <w:contextualSpacing w:val="0"/>
      </w:pPr>
      <w:r>
        <w:t xml:space="preserve">lack of security of tenure </w:t>
      </w:r>
      <w:r w:rsidR="003423BE">
        <w:t xml:space="preserve">and affordability </w:t>
      </w:r>
      <w:r>
        <w:t>in the private rental market</w:t>
      </w:r>
    </w:p>
    <w:p w14:paraId="7A7D6F40" w14:textId="0921ADEC" w:rsidR="00ED5291" w:rsidRPr="00260879" w:rsidRDefault="00ED5291" w:rsidP="006519CA">
      <w:pPr>
        <w:pStyle w:val="ListParagraph"/>
        <w:numPr>
          <w:ilvl w:val="0"/>
          <w:numId w:val="16"/>
        </w:numPr>
        <w:contextualSpacing w:val="0"/>
      </w:pPr>
      <w:r>
        <w:t>barriers to engaging</w:t>
      </w:r>
      <w:r w:rsidRPr="00ED5291">
        <w:t xml:space="preserve"> with or exclusion from a digital </w:t>
      </w:r>
      <w:r>
        <w:t>property</w:t>
      </w:r>
      <w:r w:rsidRPr="00ED5291">
        <w:t xml:space="preserve"> market</w:t>
      </w:r>
      <w:r w:rsidRPr="00260879">
        <w:t xml:space="preserve"> </w:t>
      </w:r>
    </w:p>
    <w:p w14:paraId="645A5F67" w14:textId="4F216673" w:rsidR="00ED5291" w:rsidRDefault="00147730" w:rsidP="006519CA">
      <w:pPr>
        <w:pStyle w:val="ListParagraph"/>
        <w:numPr>
          <w:ilvl w:val="0"/>
          <w:numId w:val="16"/>
        </w:numPr>
        <w:contextualSpacing w:val="0"/>
      </w:pPr>
      <w:r>
        <w:t xml:space="preserve">fixed incomes relative to rising rents resulting in higher prevalence of rental stress </w:t>
      </w:r>
      <w:r w:rsidR="005B6DE5">
        <w:t xml:space="preserve">(see </w:t>
      </w:r>
      <w:r w:rsidR="008800BE">
        <w:t xml:space="preserve">Figure </w:t>
      </w:r>
      <w:r w:rsidR="00B96E04">
        <w:t>3</w:t>
      </w:r>
      <w:r w:rsidR="005B6DE5">
        <w:t>)</w:t>
      </w:r>
    </w:p>
    <w:p w14:paraId="526F5436" w14:textId="0ED75D20" w:rsidR="00EF4FE4" w:rsidRPr="00EF4FE4" w:rsidRDefault="008C40DA" w:rsidP="006519CA">
      <w:pPr>
        <w:pStyle w:val="ListParagraph"/>
        <w:numPr>
          <w:ilvl w:val="0"/>
          <w:numId w:val="16"/>
        </w:numPr>
        <w:contextualSpacing w:val="0"/>
      </w:pPr>
      <w:r>
        <w:t>income</w:t>
      </w:r>
      <w:r w:rsidR="00147730">
        <w:t xml:space="preserve"> support</w:t>
      </w:r>
      <w:r>
        <w:t xml:space="preserve"> </w:t>
      </w:r>
      <w:r w:rsidR="00147730">
        <w:t>being inadequate to meet</w:t>
      </w:r>
      <w:r w:rsidR="00957F92">
        <w:t xml:space="preserve"> housing costs </w:t>
      </w:r>
      <w:r w:rsidR="00683D94">
        <w:t>if they do</w:t>
      </w:r>
      <w:r>
        <w:t xml:space="preserve"> not own their own home</w:t>
      </w:r>
      <w:r w:rsidR="00EF4FE4">
        <w:t>, particularly if they are single</w:t>
      </w:r>
      <w:r w:rsidR="00275926">
        <w:t>.</w:t>
      </w:r>
    </w:p>
    <w:p w14:paraId="7C7F7D74" w14:textId="398B0ABE" w:rsidR="00FF0ADB" w:rsidRDefault="00957F92" w:rsidP="006519CA">
      <w:pPr>
        <w:rPr>
          <w:noProof/>
        </w:rPr>
      </w:pPr>
      <w:r>
        <w:t>K</w:t>
      </w:r>
      <w:r w:rsidR="000167DA" w:rsidRPr="00ED5291">
        <w:t>ey groups at risk are</w:t>
      </w:r>
      <w:r w:rsidR="00D2732F">
        <w:t xml:space="preserve"> older renters,</w:t>
      </w:r>
      <w:r w:rsidR="000167DA" w:rsidRPr="00ED5291">
        <w:t xml:space="preserve"> Aboriginal Tasmanians, women</w:t>
      </w:r>
      <w:r w:rsidR="00EF4FE4">
        <w:t>,</w:t>
      </w:r>
      <w:r w:rsidR="000167DA" w:rsidRPr="00ED5291">
        <w:t xml:space="preserve"> and people who have experienced relationship breakdown</w:t>
      </w:r>
      <w:r w:rsidR="00052A6A">
        <w:t>, have been widowed</w:t>
      </w:r>
      <w:r w:rsidR="00EF4FE4">
        <w:t xml:space="preserve"> and/or are living alone. </w:t>
      </w:r>
      <w:r w:rsidR="008C40DA">
        <w:t xml:space="preserve">Childhood experiences and trauma </w:t>
      </w:r>
      <w:r w:rsidR="00683D94">
        <w:t>also increase the</w:t>
      </w:r>
      <w:r w:rsidR="008C40DA">
        <w:t xml:space="preserve"> risk of lifelong housing insecurity.</w:t>
      </w:r>
      <w:r w:rsidR="003F1371" w:rsidRPr="003F1371">
        <w:rPr>
          <w:noProof/>
        </w:rPr>
        <w:t xml:space="preserve"> </w:t>
      </w:r>
    </w:p>
    <w:p w14:paraId="2F603C77" w14:textId="77777777" w:rsidR="00FF0ADB" w:rsidRDefault="00FF0ADB" w:rsidP="006519CA">
      <w:pPr>
        <w:rPr>
          <w:noProof/>
        </w:rPr>
      </w:pPr>
    </w:p>
    <w:p w14:paraId="41FCC952" w14:textId="77777777" w:rsidR="00FF0ADB" w:rsidRPr="003F1371" w:rsidRDefault="00FF0ADB" w:rsidP="006519CA">
      <w:pPr>
        <w:pStyle w:val="Heading1"/>
        <w:rPr>
          <w:noProof/>
        </w:rPr>
      </w:pPr>
      <w:r>
        <w:rPr>
          <w:noProof/>
        </w:rPr>
        <w:t>Effects of housing insecurity on older Tasmanians</w:t>
      </w:r>
      <w:r w:rsidRPr="00BA4C11">
        <w:t xml:space="preserve"> </w:t>
      </w:r>
    </w:p>
    <w:p w14:paraId="19C42423" w14:textId="771C3E82" w:rsidR="00FF0ADB" w:rsidRDefault="00FF0ADB" w:rsidP="006519CA">
      <w:pPr>
        <w:pStyle w:val="Style1"/>
      </w:pPr>
      <w:r>
        <w:t>Housing insecurity, including inappropriate housing, has a wide range of negative effects</w:t>
      </w:r>
      <w:r w:rsidR="00275926">
        <w:t>,</w:t>
      </w:r>
      <w:r>
        <w:t xml:space="preserve"> some of which can have greater detrimental impacts on older people. These include:</w:t>
      </w:r>
    </w:p>
    <w:p w14:paraId="14AB01EC" w14:textId="1672F313" w:rsidR="00FF0ADB" w:rsidRDefault="00FF0ADB" w:rsidP="006519CA">
      <w:pPr>
        <w:pStyle w:val="Style1"/>
        <w:numPr>
          <w:ilvl w:val="0"/>
          <w:numId w:val="20"/>
        </w:numPr>
      </w:pPr>
      <w:r>
        <w:t xml:space="preserve">increased homelessness, including overcrowding, </w:t>
      </w:r>
      <w:r w:rsidR="003423BE">
        <w:t xml:space="preserve">and housing stress </w:t>
      </w:r>
      <w:r>
        <w:t>which adversely affect health and longevity</w:t>
      </w:r>
    </w:p>
    <w:p w14:paraId="7F757ED7" w14:textId="77777777" w:rsidR="00FF0ADB" w:rsidRDefault="00FF0ADB" w:rsidP="006519CA">
      <w:pPr>
        <w:pStyle w:val="Style1"/>
        <w:numPr>
          <w:ilvl w:val="0"/>
          <w:numId w:val="20"/>
        </w:numPr>
      </w:pPr>
      <w:r>
        <w:t>the detrimental impacts of moving, particularly if the move is not by choice</w:t>
      </w:r>
    </w:p>
    <w:p w14:paraId="59900294" w14:textId="4EEDFF1F" w:rsidR="00FF0ADB" w:rsidRDefault="00FF0ADB" w:rsidP="006519CA">
      <w:pPr>
        <w:pStyle w:val="Style1"/>
        <w:numPr>
          <w:ilvl w:val="0"/>
          <w:numId w:val="20"/>
        </w:numPr>
      </w:pPr>
      <w:r>
        <w:t xml:space="preserve">health impacts if health and community services are not accessible </w:t>
      </w:r>
    </w:p>
    <w:p w14:paraId="04BFC701" w14:textId="77777777" w:rsidR="00FF0ADB" w:rsidRDefault="00FF0ADB" w:rsidP="006519CA">
      <w:pPr>
        <w:pStyle w:val="Style1"/>
        <w:numPr>
          <w:ilvl w:val="0"/>
          <w:numId w:val="20"/>
        </w:numPr>
      </w:pPr>
      <w:r>
        <w:t>risk of loneliness and social isolation when housing is not available near social supports</w:t>
      </w:r>
    </w:p>
    <w:p w14:paraId="4C421FAB" w14:textId="1B613596" w:rsidR="00FF0ADB" w:rsidRDefault="00FF0ADB" w:rsidP="006519CA">
      <w:pPr>
        <w:pStyle w:val="Style1"/>
        <w:numPr>
          <w:ilvl w:val="0"/>
          <w:numId w:val="20"/>
        </w:numPr>
      </w:pPr>
      <w:r>
        <w:t xml:space="preserve">impact on mental and physical health </w:t>
      </w:r>
      <w:r w:rsidR="00275926">
        <w:t xml:space="preserve">due to </w:t>
      </w:r>
      <w:r>
        <w:t>inability to engage in activities</w:t>
      </w:r>
    </w:p>
    <w:p w14:paraId="1FC5C6B4" w14:textId="77777777" w:rsidR="00FF0ADB" w:rsidRDefault="00FF0ADB" w:rsidP="006519CA">
      <w:pPr>
        <w:pStyle w:val="Style1"/>
        <w:numPr>
          <w:ilvl w:val="0"/>
          <w:numId w:val="20"/>
        </w:numPr>
      </w:pPr>
      <w:r>
        <w:t>increased risks to health due to home being unsafe or not adaptable</w:t>
      </w:r>
    </w:p>
    <w:p w14:paraId="0164AA3B" w14:textId="77777777" w:rsidR="00FF0ADB" w:rsidRDefault="00FF0ADB" w:rsidP="006519CA">
      <w:pPr>
        <w:pStyle w:val="Style1"/>
        <w:numPr>
          <w:ilvl w:val="0"/>
          <w:numId w:val="20"/>
        </w:numPr>
      </w:pPr>
      <w:r>
        <w:t>impacts on mental health due to lack of choice in housing and living arrangements</w:t>
      </w:r>
    </w:p>
    <w:p w14:paraId="30C96838" w14:textId="77777777" w:rsidR="00FF0ADB" w:rsidRDefault="00FF0ADB" w:rsidP="006519CA">
      <w:pPr>
        <w:pStyle w:val="Style1"/>
        <w:numPr>
          <w:ilvl w:val="0"/>
          <w:numId w:val="20"/>
        </w:numPr>
      </w:pPr>
      <w:r>
        <w:t>increased anxiety about housing insecurity</w:t>
      </w:r>
    </w:p>
    <w:p w14:paraId="5C4EAF34" w14:textId="77777777" w:rsidR="006519CA" w:rsidRDefault="00FF0ADB" w:rsidP="006519CA">
      <w:pPr>
        <w:pStyle w:val="Style1"/>
        <w:numPr>
          <w:ilvl w:val="0"/>
          <w:numId w:val="20"/>
        </w:numPr>
        <w:sectPr w:rsidR="006519CA">
          <w:pgSz w:w="11906" w:h="16838"/>
          <w:pgMar w:top="1440" w:right="1440" w:bottom="1440" w:left="1440" w:header="708" w:footer="708" w:gutter="0"/>
          <w:cols w:space="708"/>
          <w:docGrid w:linePitch="360"/>
        </w:sectPr>
      </w:pPr>
      <w:r>
        <w:t>feeling less valued by the community</w:t>
      </w:r>
      <w:r w:rsidR="00275926">
        <w:t>.</w:t>
      </w:r>
    </w:p>
    <w:p w14:paraId="61AC5299" w14:textId="2DFBB7CF" w:rsidR="000167DA" w:rsidRDefault="003F1371" w:rsidP="006519CA">
      <w:pPr>
        <w:rPr>
          <w:i/>
        </w:rPr>
      </w:pPr>
      <w:r w:rsidRPr="006519CA">
        <w:rPr>
          <w:i/>
        </w:rPr>
        <w:lastRenderedPageBreak/>
        <w:t xml:space="preserve">Figure </w:t>
      </w:r>
      <w:r w:rsidR="00E15310" w:rsidRPr="006519CA">
        <w:rPr>
          <w:i/>
        </w:rPr>
        <w:t>2:</w:t>
      </w:r>
      <w:r w:rsidRPr="006519CA">
        <w:rPr>
          <w:i/>
        </w:rPr>
        <w:t xml:space="preserve"> Causes and effects of housing insecurity for older Tasmanians</w:t>
      </w:r>
    </w:p>
    <w:p w14:paraId="2CC751CC" w14:textId="3CF69EE3" w:rsidR="006519CA" w:rsidRPr="006519CA" w:rsidRDefault="006519CA" w:rsidP="006519CA">
      <w:pPr>
        <w:rPr>
          <w:i/>
        </w:rPr>
      </w:pPr>
      <w:r w:rsidRPr="00201238">
        <w:rPr>
          <w:noProof/>
        </w:rPr>
        <w:drawing>
          <wp:anchor distT="0" distB="0" distL="114300" distR="114300" simplePos="0" relativeHeight="251745280" behindDoc="0" locked="0" layoutInCell="1" allowOverlap="1" wp14:anchorId="41752C25" wp14:editId="2E5E1435">
            <wp:simplePos x="0" y="0"/>
            <wp:positionH relativeFrom="margin">
              <wp:align>center</wp:align>
            </wp:positionH>
            <wp:positionV relativeFrom="paragraph">
              <wp:posOffset>188153</wp:posOffset>
            </wp:positionV>
            <wp:extent cx="6429375" cy="5243830"/>
            <wp:effectExtent l="0" t="0" r="9525" b="0"/>
            <wp:wrapTopAndBottom/>
            <wp:docPr id="1" name="Picture 1" descr="Causes and risks:&#10;Increased need for access to services close to home&#10;Changing mobility, health and social needs with age&#10;Inadequate supply of social and affordable housing&#10;Ageing population increasing demand for diversity of age appropriate housing&#10;Lack of security of tenure for tenants in the private rental market&#10;Digitisation of rental market and digital exclusion&#10;Rents unstable and rising but incomes relatively fixed&#10;Increased risk for older women and Aboriginal Tasmanians&#10;Inadequate income for older non-homeowners and singles&#10;Childhood impacts on lifelong housing security&#10;Relationship breakdown and/or living alone&#10;Effects:&#10;Poorer health due to lack of access to health and community services&#10;Negative health impacts due to moving that increase with age&#10;Increased risk to health due to home being unsafe or not suitable&#10;Increased homelessness, including overcrowded housing&#10;Increased risk of social isolation&#10;Older Tasmanians feel less valued by the community&#10;Increased anxiety about housing security&#10;Poorer mental health due to lack of choice in housing and living arrangements&#10;Poorer mental health due to inability to engage in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b="9159"/>
                    <a:stretch/>
                  </pic:blipFill>
                  <pic:spPr bwMode="auto">
                    <a:xfrm>
                      <a:off x="0" y="0"/>
                      <a:ext cx="6429375" cy="5243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1238">
        <w:rPr>
          <w:noProof/>
        </w:rPr>
        <w:drawing>
          <wp:anchor distT="0" distB="0" distL="114300" distR="114300" simplePos="0" relativeHeight="251747328" behindDoc="0" locked="0" layoutInCell="1" allowOverlap="1" wp14:anchorId="48997B4E" wp14:editId="51526FDD">
            <wp:simplePos x="0" y="0"/>
            <wp:positionH relativeFrom="margin">
              <wp:align>center</wp:align>
            </wp:positionH>
            <wp:positionV relativeFrom="paragraph">
              <wp:posOffset>5430106</wp:posOffset>
            </wp:positionV>
            <wp:extent cx="1259840" cy="297815"/>
            <wp:effectExtent l="0" t="0" r="0" b="698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38016" t="94145" r="39100" b="-180"/>
                    <a:stretch/>
                  </pic:blipFill>
                  <pic:spPr bwMode="auto">
                    <a:xfrm>
                      <a:off x="0" y="0"/>
                      <a:ext cx="1259840" cy="297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805FEE" w14:textId="2AAC2442" w:rsidR="006519CA" w:rsidRDefault="006519CA">
      <w:pPr>
        <w:sectPr w:rsidR="006519CA" w:rsidSect="006519CA">
          <w:pgSz w:w="16838" w:h="11906" w:orient="landscape"/>
          <w:pgMar w:top="1440" w:right="1440" w:bottom="1440" w:left="1440" w:header="708" w:footer="708" w:gutter="0"/>
          <w:cols w:space="708"/>
          <w:docGrid w:linePitch="360"/>
        </w:sectPr>
      </w:pPr>
    </w:p>
    <w:p w14:paraId="2B70302F" w14:textId="6FC57D6A" w:rsidR="00A3189E" w:rsidRDefault="00A3189E" w:rsidP="006519CA">
      <w:pPr>
        <w:pStyle w:val="Heading2"/>
      </w:pPr>
      <w:r w:rsidRPr="007B3E86">
        <w:lastRenderedPageBreak/>
        <w:t>C</w:t>
      </w:r>
      <w:r>
        <w:t>lient story</w:t>
      </w:r>
      <w:r w:rsidR="005C5342">
        <w:t xml:space="preserve"> </w:t>
      </w:r>
      <w:r>
        <w:t>—</w:t>
      </w:r>
      <w:r w:rsidR="005C5342">
        <w:t xml:space="preserve"> </w:t>
      </w:r>
      <w:r>
        <w:t>C</w:t>
      </w:r>
      <w:r w:rsidRPr="007B3E86">
        <w:t xml:space="preserve">olin </w:t>
      </w:r>
    </w:p>
    <w:p w14:paraId="06693610" w14:textId="77777777" w:rsidR="00E878E0" w:rsidRPr="00E878E0" w:rsidRDefault="00E878E0" w:rsidP="00E878E0"/>
    <w:p w14:paraId="09F5451B" w14:textId="77777777" w:rsidR="00A3189E" w:rsidRPr="007B3E86" w:rsidRDefault="00A3189E" w:rsidP="006519CA">
      <w:pPr>
        <w:shd w:val="clear" w:color="auto" w:fill="F2F2F2" w:themeFill="background1" w:themeFillShade="F2"/>
      </w:pPr>
      <w:r w:rsidRPr="007B3E86">
        <w:t>Colin is a single man in his 70s who lives next door to his landlord in a small town on the North West Coast. His landlord does not allow him to have guests at certain times of day and Colin feels overly monitored. He would like to move to a different property with greater privacy that feels more like a home of his own.</w:t>
      </w:r>
    </w:p>
    <w:p w14:paraId="2168E1F8" w14:textId="77777777" w:rsidR="00A3189E" w:rsidRPr="007B3E86" w:rsidRDefault="00A3189E" w:rsidP="006519CA">
      <w:pPr>
        <w:shd w:val="clear" w:color="auto" w:fill="F2F2F2" w:themeFill="background1" w:themeFillShade="F2"/>
      </w:pPr>
      <w:r w:rsidRPr="007B3E86">
        <w:t>The problem is that private rental properties are only advertised online and real estate agents only accept online applications. Like many older people, Colin never learnt how to use email or the internet. He’s bought a smartphone and his son taught him how to text, but websites, online application forms and uploading documents are too complicated for him. He doesn’t know anyone with time to help him with every step of the process, so Colin feels as if he’s stuck where he is indefinitely.</w:t>
      </w:r>
    </w:p>
    <w:p w14:paraId="4FB1B3AB" w14:textId="77777777" w:rsidR="00A3189E" w:rsidRDefault="00A3189E" w:rsidP="006519CA">
      <w:pPr>
        <w:shd w:val="clear" w:color="auto" w:fill="F2F2F2" w:themeFill="background1" w:themeFillShade="F2"/>
      </w:pPr>
      <w:r w:rsidRPr="007B3E86">
        <w:t xml:space="preserve">Colin receives Age Pension and has a fortnightly income of $1100. He can afford $192 weekly rent. After his experiences with </w:t>
      </w:r>
      <w:r>
        <w:t>his current landlord</w:t>
      </w:r>
      <w:r w:rsidRPr="007B3E86">
        <w:t>, Colin is looking forward to living alone and is reluctant to consider a sharehouse. However, in most parts of Tasmania a one-bedroom unit costs at least $250, and more likely over $300.</w:t>
      </w:r>
    </w:p>
    <w:p w14:paraId="6F469962" w14:textId="5D30F818" w:rsidR="00A3189E" w:rsidRPr="007B3E86" w:rsidRDefault="00A3189E" w:rsidP="006519CA">
      <w:pPr>
        <w:shd w:val="clear" w:color="auto" w:fill="F2F2F2" w:themeFill="background1" w:themeFillShade="F2"/>
      </w:pPr>
      <w:r>
        <w:t>On a weekend in March 2024, Colin would have found the following properties</w:t>
      </w:r>
    </w:p>
    <w:p w14:paraId="027744E2" w14:textId="77777777" w:rsidR="00A3189E" w:rsidRPr="007B3E86" w:rsidRDefault="00A3189E" w:rsidP="006519CA">
      <w:pPr>
        <w:shd w:val="clear" w:color="auto" w:fill="F2F2F2" w:themeFill="background1" w:themeFillShade="F2"/>
        <w:spacing w:after="0"/>
      </w:pPr>
      <w:r w:rsidRPr="007B3E86">
        <w:t>Affordable and appropriate (unshared): 2 (Rosebery)</w:t>
      </w:r>
    </w:p>
    <w:p w14:paraId="349A4461" w14:textId="77777777" w:rsidR="00A3189E" w:rsidRPr="007B3E86" w:rsidRDefault="00A3189E" w:rsidP="006519CA">
      <w:pPr>
        <w:shd w:val="clear" w:color="auto" w:fill="F2F2F2" w:themeFill="background1" w:themeFillShade="F2"/>
        <w:spacing w:after="0"/>
      </w:pPr>
      <w:r w:rsidRPr="007B3E86">
        <w:t>Affordable and appropriate (shared): 25 (statewide)</w:t>
      </w:r>
    </w:p>
    <w:p w14:paraId="1D3E1283" w14:textId="77777777" w:rsidR="00A3189E" w:rsidRPr="007B3E86" w:rsidRDefault="00A3189E" w:rsidP="006519CA">
      <w:pPr>
        <w:shd w:val="clear" w:color="auto" w:fill="F2F2F2" w:themeFill="background1" w:themeFillShade="F2"/>
        <w:spacing w:after="0"/>
      </w:pPr>
      <w:r w:rsidRPr="007B3E86">
        <w:t>Cheapest appropriate: $290 (ground floor unit, Burnie)</w:t>
      </w:r>
    </w:p>
    <w:p w14:paraId="43301588" w14:textId="77777777" w:rsidR="006519CA" w:rsidRDefault="006519CA">
      <w:pPr>
        <w:rPr>
          <w:rFonts w:eastAsiaTheme="majorEastAsia" w:cstheme="majorBidi"/>
          <w:color w:val="2F5496" w:themeColor="accent1" w:themeShade="BF"/>
          <w:sz w:val="32"/>
          <w:szCs w:val="32"/>
        </w:rPr>
      </w:pPr>
      <w:r>
        <w:br w:type="page"/>
      </w:r>
    </w:p>
    <w:p w14:paraId="23AF59A4" w14:textId="7B516F7D" w:rsidR="0095795E" w:rsidRDefault="00FF0ADB" w:rsidP="006519CA">
      <w:pPr>
        <w:pStyle w:val="Heading1"/>
      </w:pPr>
      <w:r>
        <w:lastRenderedPageBreak/>
        <w:t xml:space="preserve">Key </w:t>
      </w:r>
      <w:r w:rsidR="00D47E79">
        <w:t>i</w:t>
      </w:r>
      <w:r>
        <w:t>ssues and gaps</w:t>
      </w:r>
    </w:p>
    <w:p w14:paraId="7D7919ED" w14:textId="6413F49E" w:rsidR="00B75CB1" w:rsidRDefault="00403E6C" w:rsidP="006519CA">
      <w:pPr>
        <w:pStyle w:val="Style1"/>
      </w:pPr>
      <w:r>
        <w:t>In April 2024, t</w:t>
      </w:r>
      <w:r w:rsidR="00B75CB1">
        <w:t>he National Housing Supply and Affordability Council</w:t>
      </w:r>
      <w:r>
        <w:t xml:space="preserve"> (NHSAC) </w:t>
      </w:r>
      <w:r w:rsidR="00B75CB1">
        <w:t>concluded that:</w:t>
      </w:r>
    </w:p>
    <w:p w14:paraId="2B428D11" w14:textId="1B832868" w:rsidR="00B75CB1" w:rsidRPr="00651B07" w:rsidRDefault="00B75CB1" w:rsidP="006519CA">
      <w:pPr>
        <w:pStyle w:val="IntenseQuote"/>
        <w:rPr>
          <w:sz w:val="20"/>
          <w:szCs w:val="20"/>
        </w:rPr>
      </w:pPr>
      <w:r w:rsidRPr="00651B07">
        <w:t>‘The housing system’s inability to supply sufficient housing that meets the population’s needs is the primary reason for worsening affordability’</w:t>
      </w:r>
      <w:r w:rsidRPr="00651B07">
        <w:fldChar w:fldCharType="begin"/>
      </w:r>
      <w:r w:rsidR="008C6123">
        <w:instrText xml:space="preserve"> ADDIN EN.CITE &lt;EndNote&gt;&lt;Cite&gt;&lt;Author&gt;National Housing Supply and Affordability Council&lt;/Author&gt;&lt;Year&gt;2024&lt;/Year&gt;&lt;RecNum&gt;244&lt;/RecNum&gt;&lt;DisplayText&gt;[1]&lt;/DisplayText&gt;&lt;record&gt;&lt;rec-number&gt;244&lt;/rec-number&gt;&lt;foreign-keys&gt;&lt;key app="EN" db-id="50a0w5efwezpaee0a2s5tv5b2aef0adxe9z2" timestamp="1715043260"&gt;244&lt;/key&gt;&lt;/foreign-keys&gt;&lt;ref-type name="Report"&gt;27&lt;/ref-type&gt;&lt;contributors&gt;&lt;authors&gt;&lt;author&gt;National Housing Supply and Affordability Council,&lt;/author&gt;&lt;/authors&gt;&lt;/contributors&gt;&lt;titles&gt;&lt;title&gt;State of the Housing System 2024&lt;/title&gt;&lt;/titles&gt;&lt;dates&gt;&lt;year&gt;2024&lt;/year&gt;&lt;/dates&gt;&lt;pub-location&gt;Canberra&lt;/pub-location&gt;&lt;publisher&gt;Commonwealth of Australia&lt;/publisher&gt;&lt;urls&gt;&lt;related-urls&gt;&lt;url&gt;https://nhsac.gov.au/sites/nhsac.gov.au/files/2024-05/state-of-the-housing-system-2024.pdf&lt;/url&gt;&lt;/related-urls&gt;&lt;/urls&gt;&lt;/record&gt;&lt;/Cite&gt;&lt;/EndNote&gt;</w:instrText>
      </w:r>
      <w:r w:rsidRPr="00651B07">
        <w:fldChar w:fldCharType="separate"/>
      </w:r>
      <w:r w:rsidRPr="00651B07">
        <w:rPr>
          <w:noProof/>
        </w:rPr>
        <w:t>[1]</w:t>
      </w:r>
      <w:r w:rsidRPr="00651B07">
        <w:fldChar w:fldCharType="end"/>
      </w:r>
    </w:p>
    <w:p w14:paraId="711E9D9B" w14:textId="26B6DDBF" w:rsidR="00B75CB1" w:rsidRDefault="0062773E" w:rsidP="006519CA">
      <w:r>
        <w:t xml:space="preserve">Increasing housing supply is necessary but not sufficient on its own to deliver housing security for older Tasmanians. </w:t>
      </w:r>
      <w:r w:rsidR="00B75CB1">
        <w:t xml:space="preserve">This section identifies </w:t>
      </w:r>
      <w:r w:rsidR="00403E6C">
        <w:t xml:space="preserve">some key </w:t>
      </w:r>
      <w:r w:rsidR="00B75CB1">
        <w:t>issues that need to be addressed in order to meet the housing needs of older Tasmanians.</w:t>
      </w:r>
    </w:p>
    <w:p w14:paraId="5065ABF9" w14:textId="77777777" w:rsidR="006519CA" w:rsidRDefault="006519CA" w:rsidP="006519CA"/>
    <w:p w14:paraId="1DBFC8DE" w14:textId="14216D25" w:rsidR="004C637E" w:rsidRDefault="005F3471" w:rsidP="006519CA">
      <w:pPr>
        <w:pStyle w:val="Heading2"/>
      </w:pPr>
      <w:r>
        <w:t>Intergovernmental and interagency coordination</w:t>
      </w:r>
    </w:p>
    <w:p w14:paraId="2B5B82BB" w14:textId="622C4A82" w:rsidR="00687AED" w:rsidRDefault="005F3471" w:rsidP="006519CA">
      <w:r>
        <w:t>The response to Tasmania’s ageing population will be a dominating influence on government policy and outcomes for the foreseeable future</w:t>
      </w:r>
      <w:r w:rsidR="0062773E">
        <w:t>. A successful response will require</w:t>
      </w:r>
      <w:r w:rsidR="0062773E" w:rsidRPr="0062773E">
        <w:t xml:space="preserve"> </w:t>
      </w:r>
      <w:r w:rsidR="0062773E">
        <w:t>planning and coordination with federal and local governments as well as across state government agencies</w:t>
      </w:r>
      <w:r>
        <w:t xml:space="preserve">. </w:t>
      </w:r>
      <w:r w:rsidR="0062773E">
        <w:t>A task of this magnitude justifies the appointment of a</w:t>
      </w:r>
      <w:r w:rsidR="0070049F">
        <w:t xml:space="preserve"> dedicated Minister</w:t>
      </w:r>
      <w:r w:rsidR="00EE16A7">
        <w:t xml:space="preserve"> </w:t>
      </w:r>
      <w:r w:rsidR="0070049F">
        <w:t>to</w:t>
      </w:r>
      <w:r w:rsidR="009727FF">
        <w:t xml:space="preserve"> plan and deliver </w:t>
      </w:r>
      <w:r w:rsidR="0070049F">
        <w:t>this response</w:t>
      </w:r>
      <w:r w:rsidR="0070049F" w:rsidRPr="0070049F">
        <w:t xml:space="preserve"> </w:t>
      </w:r>
      <w:r w:rsidR="0070049F">
        <w:t>at the state level.</w:t>
      </w:r>
    </w:p>
    <w:p w14:paraId="58335975" w14:textId="77777777" w:rsidR="006519CA" w:rsidRPr="00687AED" w:rsidRDefault="006519CA" w:rsidP="006519CA"/>
    <w:p w14:paraId="6D345411" w14:textId="7E9E6619" w:rsidR="00821935" w:rsidRDefault="001039FD" w:rsidP="006519CA">
      <w:pPr>
        <w:pStyle w:val="Heading2"/>
      </w:pPr>
      <w:r>
        <w:t>I</w:t>
      </w:r>
      <w:r w:rsidR="00B73D14">
        <w:t>nnovation in housing models</w:t>
      </w:r>
      <w:r>
        <w:t>, construction and financing</w:t>
      </w:r>
    </w:p>
    <w:p w14:paraId="03CBBDC8" w14:textId="486CD08C" w:rsidR="001039FD" w:rsidRDefault="001039FD" w:rsidP="004E75F5">
      <w:r>
        <w:t xml:space="preserve">The State of the Housing System 2024 refers to ‘retirement villages’ </w:t>
      </w:r>
      <w:r w:rsidR="00045260">
        <w:t>as a response</w:t>
      </w:r>
      <w:r>
        <w:t xml:space="preserve"> to housing for older people.</w:t>
      </w:r>
      <w:r>
        <w:fldChar w:fldCharType="begin"/>
      </w:r>
      <w:r w:rsidR="008C6123">
        <w:instrText xml:space="preserve"> ADDIN EN.CITE &lt;EndNote&gt;&lt;Cite&gt;&lt;Author&gt;National Housing Supply and Affordability Council&lt;/Author&gt;&lt;Year&gt;2024&lt;/Year&gt;&lt;RecNum&gt;244&lt;/RecNum&gt;&lt;DisplayText&gt;[1]&lt;/DisplayText&gt;&lt;record&gt;&lt;rec-number&gt;244&lt;/rec-number&gt;&lt;foreign-keys&gt;&lt;key app="EN" db-id="50a0w5efwezpaee0a2s5tv5b2aef0adxe9z2" timestamp="1715043260"&gt;244&lt;/key&gt;&lt;/foreign-keys&gt;&lt;ref-type name="Report"&gt;27&lt;/ref-type&gt;&lt;contributors&gt;&lt;authors&gt;&lt;author&gt;National Housing Supply and Affordability Council,&lt;/author&gt;&lt;/authors&gt;&lt;/contributors&gt;&lt;titles&gt;&lt;title&gt;State of the Housing System 2024&lt;/title&gt;&lt;/titles&gt;&lt;dates&gt;&lt;year&gt;2024&lt;/year&gt;&lt;/dates&gt;&lt;pub-location&gt;Canberra&lt;/pub-location&gt;&lt;publisher&gt;Commonwealth of Australia&lt;/publisher&gt;&lt;urls&gt;&lt;related-urls&gt;&lt;url&gt;https://nhsac.gov.au/sites/nhsac.gov.au/files/2024-05/state-of-the-housing-system-2024.pdf&lt;/url&gt;&lt;/related-urls&gt;&lt;/urls&gt;&lt;/record&gt;&lt;/Cite&gt;&lt;/EndNote&gt;</w:instrText>
      </w:r>
      <w:r>
        <w:fldChar w:fldCharType="separate"/>
      </w:r>
      <w:r>
        <w:rPr>
          <w:noProof/>
        </w:rPr>
        <w:t>[1]</w:t>
      </w:r>
      <w:r>
        <w:fldChar w:fldCharType="end"/>
      </w:r>
      <w:r>
        <w:t xml:space="preserve"> It is important to recognise that a broad and diverse range of housing options </w:t>
      </w:r>
      <w:r w:rsidR="00D47E79">
        <w:t xml:space="preserve">is </w:t>
      </w:r>
      <w:r>
        <w:t>required to meet the need of older Tasmanians for their own space, access to services</w:t>
      </w:r>
      <w:r w:rsidR="00D47E79">
        <w:t>,</w:t>
      </w:r>
      <w:r>
        <w:t xml:space="preserve"> and social connection</w:t>
      </w:r>
      <w:r w:rsidR="00ED7C98">
        <w:t xml:space="preserve">, including alternatives such as </w:t>
      </w:r>
      <w:r w:rsidR="002812CB">
        <w:t xml:space="preserve">cooperative housing, </w:t>
      </w:r>
      <w:r w:rsidR="00ED7C98">
        <w:t>co</w:t>
      </w:r>
      <w:r w:rsidR="002812CB">
        <w:noBreakHyphen/>
      </w:r>
      <w:r w:rsidR="00ED7C98">
        <w:t>housing and co-ownership models.</w:t>
      </w:r>
    </w:p>
    <w:p w14:paraId="0429919C" w14:textId="7E2F10DB" w:rsidR="006519CA" w:rsidRDefault="00403E6C" w:rsidP="006519CA">
      <w:r>
        <w:t>The</w:t>
      </w:r>
      <w:r w:rsidR="001039FD">
        <w:t xml:space="preserve"> NHSAC report also points to the need for innovation in </w:t>
      </w:r>
      <w:r w:rsidR="00045260">
        <w:t xml:space="preserve">housing </w:t>
      </w:r>
      <w:r w:rsidR="001039FD">
        <w:t>construction</w:t>
      </w:r>
      <w:r>
        <w:t xml:space="preserve">, design and financing </w:t>
      </w:r>
      <w:r w:rsidR="001039FD">
        <w:t xml:space="preserve">models </w:t>
      </w:r>
      <w:r w:rsidR="00045260">
        <w:t xml:space="preserve">in order </w:t>
      </w:r>
      <w:r w:rsidR="001039FD">
        <w:t xml:space="preserve">to produce homes faster, </w:t>
      </w:r>
      <w:r>
        <w:t xml:space="preserve">introduce innovations in housing design, </w:t>
      </w:r>
      <w:r w:rsidR="001039FD">
        <w:t xml:space="preserve">make </w:t>
      </w:r>
      <w:r w:rsidR="00045260">
        <w:t>well</w:t>
      </w:r>
      <w:r w:rsidR="00D47E79">
        <w:t>-</w:t>
      </w:r>
      <w:r w:rsidR="00045260">
        <w:t>designed houses</w:t>
      </w:r>
      <w:r w:rsidR="001039FD">
        <w:t xml:space="preserve"> affordable, and increase the sustainability and energy efficiency of </w:t>
      </w:r>
      <w:r w:rsidR="00045260">
        <w:t>Tasmania’s housing stock.</w:t>
      </w:r>
      <w:r w:rsidR="001039FD">
        <w:t xml:space="preserve"> </w:t>
      </w:r>
    </w:p>
    <w:p w14:paraId="224E40F3" w14:textId="77777777" w:rsidR="006519CA" w:rsidRDefault="006519CA">
      <w:r>
        <w:br w:type="page"/>
      </w:r>
    </w:p>
    <w:p w14:paraId="29C32B38" w14:textId="3E0A8895" w:rsidR="00FF0ADB" w:rsidRPr="00DF499F" w:rsidRDefault="00ED7C98" w:rsidP="006519CA">
      <w:pPr>
        <w:pStyle w:val="Heading2"/>
      </w:pPr>
      <w:r>
        <w:lastRenderedPageBreak/>
        <w:t>H</w:t>
      </w:r>
      <w:r w:rsidR="00821935">
        <w:t>ousing security for older Tasmanian</w:t>
      </w:r>
      <w:r>
        <w:t xml:space="preserve"> renters</w:t>
      </w:r>
    </w:p>
    <w:p w14:paraId="555493ED" w14:textId="6331C40A" w:rsidR="0001208C" w:rsidRDefault="00FF0ADB" w:rsidP="006519CA">
      <w:r>
        <w:t>Compared to older Tasmanians living in a home they own, older renters struggle to pay their bills,</w:t>
      </w:r>
      <w:r w:rsidRPr="00D46B22">
        <w:rPr>
          <w:noProof/>
        </w:rPr>
        <w:t xml:space="preserve"> </w:t>
      </w:r>
      <w:r>
        <w:t>meet their housing costs, and heat their home. They are less satisfied with their security and safety, and with their ability to adapt their home to make it accessible.</w:t>
      </w:r>
    </w:p>
    <w:p w14:paraId="0D74BB5D" w14:textId="3C95263D" w:rsidR="00E878E0" w:rsidRPr="00726CF2" w:rsidRDefault="00E878E0" w:rsidP="00E878E0">
      <w:pPr>
        <w:pStyle w:val="IntenseQuote"/>
      </w:pPr>
      <w:r w:rsidRPr="00726CF2">
        <w:t>‘For pensioner couples and other low-income households, there are very few options … in the entire state. The Acceptable rents are only available … far from services and therefore likely to be an undesirable option for pension households.’</w:t>
      </w:r>
      <w:r>
        <w:t xml:space="preserve"> </w:t>
      </w:r>
      <w:r>
        <w:fldChar w:fldCharType="begin"/>
      </w:r>
      <w:r>
        <w:instrText xml:space="preserve"> ADDIN EN.CITE &lt;EndNote&gt;&lt;Cite&gt;&lt;Author&gt;SGS Economics and Planning&lt;/Author&gt;&lt;Year&gt;2023&lt;/Year&gt;&lt;RecNum&gt;198&lt;/RecNum&gt;&lt;DisplayText&gt;[2]&lt;/DisplayText&gt;&lt;record&gt;&lt;rec-number&gt;198&lt;/rec-number&gt;&lt;foreign-keys&gt;&lt;key app="EN" db-id="50a0w5efwezpaee0a2s5tv5b2aef0adxe9z2" timestamp="1712634989"&gt;198&lt;/key&gt;&lt;/foreign-keys&gt;&lt;ref-type name="Report"&gt;27&lt;/ref-type&gt;&lt;contributors&gt;&lt;authors&gt;&lt;author&gt;SGS Economics and Planning,&lt;/author&gt;&lt;/authors&gt;&lt;tertiary-authors&gt;&lt;author&gt;SGS,&lt;/author&gt;&lt;/tertiary-authors&gt;&lt;/contributors&gt;&lt;titles&gt;&lt;title&gt;Rental Affordability Index&lt;/title&gt;&lt;/titles&gt;&lt;dates&gt;&lt;year&gt;2023&lt;/year&gt;&lt;/dates&gt;&lt;pub-location&gt;Canberra&lt;/pub-location&gt;&lt;urls&gt;&lt;/urls&gt;&lt;/record&gt;&lt;/Cite&gt;&lt;/EndNote&gt;</w:instrText>
      </w:r>
      <w:r>
        <w:fldChar w:fldCharType="separate"/>
      </w:r>
      <w:r>
        <w:rPr>
          <w:noProof/>
        </w:rPr>
        <w:t>[2]</w:t>
      </w:r>
      <w:r>
        <w:fldChar w:fldCharType="end"/>
      </w:r>
    </w:p>
    <w:p w14:paraId="2BC11721" w14:textId="6EA6AAE6" w:rsidR="0070049F" w:rsidRDefault="0070049F" w:rsidP="006519CA">
      <w:r>
        <w:t xml:space="preserve">Compared to younger renters, older Tasmanians are more likely to </w:t>
      </w:r>
      <w:r w:rsidR="0062773E">
        <w:t>live in poverty</w:t>
      </w:r>
      <w:r w:rsidR="0001208C">
        <w:t xml:space="preserve">, with </w:t>
      </w:r>
      <w:r>
        <w:t>almost 4 in 10 (38%) older Tasmanian renters (aged 55 years or more) experiencing rental stress compared</w:t>
      </w:r>
      <w:r w:rsidRPr="00403E6C">
        <w:rPr>
          <w:noProof/>
        </w:rPr>
        <w:t xml:space="preserve"> </w:t>
      </w:r>
      <w:r>
        <w:t xml:space="preserve">to 27% of renters aged under 55 </w:t>
      </w:r>
      <w:r>
        <w:fldChar w:fldCharType="begin"/>
      </w:r>
      <w:r w:rsidR="00183AB6">
        <w:instrText xml:space="preserve"> ADDIN EN.CITE &lt;EndNote&gt;&lt;Cite&gt;&lt;Author&gt;Australian Bureau of Statistics&lt;/Author&gt;&lt;Year&gt;2021&lt;/Year&gt;&lt;RecNum&gt;238&lt;/RecNum&gt;&lt;DisplayText&gt;[8]&lt;/DisplayText&gt;&lt;record&gt;&lt;rec-number&gt;238&lt;/rec-number&gt;&lt;foreign-keys&gt;&lt;key app="EN" db-id="50a0w5efwezpaee0a2s5tv5b2aef0adxe9z2" timestamp="1714709536"&gt;238&lt;/key&gt;&lt;/foreign-keys&gt;&lt;ref-type name="Web Page"&gt;12&lt;/ref-type&gt;&lt;contributors&gt;&lt;authors&gt;&lt;author&gt;Australian Bureau of Statistics,&lt;/author&gt;&lt;/authors&gt;&lt;/contributors&gt;&lt;titles&gt;&lt;title&gt;Census of population and housing&lt;/title&gt;&lt;secondary-title&gt;Tablebuilder&lt;/secondary-title&gt;&lt;/titles&gt;&lt;number&gt;May 2024&lt;/number&gt;&lt;dates&gt;&lt;year&gt;2021&lt;/year&gt;&lt;/dates&gt;&lt;pub-location&gt;Canberra&lt;/pub-location&gt;&lt;publisher&gt;ABS&lt;/publisher&gt;&lt;urls&gt;&lt;related-urls&gt;&lt;url&gt;https://www.abs.gov.au/census/find-census-data/census-data-topic&lt;/url&gt;&lt;/related-urls&gt;&lt;/urls&gt;&lt;/record&gt;&lt;/Cite&gt;&lt;/EndNote&gt;</w:instrText>
      </w:r>
      <w:r>
        <w:fldChar w:fldCharType="separate"/>
      </w:r>
      <w:r w:rsidR="00275926">
        <w:rPr>
          <w:noProof/>
        </w:rPr>
        <w:t>[8]</w:t>
      </w:r>
      <w:r>
        <w:fldChar w:fldCharType="end"/>
      </w:r>
      <w:r w:rsidR="00525AD4">
        <w:t xml:space="preserve"> (see Figure </w:t>
      </w:r>
      <w:r w:rsidR="00B96E04" w:rsidRPr="00B96E04">
        <w:t>3</w:t>
      </w:r>
      <w:r w:rsidR="00525AD4">
        <w:t>)</w:t>
      </w:r>
      <w:r w:rsidR="004E75F5">
        <w:t>.</w:t>
      </w:r>
    </w:p>
    <w:p w14:paraId="7BDD7476" w14:textId="11EFCD17" w:rsidR="00E878E0" w:rsidRDefault="00E878E0" w:rsidP="006519CA">
      <w:pPr>
        <w:rPr>
          <w:noProof/>
        </w:rPr>
      </w:pPr>
      <w:r w:rsidRPr="00E878E0">
        <w:rPr>
          <w:i/>
        </w:rPr>
        <w:t>Figure 3: Rental stress by age</w:t>
      </w:r>
      <w:r w:rsidRPr="00DA4B26">
        <w:rPr>
          <w:noProof/>
        </w:rPr>
        <w:drawing>
          <wp:anchor distT="0" distB="0" distL="114300" distR="114300" simplePos="0" relativeHeight="251717632" behindDoc="1" locked="0" layoutInCell="1" allowOverlap="1" wp14:anchorId="3790F3C0" wp14:editId="01B3DF1A">
            <wp:simplePos x="0" y="0"/>
            <wp:positionH relativeFrom="margin">
              <wp:align>center</wp:align>
            </wp:positionH>
            <wp:positionV relativeFrom="paragraph">
              <wp:posOffset>166894</wp:posOffset>
            </wp:positionV>
            <wp:extent cx="4356735" cy="3506470"/>
            <wp:effectExtent l="0" t="0" r="5715" b="0"/>
            <wp:wrapTopAndBottom/>
            <wp:docPr id="2" name="Chart 2" descr="Graph showing rental stress is 27% for people aged 18-54 and 38% for people aged 55+">
              <a:extLst xmlns:a="http://schemas.openxmlformats.org/drawingml/2006/main">
                <a:ext uri="{FF2B5EF4-FFF2-40B4-BE49-F238E27FC236}">
                  <a16:creationId xmlns:a16="http://schemas.microsoft.com/office/drawing/2014/main" id="{DB895166-1798-47C2-ADB3-6D383AED1A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4FDE1DD6" w14:textId="379BA427" w:rsidR="00E878E0" w:rsidRDefault="00E878E0">
      <w:pPr>
        <w:rPr>
          <w:noProof/>
        </w:rPr>
      </w:pPr>
      <w:r>
        <w:rPr>
          <w:noProof/>
        </w:rPr>
        <w:br w:type="page"/>
      </w:r>
    </w:p>
    <w:p w14:paraId="048B44EF" w14:textId="05C26271" w:rsidR="00E878E0" w:rsidRPr="00E878E0" w:rsidRDefault="008E3A14" w:rsidP="006519CA">
      <w:pPr>
        <w:rPr>
          <w:i/>
          <w:noProof/>
        </w:rPr>
      </w:pPr>
      <w:r w:rsidRPr="007B3E86">
        <w:rPr>
          <w:noProof/>
        </w:rPr>
        <w:lastRenderedPageBreak/>
        <w:drawing>
          <wp:anchor distT="0" distB="0" distL="114300" distR="114300" simplePos="0" relativeHeight="251716608" behindDoc="1" locked="0" layoutInCell="1" allowOverlap="1" wp14:anchorId="44B0AAA4" wp14:editId="55D30231">
            <wp:simplePos x="0" y="0"/>
            <wp:positionH relativeFrom="margin">
              <wp:align>center</wp:align>
            </wp:positionH>
            <wp:positionV relativeFrom="paragraph">
              <wp:posOffset>0</wp:posOffset>
            </wp:positionV>
            <wp:extent cx="4826000" cy="3705225"/>
            <wp:effectExtent l="0" t="0" r="0" b="0"/>
            <wp:wrapTopAndBottom/>
            <wp:docPr id="7" name="Chart 7" descr="Line graph with two lines. The one for Single people on a pension is between 3 and 5% for 2017-19, then lies flat at 0%. The one for a couple rises as high as 17% in 2017, then drops sharply to 3% in 2020 and remains flat thereafter.">
              <a:extLst xmlns:a="http://schemas.openxmlformats.org/drawingml/2006/main">
                <a:ext uri="{FF2B5EF4-FFF2-40B4-BE49-F238E27FC236}">
                  <a16:creationId xmlns:a16="http://schemas.microsoft.com/office/drawing/2014/main" id="{277B44D1-C975-4906-BC9D-6DA7676C03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E878E0" w:rsidRPr="00E878E0">
        <w:rPr>
          <w:i/>
        </w:rPr>
        <w:t xml:space="preserve">Figure 4: Affordable rental properties </w:t>
      </w:r>
    </w:p>
    <w:p w14:paraId="75104065" w14:textId="2CDF18AD" w:rsidR="0001208C" w:rsidRDefault="0001208C" w:rsidP="006519CA">
      <w:r>
        <w:rPr>
          <w:noProof/>
        </w:rPr>
        <w:t>In March 2024, there were</w:t>
      </w:r>
      <w:r>
        <w:t xml:space="preserve"> virtually no private rental properties advertised </w:t>
      </w:r>
      <w:r w:rsidR="00CB61FE">
        <w:t xml:space="preserve">in </w:t>
      </w:r>
      <w:r>
        <w:t xml:space="preserve">Tasmania that were affordable for people relying on the age pension, let alone properties that meet accessibility needs and are located close to services. </w:t>
      </w:r>
      <w:r w:rsidR="00525AD4">
        <w:t xml:space="preserve">(see </w:t>
      </w:r>
      <w:r w:rsidR="00525AD4" w:rsidRPr="00B96E04">
        <w:t xml:space="preserve">Figure </w:t>
      </w:r>
      <w:r w:rsidR="00B96E04">
        <w:t>4</w:t>
      </w:r>
      <w:r w:rsidR="00F64E66">
        <w:t>)</w:t>
      </w:r>
      <w:r w:rsidR="00525AD4">
        <w:t>.</w:t>
      </w:r>
    </w:p>
    <w:p w14:paraId="44B7BD0F" w14:textId="714C4F33" w:rsidR="0070049F" w:rsidRDefault="0070049F" w:rsidP="006519CA">
      <w:pPr>
        <w:pStyle w:val="Style1"/>
      </w:pPr>
      <w:r>
        <w:t>Colin’s story illustrates the</w:t>
      </w:r>
      <w:r w:rsidR="0001208C">
        <w:t xml:space="preserve"> need for</w:t>
      </w:r>
      <w:r>
        <w:t>:</w:t>
      </w:r>
    </w:p>
    <w:p w14:paraId="57DCBBB2" w14:textId="52158AE0" w:rsidR="0070049F" w:rsidRDefault="0070049F" w:rsidP="006519CA">
      <w:pPr>
        <w:pStyle w:val="Style1"/>
        <w:numPr>
          <w:ilvl w:val="0"/>
          <w:numId w:val="25"/>
        </w:numPr>
      </w:pPr>
      <w:r>
        <w:t>better rights for renters in legislation</w:t>
      </w:r>
    </w:p>
    <w:p w14:paraId="4A196DEF" w14:textId="3AC81A83" w:rsidR="0070049F" w:rsidRDefault="0070049F" w:rsidP="006519CA">
      <w:pPr>
        <w:pStyle w:val="Style1"/>
        <w:numPr>
          <w:ilvl w:val="0"/>
          <w:numId w:val="25"/>
        </w:numPr>
      </w:pPr>
      <w:r>
        <w:t xml:space="preserve">affordable and appropriate properties near the services older Tasmanians need </w:t>
      </w:r>
    </w:p>
    <w:p w14:paraId="4C9B5499" w14:textId="4924DC96" w:rsidR="0070049F" w:rsidRDefault="0001208C" w:rsidP="006519CA">
      <w:pPr>
        <w:pStyle w:val="Style1"/>
        <w:numPr>
          <w:ilvl w:val="0"/>
          <w:numId w:val="25"/>
        </w:numPr>
      </w:pPr>
      <w:r>
        <w:t>action to address</w:t>
      </w:r>
      <w:r w:rsidR="0070049F">
        <w:t xml:space="preserve"> digital barriers experienced some older Tasmanians when engaging with the property market</w:t>
      </w:r>
      <w:r>
        <w:t xml:space="preserve"> </w:t>
      </w:r>
      <w:r w:rsidR="005C5342">
        <w:t xml:space="preserve">that </w:t>
      </w:r>
      <w:r>
        <w:t xml:space="preserve">is now almost </w:t>
      </w:r>
      <w:r w:rsidR="0070049F">
        <w:t>entirely online.</w:t>
      </w:r>
    </w:p>
    <w:p w14:paraId="7B4E9CAA" w14:textId="77777777" w:rsidR="00E878E0" w:rsidRDefault="00E878E0" w:rsidP="006519CA">
      <w:pPr>
        <w:rPr>
          <w:lang w:val="en-US"/>
        </w:rPr>
      </w:pPr>
    </w:p>
    <w:p w14:paraId="23EBC317" w14:textId="3F13F299" w:rsidR="00726CF2" w:rsidRPr="00726CF2" w:rsidRDefault="00726CF2" w:rsidP="006519CA">
      <w:pPr>
        <w:rPr>
          <w:lang w:val="en-US"/>
        </w:rPr>
      </w:pPr>
      <w:r>
        <w:rPr>
          <w:lang w:val="en-US"/>
        </w:rPr>
        <w:t xml:space="preserve">This participant in </w:t>
      </w:r>
      <w:r>
        <w:rPr>
          <w:i/>
          <w:lang w:val="en-US"/>
        </w:rPr>
        <w:t>The Right to Belong</w:t>
      </w:r>
      <w:r>
        <w:rPr>
          <w:lang w:val="en-US"/>
        </w:rPr>
        <w:t xml:space="preserve"> highlights how Tasmania’s </w:t>
      </w:r>
      <w:r>
        <w:rPr>
          <w:i/>
          <w:lang w:val="en-US"/>
        </w:rPr>
        <w:t>Residential Tenancy Act</w:t>
      </w:r>
      <w:r>
        <w:rPr>
          <w:lang w:val="en-US"/>
        </w:rPr>
        <w:t xml:space="preserve"> does not effectively prevent ‘no cause’ evictions, a significant cause of housing insecurity:</w:t>
      </w:r>
    </w:p>
    <w:p w14:paraId="39410F07" w14:textId="5D419CA3" w:rsidR="00F64E66" w:rsidRPr="00726CF2" w:rsidRDefault="00F64E66" w:rsidP="006519CA">
      <w:pPr>
        <w:pStyle w:val="IntenseQuote"/>
      </w:pPr>
      <w:r w:rsidRPr="00726CF2">
        <w:t>“You just feel powerless because, if I quibble it too much, they can just say, well, we won't renew the lease.”</w:t>
      </w:r>
    </w:p>
    <w:p w14:paraId="0F07CDF2" w14:textId="7D8D3101" w:rsidR="00B55ACE" w:rsidRDefault="00F64E66" w:rsidP="006519CA">
      <w:pPr>
        <w:pStyle w:val="Style1"/>
        <w:rPr>
          <w:lang w:val="en-US"/>
        </w:rPr>
      </w:pPr>
      <w:r>
        <w:rPr>
          <w:lang w:val="en-US"/>
        </w:rPr>
        <w:t xml:space="preserve">In relation to housing security for older Tasmanian renters, </w:t>
      </w:r>
      <w:r>
        <w:rPr>
          <w:i/>
          <w:lang w:val="en-US"/>
        </w:rPr>
        <w:t xml:space="preserve">The Right to </w:t>
      </w:r>
      <w:r w:rsidRPr="000A647A">
        <w:rPr>
          <w:i/>
          <w:lang w:val="en-US"/>
        </w:rPr>
        <w:t>Belong</w:t>
      </w:r>
      <w:r>
        <w:rPr>
          <w:lang w:val="en-US"/>
        </w:rPr>
        <w:t xml:space="preserve"> research found a need for </w:t>
      </w:r>
      <w:r w:rsidRPr="00E836FB">
        <w:rPr>
          <w:lang w:val="en-US"/>
        </w:rPr>
        <w:t>rent stability,</w:t>
      </w:r>
      <w:r w:rsidR="008038B6">
        <w:rPr>
          <w:lang w:val="en-US"/>
        </w:rPr>
        <w:t xml:space="preserve"> the ability to make minor modifications,</w:t>
      </w:r>
      <w:r w:rsidRPr="00E836FB">
        <w:rPr>
          <w:lang w:val="en-US"/>
        </w:rPr>
        <w:t xml:space="preserve"> greater security of tenure and </w:t>
      </w:r>
      <w:r w:rsidR="005C5342">
        <w:rPr>
          <w:lang w:val="en-US"/>
        </w:rPr>
        <w:t xml:space="preserve">creating </w:t>
      </w:r>
      <w:r w:rsidRPr="00E836FB">
        <w:rPr>
          <w:lang w:val="en-US"/>
        </w:rPr>
        <w:t>an independent intermediary between landlords or their agents and tenants or potential tenants.</w:t>
      </w:r>
    </w:p>
    <w:p w14:paraId="384FCA49" w14:textId="77777777" w:rsidR="00B55ACE" w:rsidRDefault="00B55ACE">
      <w:pPr>
        <w:rPr>
          <w:lang w:val="en-US"/>
        </w:rPr>
      </w:pPr>
      <w:r>
        <w:rPr>
          <w:lang w:val="en-US"/>
        </w:rPr>
        <w:br w:type="page"/>
      </w:r>
    </w:p>
    <w:p w14:paraId="44E284FA" w14:textId="2647280C" w:rsidR="00E878E0" w:rsidRPr="00550255" w:rsidRDefault="00E878E0" w:rsidP="00E878E0">
      <w:pPr>
        <w:pStyle w:val="Heading2"/>
        <w:rPr>
          <w:lang w:val="en-US"/>
        </w:rPr>
      </w:pPr>
      <w:r>
        <w:rPr>
          <w:lang w:val="en-US"/>
        </w:rPr>
        <w:lastRenderedPageBreak/>
        <w:t>Moving has detrimental effects on older people</w:t>
      </w:r>
    </w:p>
    <w:p w14:paraId="411434A0" w14:textId="42C0F18F" w:rsidR="00E878E0" w:rsidRPr="00B73D14" w:rsidRDefault="00E878E0" w:rsidP="00E878E0">
      <w:pPr>
        <w:pStyle w:val="Style1"/>
      </w:pPr>
      <w:r w:rsidRPr="00B73D14">
        <w:t xml:space="preserve">Moving house for older people is difficult and healthy ageing often requires that people have the option of </w:t>
      </w:r>
      <w:r>
        <w:t>ageing in place.</w:t>
      </w:r>
    </w:p>
    <w:p w14:paraId="3F33B4BE" w14:textId="202A2458" w:rsidR="00E878E0" w:rsidRPr="00B73D14" w:rsidRDefault="00E878E0" w:rsidP="00E878E0">
      <w:r w:rsidRPr="00B73D14">
        <w:t xml:space="preserve">Moving for any reason has a significant negative impact on older people’s satisfaction with their home and their life overall that is not found in people under 55 (Figure </w:t>
      </w:r>
      <w:r w:rsidRPr="00B96E04">
        <w:t>5</w:t>
      </w:r>
      <w:r w:rsidRPr="00B73D14">
        <w:t xml:space="preserve">). Being forced to move also has negative impacts on wellbeing, which affects people of all ages (Figure </w:t>
      </w:r>
      <w:r w:rsidRPr="00B96E04">
        <w:t>6</w:t>
      </w:r>
      <w:r w:rsidRPr="00B73D14">
        <w:t>).</w:t>
      </w:r>
      <w:r>
        <w:rPr>
          <w:rStyle w:val="FootnoteReference"/>
        </w:rPr>
        <w:footnoteReference w:id="1"/>
      </w:r>
    </w:p>
    <w:p w14:paraId="3DA9B5F7" w14:textId="01BF234A" w:rsidR="00E878E0" w:rsidRDefault="007B0C88" w:rsidP="00E878E0">
      <w:r w:rsidRPr="00BA4C11">
        <w:rPr>
          <w:noProof/>
        </w:rPr>
        <w:drawing>
          <wp:anchor distT="0" distB="0" distL="114300" distR="114300" simplePos="0" relativeHeight="251750400" behindDoc="0" locked="0" layoutInCell="1" allowOverlap="1" wp14:anchorId="79B0442B" wp14:editId="3B118FA9">
            <wp:simplePos x="0" y="0"/>
            <wp:positionH relativeFrom="margin">
              <wp:align>left</wp:align>
            </wp:positionH>
            <wp:positionV relativeFrom="margin">
              <wp:posOffset>1963503</wp:posOffset>
            </wp:positionV>
            <wp:extent cx="5072380" cy="2432685"/>
            <wp:effectExtent l="0" t="0" r="0" b="0"/>
            <wp:wrapTopAndBottom/>
            <wp:docPr id="10" name="Chart 10" descr="Graph of data described in text">
              <a:extLst xmlns:a="http://schemas.openxmlformats.org/drawingml/2006/main">
                <a:ext uri="{FF2B5EF4-FFF2-40B4-BE49-F238E27FC236}">
                  <a16:creationId xmlns:a16="http://schemas.microsoft.com/office/drawing/2014/main" id="{35E4F7AD-824E-42BA-8667-AB75373437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E878E0" w:rsidRPr="00B73D14">
        <w:t xml:space="preserve">Moving can have additional difficulties for older people due to frailty, ill health and needing the assistance of others to pack up and relocate. </w:t>
      </w:r>
    </w:p>
    <w:p w14:paraId="14A16CB8" w14:textId="77777777" w:rsidR="007B0C88" w:rsidRDefault="007B0C88" w:rsidP="007B0C88">
      <w:pPr>
        <w:contextualSpacing/>
        <w:rPr>
          <w:i/>
        </w:rPr>
      </w:pPr>
      <w:r w:rsidRPr="005423C9">
        <w:rPr>
          <w:i/>
        </w:rPr>
        <w:t>Figure 5. Impact of moving on life satisfaction of people aged 55+ years</w:t>
      </w:r>
      <w:r w:rsidRPr="007B0C88">
        <w:rPr>
          <w:i/>
        </w:rPr>
        <w:t xml:space="preserve"> </w:t>
      </w:r>
    </w:p>
    <w:p w14:paraId="7E18DB76" w14:textId="712594E2" w:rsidR="007B0C88" w:rsidRDefault="007B0C88" w:rsidP="006519CA">
      <w:pPr>
        <w:rPr>
          <w:i/>
        </w:rPr>
      </w:pPr>
      <w:r>
        <w:rPr>
          <w:noProof/>
        </w:rPr>
        <w:drawing>
          <wp:anchor distT="0" distB="0" distL="114300" distR="114300" simplePos="0" relativeHeight="251752448" behindDoc="1" locked="0" layoutInCell="1" allowOverlap="1" wp14:anchorId="7AAC6D6E" wp14:editId="2DBFFD9E">
            <wp:simplePos x="0" y="0"/>
            <wp:positionH relativeFrom="margin">
              <wp:align>left</wp:align>
            </wp:positionH>
            <wp:positionV relativeFrom="page">
              <wp:posOffset>5776982</wp:posOffset>
            </wp:positionV>
            <wp:extent cx="5160010" cy="3044825"/>
            <wp:effectExtent l="0" t="0" r="0" b="3175"/>
            <wp:wrapTopAndBottom/>
            <wp:docPr id="12" name="Chart 12" descr="Graph of data described in text">
              <a:extLst xmlns:a="http://schemas.openxmlformats.org/drawingml/2006/main">
                <a:ext uri="{FF2B5EF4-FFF2-40B4-BE49-F238E27FC236}">
                  <a16:creationId xmlns:a16="http://schemas.microsoft.com/office/drawing/2014/main" id="{5CFAFE0B-6A65-4F77-AAF2-097A547531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5423C9">
        <w:rPr>
          <w:i/>
        </w:rPr>
        <w:t>Source: HILDA survey, wave 21</w:t>
      </w:r>
    </w:p>
    <w:p w14:paraId="1FE12180" w14:textId="77777777" w:rsidR="007B0C88" w:rsidRPr="005423C9" w:rsidRDefault="007B0C88" w:rsidP="007B0C88">
      <w:pPr>
        <w:spacing w:after="0"/>
        <w:rPr>
          <w:i/>
        </w:rPr>
      </w:pPr>
      <w:r w:rsidRPr="005423C9">
        <w:rPr>
          <w:i/>
        </w:rPr>
        <w:t>Figure 6. Impact of moving on life satisfaction when move is not by choice, all ages.</w:t>
      </w:r>
    </w:p>
    <w:p w14:paraId="42DF3A67" w14:textId="1ACEEE6A" w:rsidR="007B0C88" w:rsidRDefault="007B0C88" w:rsidP="007B0C88">
      <w:r w:rsidRPr="005423C9">
        <w:rPr>
          <w:i/>
        </w:rPr>
        <w:t>Source: HILDA survey, wave 21</w:t>
      </w:r>
    </w:p>
    <w:p w14:paraId="4CDACDC1" w14:textId="3F7D3ECE" w:rsidR="00ED7C98" w:rsidRDefault="00ED7C98" w:rsidP="006519CA">
      <w:r>
        <w:lastRenderedPageBreak/>
        <w:t xml:space="preserve">This central consideration prioritises policies to reduce </w:t>
      </w:r>
      <w:r w:rsidR="00994C73">
        <w:t xml:space="preserve">unnecessary moves </w:t>
      </w:r>
      <w:r>
        <w:t xml:space="preserve">and minimise harm </w:t>
      </w:r>
      <w:r w:rsidR="00994C73">
        <w:t>from moving,</w:t>
      </w:r>
      <w:r>
        <w:t xml:space="preserve"> including: </w:t>
      </w:r>
    </w:p>
    <w:p w14:paraId="443C772E" w14:textId="7A258E71" w:rsidR="00821935" w:rsidRPr="00B73D14" w:rsidRDefault="00ED7C98" w:rsidP="006519CA">
      <w:pPr>
        <w:pStyle w:val="Style1"/>
        <w:numPr>
          <w:ilvl w:val="0"/>
          <w:numId w:val="29"/>
        </w:numPr>
      </w:pPr>
      <w:r>
        <w:t>facilitating</w:t>
      </w:r>
      <w:r w:rsidR="00821935" w:rsidRPr="00B73D14">
        <w:t xml:space="preserve"> modifications to existing home</w:t>
      </w:r>
      <w:r>
        <w:t>s</w:t>
      </w:r>
      <w:r w:rsidR="00821935" w:rsidRPr="00B73D14">
        <w:t xml:space="preserve"> to make </w:t>
      </w:r>
      <w:r>
        <w:t xml:space="preserve">them </w:t>
      </w:r>
      <w:r w:rsidR="00821935" w:rsidRPr="00B73D14">
        <w:t>accessible</w:t>
      </w:r>
    </w:p>
    <w:p w14:paraId="5EB4EB63" w14:textId="581D724F" w:rsidR="00821935" w:rsidRDefault="00ED7C98" w:rsidP="006519CA">
      <w:pPr>
        <w:pStyle w:val="Style1"/>
        <w:numPr>
          <w:ilvl w:val="0"/>
          <w:numId w:val="29"/>
        </w:numPr>
      </w:pPr>
      <w:r>
        <w:t xml:space="preserve">increasing </w:t>
      </w:r>
      <w:r w:rsidR="00821935" w:rsidRPr="00B73D14">
        <w:t>access to public transport</w:t>
      </w:r>
      <w:r w:rsidR="00994C73">
        <w:t xml:space="preserve"> and implementing actions under the eight domains of age-friendly communities (see box</w:t>
      </w:r>
      <w:r w:rsidR="00B8604F">
        <w:t xml:space="preserve"> below</w:t>
      </w:r>
      <w:r w:rsidR="00994C73">
        <w:t>)</w:t>
      </w:r>
    </w:p>
    <w:p w14:paraId="1ECA143B" w14:textId="222BB2AE" w:rsidR="00ED7C98" w:rsidRDefault="004C637E" w:rsidP="006519CA">
      <w:pPr>
        <w:pStyle w:val="Style1"/>
        <w:numPr>
          <w:ilvl w:val="0"/>
          <w:numId w:val="29"/>
        </w:numPr>
      </w:pPr>
      <w:r>
        <w:t>ensuring</w:t>
      </w:r>
      <w:r w:rsidR="00ED7C98">
        <w:t xml:space="preserve"> access to support</w:t>
      </w:r>
      <w:r>
        <w:t xml:space="preserve"> services</w:t>
      </w:r>
      <w:r w:rsidR="00ED7C98">
        <w:t xml:space="preserve"> </w:t>
      </w:r>
      <w:r>
        <w:t>needed by</w:t>
      </w:r>
      <w:r w:rsidR="00ED7C98">
        <w:t xml:space="preserve"> older people</w:t>
      </w:r>
      <w:r>
        <w:t>, such as supports for people</w:t>
      </w:r>
      <w:r w:rsidR="00ED7C98">
        <w:t xml:space="preserve"> living with hoarding (see below)</w:t>
      </w:r>
    </w:p>
    <w:p w14:paraId="46454D28" w14:textId="78B78DEA" w:rsidR="002333CE" w:rsidRDefault="002333CE" w:rsidP="006519CA">
      <w:pPr>
        <w:pStyle w:val="Style1"/>
        <w:numPr>
          <w:ilvl w:val="0"/>
          <w:numId w:val="29"/>
        </w:numPr>
      </w:pPr>
      <w:r w:rsidRPr="002333CE">
        <w:t>updating rental legislation to protect older renters and prevent unnecessary moves</w:t>
      </w:r>
    </w:p>
    <w:p w14:paraId="45D56ACB" w14:textId="0252CDF7" w:rsidR="00BA4C11" w:rsidRDefault="0070049F" w:rsidP="006519CA">
      <w:pPr>
        <w:pStyle w:val="Style1"/>
        <w:numPr>
          <w:ilvl w:val="0"/>
          <w:numId w:val="29"/>
        </w:numPr>
      </w:pPr>
      <w:r>
        <w:t>p</w:t>
      </w:r>
      <w:r w:rsidR="00994C73">
        <w:t>roviding additional assistance to older people with moving</w:t>
      </w:r>
      <w:r>
        <w:t>.</w:t>
      </w:r>
      <w:r w:rsidR="00D153C0" w:rsidRPr="00D153C0">
        <w:rPr>
          <w:rStyle w:val="IntenseEmphasis"/>
          <w:noProof/>
          <w:color w:val="FFFFFF" w:themeColor="background1"/>
          <w:sz w:val="36"/>
        </w:rPr>
        <w:t xml:space="preserve"> </w:t>
      </w:r>
    </w:p>
    <w:p w14:paraId="3C20B9E9" w14:textId="3DB4293D" w:rsidR="007B0C88" w:rsidRDefault="00D153C0">
      <w:r w:rsidRPr="006A0127">
        <w:rPr>
          <w:rStyle w:val="IntenseEmphasis"/>
          <w:noProof/>
          <w:color w:val="FFFFFF" w:themeColor="background1"/>
          <w:sz w:val="36"/>
        </w:rPr>
        <w:drawing>
          <wp:anchor distT="0" distB="0" distL="114300" distR="114300" simplePos="0" relativeHeight="251756544" behindDoc="0" locked="0" layoutInCell="1" allowOverlap="1" wp14:anchorId="2623CD1F" wp14:editId="729B7399">
            <wp:simplePos x="0" y="0"/>
            <wp:positionH relativeFrom="margin">
              <wp:posOffset>3904091</wp:posOffset>
            </wp:positionH>
            <wp:positionV relativeFrom="page">
              <wp:posOffset>4444172</wp:posOffset>
            </wp:positionV>
            <wp:extent cx="2057400" cy="3939540"/>
            <wp:effectExtent l="0" t="0" r="0" b="3810"/>
            <wp:wrapNone/>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67163" t="1148" r="535" b="1549"/>
                    <a:stretch/>
                  </pic:blipFill>
                  <pic:spPr bwMode="auto">
                    <a:xfrm>
                      <a:off x="0" y="0"/>
                      <a:ext cx="2057400" cy="3939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54496" behindDoc="1" locked="0" layoutInCell="1" allowOverlap="1" wp14:anchorId="521BA977" wp14:editId="78A2FC41">
                <wp:simplePos x="0" y="0"/>
                <wp:positionH relativeFrom="column">
                  <wp:posOffset>-890546</wp:posOffset>
                </wp:positionH>
                <wp:positionV relativeFrom="page">
                  <wp:posOffset>3697357</wp:posOffset>
                </wp:positionV>
                <wp:extent cx="7569172" cy="7021001"/>
                <wp:effectExtent l="0" t="0" r="13335" b="27940"/>
                <wp:wrapNone/>
                <wp:docPr id="8" name="Rectangle 8"/>
                <wp:cNvGraphicFramePr/>
                <a:graphic xmlns:a="http://schemas.openxmlformats.org/drawingml/2006/main">
                  <a:graphicData uri="http://schemas.microsoft.com/office/word/2010/wordprocessingShape">
                    <wps:wsp>
                      <wps:cNvSpPr/>
                      <wps:spPr>
                        <a:xfrm>
                          <a:off x="0" y="0"/>
                          <a:ext cx="7569172" cy="702100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EF8596" w14:textId="432CC1FB" w:rsidR="007B0C88" w:rsidRDefault="007B0C88" w:rsidP="00D153C0">
                            <w:pPr>
                              <w:tabs>
                                <w:tab w:val="left" w:pos="5787"/>
                              </w:tabs>
                              <w:spacing w:before="960"/>
                              <w:ind w:left="851" w:right="5833"/>
                            </w:pPr>
                            <w:r>
                              <w:rPr>
                                <w:rStyle w:val="IntenseEmphasis"/>
                                <w:color w:val="FFFFFF" w:themeColor="background1"/>
                                <w:sz w:val="36"/>
                              </w:rPr>
                              <w:t>A</w:t>
                            </w:r>
                            <w:r w:rsidRPr="006A0127">
                              <w:rPr>
                                <w:rStyle w:val="IntenseEmphasis"/>
                                <w:color w:val="FFFFFF" w:themeColor="background1"/>
                                <w:sz w:val="36"/>
                              </w:rPr>
                              <w:t>ge- friendly communities</w:t>
                            </w:r>
                          </w:p>
                          <w:p w14:paraId="11E49B98" w14:textId="1FB44745" w:rsidR="007B0C88" w:rsidRPr="006A0127" w:rsidRDefault="007B0C88" w:rsidP="00D153C0">
                            <w:pPr>
                              <w:tabs>
                                <w:tab w:val="left" w:pos="5787"/>
                                <w:tab w:val="left" w:pos="5954"/>
                                <w:tab w:val="left" w:pos="6663"/>
                              </w:tabs>
                              <w:ind w:left="851" w:right="5808"/>
                              <w:rPr>
                                <w:color w:val="FFFFFF" w:themeColor="background1"/>
                              </w:rPr>
                            </w:pPr>
                            <w:r w:rsidRPr="006A0127">
                              <w:rPr>
                                <w:color w:val="FFFFFF" w:themeColor="background1"/>
                              </w:rPr>
                              <w:t>Age-Friendly Cities and Communities is a global movement led by the World Health Organization (WHO) focused on creating communities for people of all ages.</w:t>
                            </w:r>
                          </w:p>
                          <w:p w14:paraId="0A31D05E" w14:textId="7E69674D" w:rsidR="007B0C88" w:rsidRDefault="007B0C88" w:rsidP="00D153C0">
                            <w:pPr>
                              <w:tabs>
                                <w:tab w:val="left" w:pos="5787"/>
                                <w:tab w:val="left" w:pos="6663"/>
                              </w:tabs>
                              <w:ind w:left="851" w:right="5666"/>
                              <w:rPr>
                                <w:color w:val="FFFFFF" w:themeColor="background1"/>
                              </w:rPr>
                            </w:pPr>
                            <w:r w:rsidRPr="006A0127">
                              <w:rPr>
                                <w:color w:val="FFFFFF" w:themeColor="background1"/>
                              </w:rPr>
                              <w:t>Age-</w:t>
                            </w:r>
                            <w:r>
                              <w:rPr>
                                <w:color w:val="FFFFFF" w:themeColor="background1"/>
                              </w:rPr>
                              <w:t>friendly communities design and adapt their environment, policies, and services for residents of all ages and different capacities so that they are able to live the lives they value.</w:t>
                            </w:r>
                            <w:r w:rsidR="00D153C0" w:rsidRPr="00D153C0">
                              <w:rPr>
                                <w:noProof/>
                              </w:rPr>
                              <w:t xml:space="preserve"> </w:t>
                            </w:r>
                          </w:p>
                          <w:p w14:paraId="341357D4" w14:textId="3C32A0D3" w:rsidR="007B0C88" w:rsidRDefault="007B0C88" w:rsidP="00D153C0">
                            <w:pPr>
                              <w:tabs>
                                <w:tab w:val="left" w:pos="5787"/>
                                <w:tab w:val="left" w:pos="6663"/>
                              </w:tabs>
                              <w:ind w:left="851" w:right="5808"/>
                              <w:rPr>
                                <w:color w:val="FFFFFF" w:themeColor="background1"/>
                              </w:rPr>
                            </w:pPr>
                            <w:r w:rsidRPr="009951CB">
                              <w:rPr>
                                <w:color w:val="FFFFFF" w:themeColor="background1"/>
                              </w:rPr>
                              <w:t>In an age-friendly community, older people are valued, respected, and actively engaged.</w:t>
                            </w:r>
                            <w:r w:rsidR="00D153C0" w:rsidRPr="00D153C0">
                              <w:rPr>
                                <w:noProof/>
                              </w:rPr>
                              <w:t xml:space="preserve"> </w:t>
                            </w:r>
                          </w:p>
                          <w:p w14:paraId="651D23E6" w14:textId="77777777" w:rsidR="007B0C88" w:rsidRDefault="007B0C88" w:rsidP="00D153C0">
                            <w:pPr>
                              <w:tabs>
                                <w:tab w:val="left" w:pos="5812"/>
                                <w:tab w:val="left" w:pos="6663"/>
                              </w:tabs>
                              <w:ind w:left="851" w:right="5808"/>
                            </w:pPr>
                            <w:r>
                              <w:rPr>
                                <w:color w:val="FFFFFF" w:themeColor="background1"/>
                              </w:rPr>
                              <w:t>Age-friendly communities are more liveable for everyone through action across eight domains: housing, transport, outdoor spaces and buildings, community support and health services, communication and information, civic participation, respect and social inclusion, and social connections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BA977" id="Rectangle 8" o:spid="_x0000_s1031" style="position:absolute;margin-left:-70.1pt;margin-top:291.15pt;width:596pt;height:552.8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" fillcolor="#4472c4 [3204]" strokecolor="#1f3763 [1604]" strokeweight="1pt">
                <v:textbox>
                  <w:txbxContent>
                    <w:p w14:paraId="3AEF8596" w14:textId="432CC1FB" w:rsidR="007B0C88" w:rsidRDefault="007B0C88" w:rsidP="00D153C0">
                      <w:pPr>
                        <w:tabs>
                          <w:tab w:val="left" w:pos="5787"/>
                        </w:tabs>
                        <w:spacing w:before="960"/>
                        <w:ind w:left="851" w:right="5833"/>
                      </w:pPr>
                      <w:r>
                        <w:rPr>
                          <w:rStyle w:val="IntenseEmphasis"/>
                          <w:color w:val="FFFFFF" w:themeColor="background1"/>
                          <w:sz w:val="36"/>
                        </w:rPr>
                        <w:t>A</w:t>
                      </w:r>
                      <w:r w:rsidRPr="006A0127">
                        <w:rPr>
                          <w:rStyle w:val="IntenseEmphasis"/>
                          <w:color w:val="FFFFFF" w:themeColor="background1"/>
                          <w:sz w:val="36"/>
                        </w:rPr>
                        <w:t>ge- friendly communities</w:t>
                      </w:r>
                    </w:p>
                    <w:p w14:paraId="11E49B98" w14:textId="1FB44745" w:rsidR="007B0C88" w:rsidRPr="006A0127" w:rsidRDefault="007B0C88" w:rsidP="00D153C0">
                      <w:pPr>
                        <w:tabs>
                          <w:tab w:val="left" w:pos="5787"/>
                          <w:tab w:val="left" w:pos="5954"/>
                          <w:tab w:val="left" w:pos="6663"/>
                        </w:tabs>
                        <w:ind w:left="851" w:right="5808"/>
                        <w:rPr>
                          <w:color w:val="FFFFFF" w:themeColor="background1"/>
                        </w:rPr>
                      </w:pPr>
                      <w:r w:rsidRPr="006A0127">
                        <w:rPr>
                          <w:color w:val="FFFFFF" w:themeColor="background1"/>
                        </w:rPr>
                        <w:t>Age-Friendly Cities and Communities is a global movement led by the World Health Organization (WHO) focused on creating communities for people of all ages.</w:t>
                      </w:r>
                    </w:p>
                    <w:p w14:paraId="0A31D05E" w14:textId="7E69674D" w:rsidR="007B0C88" w:rsidRDefault="007B0C88" w:rsidP="00D153C0">
                      <w:pPr>
                        <w:tabs>
                          <w:tab w:val="left" w:pos="5787"/>
                          <w:tab w:val="left" w:pos="6663"/>
                        </w:tabs>
                        <w:ind w:left="851" w:right="5666"/>
                        <w:rPr>
                          <w:color w:val="FFFFFF" w:themeColor="background1"/>
                        </w:rPr>
                      </w:pPr>
                      <w:r w:rsidRPr="006A0127">
                        <w:rPr>
                          <w:color w:val="FFFFFF" w:themeColor="background1"/>
                        </w:rPr>
                        <w:t>Age-</w:t>
                      </w:r>
                      <w:r>
                        <w:rPr>
                          <w:color w:val="FFFFFF" w:themeColor="background1"/>
                        </w:rPr>
                        <w:t>friendly communities design and adapt their environment, policies, and services for residents of all ages and different capacities so that they are able to live the lives they value.</w:t>
                      </w:r>
                      <w:r w:rsidR="00D153C0" w:rsidRPr="00D153C0">
                        <w:rPr>
                          <w:noProof/>
                        </w:rPr>
                        <w:t xml:space="preserve"> </w:t>
                      </w:r>
                    </w:p>
                    <w:p w14:paraId="341357D4" w14:textId="3C32A0D3" w:rsidR="007B0C88" w:rsidRDefault="007B0C88" w:rsidP="00D153C0">
                      <w:pPr>
                        <w:tabs>
                          <w:tab w:val="left" w:pos="5787"/>
                          <w:tab w:val="left" w:pos="6663"/>
                        </w:tabs>
                        <w:ind w:left="851" w:right="5808"/>
                        <w:rPr>
                          <w:color w:val="FFFFFF" w:themeColor="background1"/>
                        </w:rPr>
                      </w:pPr>
                      <w:r w:rsidRPr="009951CB">
                        <w:rPr>
                          <w:color w:val="FFFFFF" w:themeColor="background1"/>
                        </w:rPr>
                        <w:t>In an age-friendly community, older people are valued, respected, and actively engaged.</w:t>
                      </w:r>
                      <w:r w:rsidR="00D153C0" w:rsidRPr="00D153C0">
                        <w:rPr>
                          <w:noProof/>
                        </w:rPr>
                        <w:t xml:space="preserve"> </w:t>
                      </w:r>
                    </w:p>
                    <w:p w14:paraId="651D23E6" w14:textId="77777777" w:rsidR="007B0C88" w:rsidRDefault="007B0C88" w:rsidP="00D153C0">
                      <w:pPr>
                        <w:tabs>
                          <w:tab w:val="left" w:pos="5812"/>
                          <w:tab w:val="left" w:pos="6663"/>
                        </w:tabs>
                        <w:ind w:left="851" w:right="5808"/>
                      </w:pPr>
                      <w:r>
                        <w:rPr>
                          <w:color w:val="FFFFFF" w:themeColor="background1"/>
                        </w:rPr>
                        <w:t>Age-friendly communities are more liveable for everyone through action across eight domains: housing, transport, outdoor spaces and buildings, community support and health services, communication and information, civic participation, respect and social inclusion, and social connections</w:t>
                      </w:r>
                    </w:p>
                  </w:txbxContent>
                </v:textbox>
                <w10:wrap anchory="page"/>
              </v:rect>
            </w:pict>
          </mc:Fallback>
        </mc:AlternateContent>
      </w:r>
      <w:r w:rsidR="007B0C88">
        <w:br w:type="page"/>
      </w:r>
    </w:p>
    <w:p w14:paraId="39A37B43" w14:textId="106DCF6C" w:rsidR="00A87FF4" w:rsidRDefault="00B73D14" w:rsidP="006519CA">
      <w:pPr>
        <w:pStyle w:val="Heading2"/>
      </w:pPr>
      <w:r>
        <w:lastRenderedPageBreak/>
        <w:t xml:space="preserve">Support for people living with hoarding </w:t>
      </w:r>
    </w:p>
    <w:p w14:paraId="101BF84E" w14:textId="1EDAFB3A" w:rsidR="002333CE" w:rsidRDefault="002333CE" w:rsidP="006519CA">
      <w:r w:rsidRPr="002333CE">
        <w:t xml:space="preserve">The findings of Anglicare’s </w:t>
      </w:r>
      <w:r w:rsidRPr="002333CE">
        <w:rPr>
          <w:i/>
        </w:rPr>
        <w:t>Treasured Lives</w:t>
      </w:r>
      <w:r w:rsidRPr="002333CE">
        <w:t xml:space="preserve"> research identified a significant service gap for older Tasmanians who are living with hoarding and struggling to maintain a healthy home.</w:t>
      </w:r>
      <w:r>
        <w:t xml:space="preserve"> Currently there is very limited practical assistance available in Tasmania that is accessible to those on low incomes and most at risk of homelessness, and none that provides the coordinated care and clinical and psychosocial supports needed</w:t>
      </w:r>
      <w:r w:rsidR="00994C73">
        <w:t xml:space="preserve"> for long</w:t>
      </w:r>
      <w:r w:rsidR="00646379">
        <w:t>-</w:t>
      </w:r>
      <w:r w:rsidR="00994C73">
        <w:t>term management</w:t>
      </w:r>
      <w:r>
        <w:t xml:space="preserve">. </w:t>
      </w:r>
    </w:p>
    <w:p w14:paraId="4A73C6FD" w14:textId="6118CEBB" w:rsidR="006A154A" w:rsidRPr="004E75F5" w:rsidRDefault="006A154A" w:rsidP="004E75F5">
      <w:pPr>
        <w:pStyle w:val="IntenseQuote"/>
        <w:ind w:left="0" w:right="-46"/>
        <w:rPr>
          <w:rFonts w:asciiTheme="minorHAnsi" w:hAnsiTheme="minorHAnsi" w:cstheme="minorHAnsi"/>
        </w:rPr>
      </w:pPr>
      <w:r w:rsidRPr="004E75F5">
        <w:rPr>
          <w:rFonts w:asciiTheme="minorHAnsi" w:hAnsiTheme="minorHAnsi" w:cstheme="minorHAnsi"/>
        </w:rPr>
        <w:t>[Name withheld] is a 75 year old man with severe hoarding both inside and outside … he was provided with referral codes in the past for hoarding, but no one has availability … He cannot shower at his property or cook and relies on doing this at other people’s houses within the community. I was reaching out to see if you knew of anything in the North that could help out, as this is impacting the way he lives and can receive services.</w:t>
      </w:r>
      <w:r w:rsidR="002333CE" w:rsidRPr="004E75F5">
        <w:rPr>
          <w:rFonts w:asciiTheme="minorHAnsi" w:hAnsiTheme="minorHAnsi" w:cstheme="minorHAnsi"/>
        </w:rPr>
        <w:t xml:space="preserve"> </w:t>
      </w:r>
      <w:r w:rsidR="002333CE" w:rsidRPr="004E75F5">
        <w:rPr>
          <w:rFonts w:asciiTheme="minorHAnsi" w:hAnsiTheme="minorHAnsi" w:cstheme="minorHAnsi"/>
          <w:i w:val="0"/>
        </w:rPr>
        <w:t>(</w:t>
      </w:r>
      <w:r w:rsidR="00994C73" w:rsidRPr="004E75F5">
        <w:rPr>
          <w:rFonts w:asciiTheme="minorHAnsi" w:hAnsiTheme="minorHAnsi" w:cstheme="minorHAnsi"/>
          <w:i w:val="0"/>
        </w:rPr>
        <w:t xml:space="preserve">Non-Anglicare </w:t>
      </w:r>
      <w:r w:rsidR="002333CE" w:rsidRPr="004E75F5">
        <w:rPr>
          <w:rFonts w:asciiTheme="minorHAnsi" w:hAnsiTheme="minorHAnsi" w:cstheme="minorHAnsi"/>
          <w:i w:val="0"/>
        </w:rPr>
        <w:t xml:space="preserve">case worker, </w:t>
      </w:r>
      <w:r w:rsidR="00CB61FE" w:rsidRPr="004E75F5">
        <w:rPr>
          <w:rFonts w:asciiTheme="minorHAnsi" w:hAnsiTheme="minorHAnsi" w:cstheme="minorHAnsi"/>
          <w:i w:val="0"/>
        </w:rPr>
        <w:t>N</w:t>
      </w:r>
      <w:r w:rsidR="002333CE" w:rsidRPr="004E75F5">
        <w:rPr>
          <w:rFonts w:asciiTheme="minorHAnsi" w:hAnsiTheme="minorHAnsi" w:cstheme="minorHAnsi"/>
          <w:i w:val="0"/>
        </w:rPr>
        <w:t>orthern</w:t>
      </w:r>
      <w:r w:rsidRPr="004E75F5">
        <w:rPr>
          <w:rFonts w:asciiTheme="minorHAnsi" w:hAnsiTheme="minorHAnsi" w:cstheme="minorHAnsi"/>
          <w:i w:val="0"/>
        </w:rPr>
        <w:t xml:space="preserve"> </w:t>
      </w:r>
      <w:r w:rsidR="002333CE" w:rsidRPr="004E75F5">
        <w:rPr>
          <w:rFonts w:asciiTheme="minorHAnsi" w:hAnsiTheme="minorHAnsi" w:cstheme="minorHAnsi"/>
          <w:i w:val="0"/>
        </w:rPr>
        <w:t>Tasmania)</w:t>
      </w:r>
    </w:p>
    <w:p w14:paraId="429FA8F7" w14:textId="3525AD3F" w:rsidR="00994C73" w:rsidRDefault="00994C73" w:rsidP="006519CA">
      <w:r>
        <w:t>This service gap remains and is preventing older Tasmanians living with this disorder from receiving other services, placing them at increased risk of injury, causing bed-block in Tasmania’s hospitals, increasing fire risk and increasing their risk of eviction and homelessness.</w:t>
      </w:r>
    </w:p>
    <w:p w14:paraId="1B1C0308" w14:textId="3541E8EB" w:rsidR="00994C73" w:rsidRDefault="00013EBE" w:rsidP="006519CA">
      <w:pPr>
        <w:pStyle w:val="Heading2"/>
      </w:pPr>
      <w:r>
        <w:t>Advocacy and protection to safeguard agency and prevent vulnerability</w:t>
      </w:r>
    </w:p>
    <w:p w14:paraId="4118433D" w14:textId="44EF5C78" w:rsidR="00013EBE" w:rsidRDefault="00800144" w:rsidP="006519CA">
      <w:r>
        <w:t xml:space="preserve">In contrast to other areas of life satisfaction, feelings of safety and security </w:t>
      </w:r>
      <w:r w:rsidR="00045260">
        <w:t>generally decline</w:t>
      </w:r>
      <w:r>
        <w:t xml:space="preserve"> with age. Unfortunately, these anxieties are not unfounded and o</w:t>
      </w:r>
      <w:r w:rsidR="00013EBE">
        <w:t>lder Tasmanians who are renting, living alone, or dependent on carers can experience vulnerability</w:t>
      </w:r>
      <w:r>
        <w:t>. Housing security requires that older Tasmanians feel safe in their home and in dealings that affect their housing security. In particular, there is a need for:</w:t>
      </w:r>
    </w:p>
    <w:p w14:paraId="59114CDA" w14:textId="51E49232" w:rsidR="00800144" w:rsidRDefault="00646379" w:rsidP="006519CA">
      <w:pPr>
        <w:pStyle w:val="Style1"/>
        <w:numPr>
          <w:ilvl w:val="0"/>
          <w:numId w:val="28"/>
        </w:numPr>
      </w:pPr>
      <w:r>
        <w:t>i</w:t>
      </w:r>
      <w:r w:rsidR="00800144">
        <w:t xml:space="preserve">ncreased advocacy </w:t>
      </w:r>
      <w:r w:rsidR="00045260">
        <w:t>and legal support</w:t>
      </w:r>
      <w:r w:rsidR="00800144">
        <w:t xml:space="preserve"> for renters and a more level playing field between renters and landlords</w:t>
      </w:r>
    </w:p>
    <w:p w14:paraId="2D035C71" w14:textId="48C975DC" w:rsidR="003C17A2" w:rsidRPr="00013EBE" w:rsidRDefault="00646379" w:rsidP="006519CA">
      <w:pPr>
        <w:pStyle w:val="Style1"/>
        <w:numPr>
          <w:ilvl w:val="0"/>
          <w:numId w:val="28"/>
        </w:numPr>
      </w:pPr>
      <w:r>
        <w:t>a</w:t>
      </w:r>
      <w:r w:rsidR="00800144">
        <w:t xml:space="preserve"> mandatory and coordinated response to reports of elder abuse that is </w:t>
      </w:r>
      <w:r w:rsidR="004C637E">
        <w:t>appropriately resourced.</w:t>
      </w:r>
    </w:p>
    <w:p w14:paraId="3239EEDB" w14:textId="38AB20DA" w:rsidR="00882065" w:rsidRPr="00882065" w:rsidRDefault="00882065" w:rsidP="006519CA">
      <w:pPr>
        <w:pStyle w:val="Heading1"/>
      </w:pPr>
      <w:r>
        <w:t xml:space="preserve">Action to </w:t>
      </w:r>
      <w:r w:rsidR="0014134C">
        <w:t>provide housing security for older Tasmanians</w:t>
      </w:r>
    </w:p>
    <w:p w14:paraId="15216050" w14:textId="2CA4B20B" w:rsidR="003C17A2" w:rsidRPr="003C17A2" w:rsidRDefault="0014134C" w:rsidP="006519CA">
      <w:r>
        <w:t xml:space="preserve">The goals of </w:t>
      </w:r>
      <w:r w:rsidR="002610D3">
        <w:t>this intervention are to:</w:t>
      </w:r>
    </w:p>
    <w:p w14:paraId="3C78A359" w14:textId="73BB4FC3" w:rsidR="003C17A2" w:rsidRPr="003C17A2" w:rsidRDefault="00646379" w:rsidP="006519CA">
      <w:pPr>
        <w:pStyle w:val="ListParagraph"/>
        <w:numPr>
          <w:ilvl w:val="0"/>
          <w:numId w:val="30"/>
        </w:numPr>
        <w:contextualSpacing w:val="0"/>
      </w:pPr>
      <w:r>
        <w:t>r</w:t>
      </w:r>
      <w:r w:rsidR="003C17A2" w:rsidRPr="003C17A2">
        <w:t>educe the experience and risk of homelessness and housing insecurity by older Tasmanians</w:t>
      </w:r>
    </w:p>
    <w:p w14:paraId="7B1F4F57" w14:textId="537EF380" w:rsidR="003C17A2" w:rsidRPr="003C17A2" w:rsidRDefault="00646379" w:rsidP="006519CA">
      <w:pPr>
        <w:pStyle w:val="ListParagraph"/>
        <w:numPr>
          <w:ilvl w:val="0"/>
          <w:numId w:val="30"/>
        </w:numPr>
        <w:contextualSpacing w:val="0"/>
      </w:pPr>
      <w:r>
        <w:t>e</w:t>
      </w:r>
      <w:r w:rsidR="003C17A2" w:rsidRPr="003C17A2">
        <w:t>nable older Tasmanians to ‘age in place’ in their local communit</w:t>
      </w:r>
      <w:r>
        <w:t>ies</w:t>
      </w:r>
      <w:r w:rsidR="00CB6899">
        <w:t xml:space="preserve"> </w:t>
      </w:r>
    </w:p>
    <w:p w14:paraId="7B33BDC7" w14:textId="4850691D" w:rsidR="003C17A2" w:rsidRPr="003C17A2" w:rsidRDefault="00646379" w:rsidP="006519CA">
      <w:pPr>
        <w:pStyle w:val="ListParagraph"/>
        <w:numPr>
          <w:ilvl w:val="0"/>
          <w:numId w:val="30"/>
        </w:numPr>
        <w:contextualSpacing w:val="0"/>
      </w:pPr>
      <w:r>
        <w:t>i</w:t>
      </w:r>
      <w:r w:rsidR="003C17A2" w:rsidRPr="003C17A2">
        <w:t>mprove the physical and mental health and wellbeing of older Tasmanians</w:t>
      </w:r>
      <w:r>
        <w:t>.</w:t>
      </w:r>
    </w:p>
    <w:p w14:paraId="182D18E9" w14:textId="2CC2C4F6" w:rsidR="003C17A2" w:rsidRDefault="003C17A2" w:rsidP="006519CA">
      <w:r>
        <w:t xml:space="preserve">Figure </w:t>
      </w:r>
      <w:r w:rsidR="00E15310" w:rsidRPr="00022C63">
        <w:t>7</w:t>
      </w:r>
      <w:r>
        <w:t xml:space="preserve"> identifies </w:t>
      </w:r>
      <w:r w:rsidR="00B55ACE">
        <w:t>five areas for action to achieve these goals and how these actions will have impact.</w:t>
      </w:r>
    </w:p>
    <w:p w14:paraId="22C0FE81" w14:textId="78336064" w:rsidR="004E75F5" w:rsidRDefault="00CB6899" w:rsidP="006519CA">
      <w:pPr>
        <w:sectPr w:rsidR="004E75F5">
          <w:pgSz w:w="11906" w:h="16838"/>
          <w:pgMar w:top="1440" w:right="1440" w:bottom="1440" w:left="1440" w:header="708" w:footer="708" w:gutter="0"/>
          <w:cols w:space="708"/>
          <w:docGrid w:linePitch="360"/>
        </w:sectPr>
      </w:pPr>
      <w:r>
        <w:t xml:space="preserve">Figure </w:t>
      </w:r>
      <w:r w:rsidR="00E15310" w:rsidRPr="00022C63">
        <w:t>8</w:t>
      </w:r>
      <w:r>
        <w:t xml:space="preserve"> provides a</w:t>
      </w:r>
      <w:r w:rsidR="00B55ACE">
        <w:t>n</w:t>
      </w:r>
      <w:r w:rsidR="00646379">
        <w:t xml:space="preserve"> </w:t>
      </w:r>
      <w:r w:rsidR="0014134C">
        <w:t xml:space="preserve">action plan to deliver housing security for older Tasmanians </w:t>
      </w:r>
      <w:r>
        <w:t>to address the issues and gaps identified in this brief.</w:t>
      </w:r>
      <w:r w:rsidR="00B55ACE">
        <w:t xml:space="preserve"> </w:t>
      </w:r>
      <w:r w:rsidR="0014134C">
        <w:t>Implementing this plan requires actions across different levels of government which are detailed in the recommendations.</w:t>
      </w:r>
    </w:p>
    <w:p w14:paraId="21157BC3" w14:textId="77777777" w:rsidR="004E75F5" w:rsidRDefault="004E75F5" w:rsidP="004E75F5">
      <w:pPr>
        <w:sectPr w:rsidR="004E75F5" w:rsidSect="004E75F5">
          <w:pgSz w:w="16838" w:h="11906" w:orient="landscape"/>
          <w:pgMar w:top="1440" w:right="1440" w:bottom="1440" w:left="1440" w:header="708" w:footer="708" w:gutter="0"/>
          <w:cols w:space="708"/>
          <w:docGrid w:linePitch="360"/>
        </w:sectPr>
      </w:pPr>
      <w:r>
        <w:rPr>
          <w:noProof/>
        </w:rPr>
        <w:lastRenderedPageBreak/>
        <mc:AlternateContent>
          <mc:Choice Requires="wps">
            <w:drawing>
              <wp:anchor distT="0" distB="0" distL="114300" distR="114300" simplePos="0" relativeHeight="251758592" behindDoc="0" locked="0" layoutInCell="1" allowOverlap="1" wp14:anchorId="6A1F169F" wp14:editId="2BB13496">
                <wp:simplePos x="0" y="0"/>
                <wp:positionH relativeFrom="margin">
                  <wp:posOffset>6283629</wp:posOffset>
                </wp:positionH>
                <wp:positionV relativeFrom="margin">
                  <wp:align>bottom</wp:align>
                </wp:positionV>
                <wp:extent cx="2562225" cy="62865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2562225" cy="628650"/>
                        </a:xfrm>
                        <a:prstGeom prst="rect">
                          <a:avLst/>
                        </a:prstGeom>
                        <a:solidFill>
                          <a:schemeClr val="lt1"/>
                        </a:solidFill>
                        <a:ln w="6350">
                          <a:noFill/>
                        </a:ln>
                      </wps:spPr>
                      <wps:txbx>
                        <w:txbxContent>
                          <w:p w14:paraId="42A53038" w14:textId="77777777" w:rsidR="004E75F5" w:rsidRPr="00953D26" w:rsidRDefault="004E75F5" w:rsidP="004E75F5">
                            <w:pPr>
                              <w:jc w:val="right"/>
                              <w:rPr>
                                <w:i/>
                              </w:rPr>
                            </w:pPr>
                            <w:r>
                              <w:rPr>
                                <w:i/>
                              </w:rPr>
                              <w:t>Figure 7. Impact pathway to increase housing security for older Tasmanians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1F169F" id="Text Box 13" o:spid="_x0000_s1032" type="#_x0000_t202" style="position:absolute;margin-left:494.75pt;margin-top:0;width:201.75pt;height:49.5pt;z-index:251758592;visibility:visible;mso-wrap-style:square;mso-width-percent:0;mso-wrap-distance-left:9pt;mso-wrap-distance-top:0;mso-wrap-distance-right:9pt;mso-wrap-distance-bottom:0;mso-position-horizontal:absolute;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" fillcolor="white [3201]" stroked="f" strokeweight=".5pt">
                <v:textbox>
                  <w:txbxContent>
                    <w:p w14:paraId="42A53038" w14:textId="77777777" w:rsidR="004E75F5" w:rsidRPr="00953D26" w:rsidRDefault="004E75F5" w:rsidP="004E75F5">
                      <w:pPr>
                        <w:jc w:val="right"/>
                        <w:rPr>
                          <w:i/>
                        </w:rPr>
                      </w:pPr>
                      <w:r>
                        <w:rPr>
                          <w:i/>
                        </w:rPr>
                        <w:t>Figure 7. Impact pathway to increase housing security for older Tasmanians</w:t>
                      </w:r>
                    </w:p>
                  </w:txbxContent>
                </v:textbox>
                <w10:wrap anchorx="margin" anchory="margin"/>
              </v:shape>
            </w:pict>
          </mc:Fallback>
        </mc:AlternateContent>
      </w:r>
      <w:r w:rsidR="00FB3466" w:rsidRPr="00FB3466">
        <w:rPr>
          <w:noProof/>
        </w:rPr>
        <w:drawing>
          <wp:inline distT="0" distB="0" distL="0" distR="0" wp14:anchorId="1D5C6952" wp14:editId="3DA4BCEB">
            <wp:extent cx="8913412" cy="5681239"/>
            <wp:effectExtent l="0" t="0" r="2540" b="0"/>
            <wp:docPr id="4" name="Picture 4" descr="Recommended actions:&#10;Increase new housing supply by building more social and affordable housing&#10;Provide appropriate homes and supports for people to age in place in their communities&#10;Increase housing support for renters&#10;Provide specific supports to assist older people engaging in the property market&#10;Improve housing security and equity for groups of people at highest risk&#10;Leading to:&#10;Increased housing stock so houses = households&#10;Decreased house prices and rents&#10;Increased housing affordability&#10;Increased affordable houses suitable for older people&#10;Increased housing stock in age-friendly communities with access to services and supports&#10;Increased affordable rentals suitable for older people&#10;Decreased moves due to unsuitable housing or for financial reasons&#10;Increased agency and support in property market dealings&#10;Increased ease of moving&#10;Increased financial capacity of older Tasmanians&#10;Decreased housing insecurity due to relationship breakdown, disadvantage and abuse&#10;Outcomes for older Tasmanians:&#10;Frequency and impact of moving is reduced&#10;There is enough safe and appropriate housing to meet their needs&#10;Appropriate housing is affordable&#10;Increased agency and reduced anxiety about their housing security&#10;Impact:&#10;Older Tasmanians have improved physical and mental health and wellbeing&#10;Older Tasmanians rarely experience or are at risk of homelessness&#10;Older Tasmanians feel connected and val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930896" cy="5692383"/>
                    </a:xfrm>
                    <a:prstGeom prst="rect">
                      <a:avLst/>
                    </a:prstGeom>
                  </pic:spPr>
                </pic:pic>
              </a:graphicData>
            </a:graphic>
          </wp:inline>
        </w:drawing>
      </w:r>
    </w:p>
    <w:p w14:paraId="2D0AB69D" w14:textId="206487E1" w:rsidR="00B55ACE" w:rsidRPr="00B55ACE" w:rsidRDefault="00B55ACE" w:rsidP="006519CA">
      <w:pPr>
        <w:pStyle w:val="Style1"/>
        <w:rPr>
          <w:i/>
        </w:rPr>
      </w:pPr>
      <w:r>
        <w:rPr>
          <w:noProof/>
        </w:rPr>
        <w:lastRenderedPageBreak/>
        <w:drawing>
          <wp:anchor distT="0" distB="0" distL="114300" distR="114300" simplePos="0" relativeHeight="251760640" behindDoc="0" locked="0" layoutInCell="1" allowOverlap="1" wp14:anchorId="5F4D625F" wp14:editId="73370BCB">
            <wp:simplePos x="0" y="0"/>
            <wp:positionH relativeFrom="margin">
              <wp:align>left</wp:align>
            </wp:positionH>
            <wp:positionV relativeFrom="paragraph">
              <wp:posOffset>172444</wp:posOffset>
            </wp:positionV>
            <wp:extent cx="6108700" cy="8348345"/>
            <wp:effectExtent l="0" t="0" r="25400" b="0"/>
            <wp:wrapSquare wrapText="bothSides"/>
            <wp:docPr id="14" name="Diagram 14" descr="Infographic.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V relativeFrom="margin">
              <wp14:pctHeight>0</wp14:pctHeight>
            </wp14:sizeRelV>
          </wp:anchor>
        </w:drawing>
      </w:r>
      <w:r w:rsidRPr="00B55ACE">
        <w:rPr>
          <w:i/>
        </w:rPr>
        <w:t>Figure 8. Action plan to increase housing security for older Tasmanians</w:t>
      </w:r>
    </w:p>
    <w:p w14:paraId="77D4F979" w14:textId="411E98E8" w:rsidR="00B55ACE" w:rsidRDefault="00B55ACE">
      <w:pPr>
        <w:rPr>
          <w:rFonts w:eastAsiaTheme="majorEastAsia" w:cstheme="majorBidi"/>
          <w:noProof/>
          <w:color w:val="2F5496" w:themeColor="accent1" w:themeShade="BF"/>
          <w:sz w:val="32"/>
          <w:szCs w:val="32"/>
          <w:lang w:val="en-US"/>
        </w:rPr>
      </w:pPr>
      <w:r>
        <w:rPr>
          <w:noProof/>
          <w:lang w:val="en-US"/>
        </w:rPr>
        <w:br w:type="page"/>
      </w:r>
    </w:p>
    <w:p w14:paraId="27CCED70" w14:textId="5390DF57" w:rsidR="0062773E" w:rsidRPr="00802D5C" w:rsidRDefault="0062773E" w:rsidP="006519CA">
      <w:pPr>
        <w:pStyle w:val="Heading1"/>
        <w:rPr>
          <w:noProof/>
          <w:lang w:val="en-US"/>
        </w:rPr>
      </w:pPr>
      <w:r w:rsidRPr="00802D5C">
        <w:rPr>
          <w:noProof/>
          <w:lang w:val="en-US"/>
        </w:rPr>
        <w:lastRenderedPageBreak/>
        <w:t>Recommendations</w:t>
      </w:r>
    </w:p>
    <w:p w14:paraId="73D384D0" w14:textId="1835792C" w:rsidR="0062773E" w:rsidRPr="00726CF2" w:rsidRDefault="0062773E" w:rsidP="00B8604F">
      <w:pPr>
        <w:pStyle w:val="Heading2"/>
        <w:rPr>
          <w:rStyle w:val="Emphasis"/>
          <w:i w:val="0"/>
          <w:color w:val="4472C4" w:themeColor="accent1"/>
          <w:sz w:val="24"/>
        </w:rPr>
      </w:pPr>
      <w:r w:rsidRPr="00726CF2">
        <w:rPr>
          <w:rStyle w:val="Emphasis"/>
          <w:i w:val="0"/>
          <w:color w:val="4472C4" w:themeColor="accent1"/>
          <w:sz w:val="24"/>
        </w:rPr>
        <w:t xml:space="preserve">That the </w:t>
      </w:r>
      <w:r w:rsidRPr="00B8604F">
        <w:rPr>
          <w:rStyle w:val="Emphasis"/>
          <w:i w:val="0"/>
          <w:iCs w:val="0"/>
        </w:rPr>
        <w:t>Tasmania</w:t>
      </w:r>
      <w:r w:rsidR="00802D5C" w:rsidRPr="00B8604F">
        <w:rPr>
          <w:rStyle w:val="Emphasis"/>
          <w:i w:val="0"/>
          <w:iCs w:val="0"/>
        </w:rPr>
        <w:t>n</w:t>
      </w:r>
      <w:r w:rsidR="00802D5C" w:rsidRPr="00726CF2">
        <w:rPr>
          <w:rStyle w:val="Emphasis"/>
          <w:i w:val="0"/>
          <w:color w:val="4472C4" w:themeColor="accent1"/>
          <w:sz w:val="24"/>
        </w:rPr>
        <w:t xml:space="preserve"> Government:</w:t>
      </w:r>
    </w:p>
    <w:p w14:paraId="6371547D" w14:textId="52E6E546" w:rsidR="008E12C7" w:rsidRPr="00525AD4" w:rsidRDefault="00646379" w:rsidP="004E75F5">
      <w:pPr>
        <w:pStyle w:val="ListParagraph"/>
        <w:numPr>
          <w:ilvl w:val="0"/>
          <w:numId w:val="8"/>
        </w:numPr>
        <w:ind w:left="357" w:hanging="357"/>
      </w:pPr>
      <w:r>
        <w:rPr>
          <w:lang w:val="en-US"/>
        </w:rPr>
        <w:t>E</w:t>
      </w:r>
      <w:r w:rsidR="008E12C7" w:rsidRPr="00525AD4">
        <w:rPr>
          <w:lang w:val="en-US"/>
        </w:rPr>
        <w:t>nsure</w:t>
      </w:r>
      <w:r w:rsidR="008E12C7">
        <w:rPr>
          <w:lang w:val="en-US"/>
        </w:rPr>
        <w:t>s</w:t>
      </w:r>
      <w:r w:rsidR="008E12C7" w:rsidRPr="00525AD4">
        <w:rPr>
          <w:lang w:val="en-US"/>
        </w:rPr>
        <w:t xml:space="preserve"> that the supply of social and affordable housing for older Tasmanians meets demand based on current and projected population, home ownership rates and incomes of older Tasmanians.</w:t>
      </w:r>
    </w:p>
    <w:p w14:paraId="5CE70506" w14:textId="7AFD5D91" w:rsidR="00525AD4" w:rsidRDefault="00646379" w:rsidP="004E75F5">
      <w:pPr>
        <w:pStyle w:val="ListParagraph"/>
        <w:numPr>
          <w:ilvl w:val="0"/>
          <w:numId w:val="8"/>
        </w:numPr>
        <w:ind w:left="357" w:hanging="357"/>
      </w:pPr>
      <w:r>
        <w:t>B</w:t>
      </w:r>
      <w:r w:rsidR="00525AD4" w:rsidRPr="00525AD4">
        <w:t>ring</w:t>
      </w:r>
      <w:r w:rsidR="00525AD4">
        <w:t>s</w:t>
      </w:r>
      <w:r w:rsidR="00525AD4" w:rsidRPr="00525AD4">
        <w:t xml:space="preserve"> forward </w:t>
      </w:r>
      <w:r w:rsidR="00525AD4">
        <w:t xml:space="preserve">review and reform of </w:t>
      </w:r>
      <w:r w:rsidR="00525AD4" w:rsidRPr="00525AD4">
        <w:t xml:space="preserve">the </w:t>
      </w:r>
      <w:r w:rsidR="00525AD4" w:rsidRPr="00525AD4">
        <w:rPr>
          <w:i/>
        </w:rPr>
        <w:t>Residential Tenancy Act</w:t>
      </w:r>
      <w:r w:rsidR="00525AD4" w:rsidRPr="00525AD4">
        <w:t xml:space="preserve"> to provide </w:t>
      </w:r>
      <w:r w:rsidR="00CB61FE">
        <w:t>for minor modifications</w:t>
      </w:r>
      <w:r w:rsidR="00525AD4" w:rsidRPr="00525AD4">
        <w:t>, rent stability, greater security of tenure and creat</w:t>
      </w:r>
      <w:r>
        <w:t>ing</w:t>
      </w:r>
      <w:r w:rsidR="00525AD4" w:rsidRPr="00525AD4">
        <w:t xml:space="preserve"> an independent intermediary between landlords or their agents and tenants or potential tenants.</w:t>
      </w:r>
    </w:p>
    <w:p w14:paraId="6417155A" w14:textId="0D1D9006" w:rsidR="00052A6A" w:rsidRPr="00CA5052" w:rsidRDefault="00646379" w:rsidP="004E75F5">
      <w:pPr>
        <w:pStyle w:val="ListParagraph"/>
        <w:numPr>
          <w:ilvl w:val="0"/>
          <w:numId w:val="8"/>
        </w:numPr>
        <w:ind w:left="357" w:hanging="357"/>
      </w:pPr>
      <w:r>
        <w:t>R</w:t>
      </w:r>
      <w:r w:rsidR="00052A6A" w:rsidRPr="00CA5052">
        <w:t xml:space="preserve">eleases and implements a Strategy for older Tasmanians that delivers outcomes across the eight domains of </w:t>
      </w:r>
      <w:r w:rsidR="00052A6A">
        <w:t xml:space="preserve">the </w:t>
      </w:r>
      <w:r w:rsidR="00052A6A" w:rsidRPr="00CA5052">
        <w:t>WHO Age-friendly Cities and Communities Framework in partnership with local government.</w:t>
      </w:r>
    </w:p>
    <w:p w14:paraId="35AE6ED0" w14:textId="772F94A0" w:rsidR="00646379" w:rsidRPr="0020643F" w:rsidRDefault="00646379" w:rsidP="004E75F5">
      <w:pPr>
        <w:pStyle w:val="ListParagraph"/>
        <w:numPr>
          <w:ilvl w:val="0"/>
          <w:numId w:val="8"/>
        </w:numPr>
        <w:ind w:left="357" w:hanging="357"/>
      </w:pPr>
      <w:r>
        <w:t>I</w:t>
      </w:r>
      <w:r w:rsidR="0062773E" w:rsidRPr="0020643F">
        <w:t>ncrease</w:t>
      </w:r>
      <w:r>
        <w:t>s</w:t>
      </w:r>
      <w:r w:rsidR="0062773E" w:rsidRPr="0020643F">
        <w:t xml:space="preserve"> the share of social housing allocated to Aboriginal Tasmanians to be at least equal to their representation in the community.</w:t>
      </w:r>
    </w:p>
    <w:p w14:paraId="41C8CC9D" w14:textId="64F77750" w:rsidR="0062773E" w:rsidRPr="0020643F" w:rsidRDefault="00646379" w:rsidP="004E75F5">
      <w:pPr>
        <w:pStyle w:val="ListParagraph"/>
        <w:numPr>
          <w:ilvl w:val="0"/>
          <w:numId w:val="8"/>
        </w:numPr>
        <w:ind w:left="357" w:hanging="357"/>
      </w:pPr>
      <w:r>
        <w:t>F</w:t>
      </w:r>
      <w:r w:rsidR="00802D5C">
        <w:t>und</w:t>
      </w:r>
      <w:r w:rsidR="002812CB">
        <w:t>s</w:t>
      </w:r>
      <w:r w:rsidR="00802D5C">
        <w:t xml:space="preserve"> additional</w:t>
      </w:r>
      <w:r w:rsidR="0062773E" w:rsidRPr="0020643F">
        <w:t xml:space="preserve"> services provided by the Tenants</w:t>
      </w:r>
      <w:r>
        <w:t>’</w:t>
      </w:r>
      <w:r w:rsidR="0062773E" w:rsidRPr="0020643F">
        <w:t xml:space="preserve"> Union in Northern Tasmania to provide legal and advocacy support proportionate to the number of people renting</w:t>
      </w:r>
      <w:r w:rsidR="00CB61FE">
        <w:t>.</w:t>
      </w:r>
    </w:p>
    <w:p w14:paraId="74CC1C11" w14:textId="3F82BD45" w:rsidR="002812CB" w:rsidRDefault="00646379" w:rsidP="004E75F5">
      <w:pPr>
        <w:pStyle w:val="ListParagraph"/>
        <w:numPr>
          <w:ilvl w:val="0"/>
          <w:numId w:val="8"/>
        </w:numPr>
        <w:ind w:left="357" w:hanging="357"/>
      </w:pPr>
      <w:r>
        <w:t>P</w:t>
      </w:r>
      <w:r w:rsidR="002812CB" w:rsidRPr="002812CB">
        <w:t xml:space="preserve">romotes and supports the development of </w:t>
      </w:r>
      <w:r w:rsidR="002812CB">
        <w:t xml:space="preserve">innovative and </w:t>
      </w:r>
      <w:r w:rsidR="002812CB" w:rsidRPr="002812CB">
        <w:t>alternative affordable housing models such as cooperative housing, co-housing and co-ownership models.</w:t>
      </w:r>
    </w:p>
    <w:p w14:paraId="4F5E69C4" w14:textId="5B28B868" w:rsidR="0062773E" w:rsidRDefault="00646379" w:rsidP="004E75F5">
      <w:pPr>
        <w:pStyle w:val="ListParagraph"/>
        <w:numPr>
          <w:ilvl w:val="0"/>
          <w:numId w:val="8"/>
        </w:numPr>
        <w:ind w:left="357" w:hanging="357"/>
      </w:pPr>
      <w:r>
        <w:t>P</w:t>
      </w:r>
      <w:r w:rsidR="00052A6A">
        <w:t>rioritises</w:t>
      </w:r>
      <w:r w:rsidR="0062773E" w:rsidRPr="0020643F">
        <w:t xml:space="preserve"> universal delivery of Respectful Relationships Education in Tasmanian schools</w:t>
      </w:r>
      <w:r w:rsidR="00CB61FE">
        <w:t>.</w:t>
      </w:r>
    </w:p>
    <w:p w14:paraId="740C7006" w14:textId="0E977A0F" w:rsidR="0062773E" w:rsidRPr="00726CF2" w:rsidRDefault="00646379" w:rsidP="004E75F5">
      <w:pPr>
        <w:pStyle w:val="ListParagraph"/>
        <w:numPr>
          <w:ilvl w:val="0"/>
          <w:numId w:val="8"/>
        </w:numPr>
        <w:ind w:left="357" w:hanging="357"/>
      </w:pPr>
      <w:r>
        <w:t>F</w:t>
      </w:r>
      <w:r w:rsidR="00052A6A">
        <w:t>ormalises and resources effective</w:t>
      </w:r>
      <w:r w:rsidR="002812CB">
        <w:t xml:space="preserve"> responses to reports of elder abuse</w:t>
      </w:r>
      <w:r w:rsidR="00CB61FE">
        <w:t>.</w:t>
      </w:r>
    </w:p>
    <w:p w14:paraId="415D3DF2" w14:textId="5039B28B" w:rsidR="00802D5C" w:rsidRPr="00726CF2" w:rsidRDefault="00802D5C" w:rsidP="004E75F5">
      <w:pPr>
        <w:pStyle w:val="Heading2"/>
      </w:pPr>
      <w:r w:rsidRPr="00726CF2">
        <w:t xml:space="preserve">That the Tasmanian </w:t>
      </w:r>
      <w:r w:rsidR="008E12C7" w:rsidRPr="00726CF2">
        <w:t>Government works with the Australian Government to:</w:t>
      </w:r>
    </w:p>
    <w:p w14:paraId="10985ED5" w14:textId="1114E394" w:rsidR="008E12C7" w:rsidRDefault="00646379" w:rsidP="004E75F5">
      <w:pPr>
        <w:pStyle w:val="ListParagraph"/>
        <w:numPr>
          <w:ilvl w:val="0"/>
          <w:numId w:val="8"/>
        </w:numPr>
        <w:ind w:left="357" w:hanging="357"/>
      </w:pPr>
      <w:r>
        <w:t>E</w:t>
      </w:r>
      <w:r w:rsidR="008E12C7">
        <w:t>nsure adequate funding of social and affordable housing construction</w:t>
      </w:r>
      <w:r w:rsidR="00CB61FE">
        <w:t>.</w:t>
      </w:r>
    </w:p>
    <w:p w14:paraId="5830C86B" w14:textId="019E6140" w:rsidR="0062773E" w:rsidRPr="0020643F" w:rsidRDefault="00646379" w:rsidP="004E75F5">
      <w:pPr>
        <w:pStyle w:val="ListParagraph"/>
        <w:numPr>
          <w:ilvl w:val="0"/>
          <w:numId w:val="8"/>
        </w:numPr>
        <w:ind w:left="357" w:hanging="357"/>
      </w:pPr>
      <w:r>
        <w:t>P</w:t>
      </w:r>
      <w:r w:rsidR="008E12C7">
        <w:t>rovide</w:t>
      </w:r>
      <w:r w:rsidR="0062773E" w:rsidRPr="0020643F">
        <w:t xml:space="preserve"> support for modification of </w:t>
      </w:r>
      <w:r w:rsidR="00802D5C">
        <w:t xml:space="preserve">existing </w:t>
      </w:r>
      <w:r w:rsidR="002812CB">
        <w:t>homes</w:t>
      </w:r>
      <w:r w:rsidR="0062773E" w:rsidRPr="0020643F">
        <w:t>, including rental properties, to support ageing in place</w:t>
      </w:r>
      <w:r w:rsidR="00CB61FE">
        <w:t>.</w:t>
      </w:r>
    </w:p>
    <w:p w14:paraId="62859A38" w14:textId="1F8B3D2B" w:rsidR="0062773E" w:rsidRPr="0020643F" w:rsidRDefault="00646379" w:rsidP="004E75F5">
      <w:pPr>
        <w:pStyle w:val="ListParagraph"/>
        <w:numPr>
          <w:ilvl w:val="0"/>
          <w:numId w:val="8"/>
        </w:numPr>
        <w:ind w:left="357" w:hanging="357"/>
      </w:pPr>
      <w:r>
        <w:t>F</w:t>
      </w:r>
      <w:r w:rsidR="008E12C7">
        <w:t xml:space="preserve">und additional support for older Tasmanians to overcome digital barriers to engaging with </w:t>
      </w:r>
      <w:r w:rsidR="0062773E" w:rsidRPr="0020643F">
        <w:t xml:space="preserve">the housing market </w:t>
      </w:r>
      <w:r w:rsidR="008E12C7">
        <w:t>and other services</w:t>
      </w:r>
      <w:r w:rsidR="00CB61FE">
        <w:t>.</w:t>
      </w:r>
      <w:r w:rsidR="0062773E" w:rsidRPr="0020643F">
        <w:t xml:space="preserve"> </w:t>
      </w:r>
    </w:p>
    <w:p w14:paraId="7ED07323" w14:textId="4B57374C" w:rsidR="0062773E" w:rsidRDefault="00646379" w:rsidP="004E75F5">
      <w:pPr>
        <w:pStyle w:val="ListParagraph"/>
        <w:numPr>
          <w:ilvl w:val="0"/>
          <w:numId w:val="8"/>
        </w:numPr>
        <w:ind w:left="357" w:hanging="357"/>
      </w:pPr>
      <w:r>
        <w:t>F</w:t>
      </w:r>
      <w:r w:rsidR="002812CB">
        <w:t xml:space="preserve">und a </w:t>
      </w:r>
      <w:r w:rsidR="008E12C7" w:rsidRPr="0020643F">
        <w:t>pilot program to provide more effective support for Tasmanians living with hoarding</w:t>
      </w:r>
      <w:r w:rsidR="00CB61FE">
        <w:t>.</w:t>
      </w:r>
    </w:p>
    <w:p w14:paraId="76D13B14" w14:textId="3DD9CC5C" w:rsidR="0014134C" w:rsidRPr="002812CB" w:rsidRDefault="00646379" w:rsidP="004E75F5">
      <w:pPr>
        <w:pStyle w:val="ListParagraph"/>
        <w:numPr>
          <w:ilvl w:val="0"/>
          <w:numId w:val="8"/>
        </w:numPr>
        <w:ind w:left="357" w:hanging="357"/>
      </w:pPr>
      <w:r>
        <w:t>P</w:t>
      </w:r>
      <w:r w:rsidR="0014134C">
        <w:t>rovide specific supports to older women to ensure their independent housing security</w:t>
      </w:r>
      <w:r w:rsidR="00CB61FE">
        <w:t>.</w:t>
      </w:r>
    </w:p>
    <w:p w14:paraId="1DDDFB21" w14:textId="13F9B1A3" w:rsidR="0062773E" w:rsidRPr="00726CF2" w:rsidRDefault="002812CB" w:rsidP="004E75F5">
      <w:pPr>
        <w:pStyle w:val="Heading2"/>
      </w:pPr>
      <w:r w:rsidRPr="00726CF2">
        <w:t>That the Australian government</w:t>
      </w:r>
      <w:r w:rsidR="0062773E" w:rsidRPr="00726CF2">
        <w:t>:</w:t>
      </w:r>
    </w:p>
    <w:p w14:paraId="67F7ECBD" w14:textId="6E0E7248" w:rsidR="0062773E" w:rsidRPr="0020643F" w:rsidRDefault="00646379" w:rsidP="004E75F5">
      <w:pPr>
        <w:pStyle w:val="ListParagraph"/>
        <w:numPr>
          <w:ilvl w:val="0"/>
          <w:numId w:val="8"/>
        </w:numPr>
        <w:ind w:left="357" w:hanging="357"/>
      </w:pPr>
      <w:r>
        <w:t>P</w:t>
      </w:r>
      <w:r w:rsidR="0062773E" w:rsidRPr="0020643F">
        <w:t>rovide</w:t>
      </w:r>
      <w:r w:rsidR="008E12C7">
        <w:t>s</w:t>
      </w:r>
      <w:r w:rsidR="0062773E" w:rsidRPr="0020643F">
        <w:t xml:space="preserve"> funding to NDIS and Aged Care Package recipients </w:t>
      </w:r>
      <w:r w:rsidR="008E12C7">
        <w:t xml:space="preserve">(or their spouse) </w:t>
      </w:r>
      <w:r w:rsidR="0062773E" w:rsidRPr="0020643F">
        <w:t>to assist with moving</w:t>
      </w:r>
      <w:r w:rsidR="008E12C7">
        <w:t xml:space="preserve"> residence.</w:t>
      </w:r>
    </w:p>
    <w:p w14:paraId="2D420101" w14:textId="66C7FA92" w:rsidR="0062773E" w:rsidRPr="0020643F" w:rsidRDefault="00646379" w:rsidP="004E75F5">
      <w:pPr>
        <w:pStyle w:val="ListParagraph"/>
        <w:numPr>
          <w:ilvl w:val="0"/>
          <w:numId w:val="8"/>
        </w:numPr>
        <w:ind w:left="357" w:hanging="357"/>
      </w:pPr>
      <w:r>
        <w:t>A</w:t>
      </w:r>
      <w:r w:rsidR="0062773E" w:rsidRPr="0020643F">
        <w:t>djust</w:t>
      </w:r>
      <w:r w:rsidR="002812CB">
        <w:t>s</w:t>
      </w:r>
      <w:r w:rsidR="0062773E" w:rsidRPr="0020643F">
        <w:t xml:space="preserve"> the eligibility for the Age pension for Aboriginal and Torres Strait Islanders to align with the age of eligibility for Commonwealth-funded aged care.</w:t>
      </w:r>
    </w:p>
    <w:p w14:paraId="11A9AA1D" w14:textId="039C4FAD" w:rsidR="002812CB" w:rsidRDefault="00646379" w:rsidP="004E75F5">
      <w:pPr>
        <w:pStyle w:val="ListParagraph"/>
        <w:numPr>
          <w:ilvl w:val="0"/>
          <w:numId w:val="8"/>
        </w:numPr>
        <w:ind w:left="357" w:hanging="357"/>
      </w:pPr>
      <w:r>
        <w:t>I</w:t>
      </w:r>
      <w:r w:rsidR="002812CB" w:rsidRPr="00E70FF4">
        <w:t>mplements recommendations to re-target superannuation tax concessions to ensure that they are more equitably distributed</w:t>
      </w:r>
      <w:r w:rsidR="002812CB">
        <w:t>.</w:t>
      </w:r>
    </w:p>
    <w:p w14:paraId="582D3DE2" w14:textId="39D5C736" w:rsidR="0062773E" w:rsidRPr="0020643F" w:rsidRDefault="00646379" w:rsidP="004E75F5">
      <w:pPr>
        <w:pStyle w:val="ListParagraph"/>
        <w:numPr>
          <w:ilvl w:val="0"/>
          <w:numId w:val="8"/>
        </w:numPr>
        <w:ind w:left="357" w:hanging="357"/>
      </w:pPr>
      <w:r>
        <w:t>I</w:t>
      </w:r>
      <w:r w:rsidR="002812CB" w:rsidRPr="002812CB">
        <w:t xml:space="preserve">ncreases </w:t>
      </w:r>
      <w:r w:rsidR="00CB61FE">
        <w:t xml:space="preserve">income support, including increasing </w:t>
      </w:r>
      <w:r w:rsidR="002812CB" w:rsidRPr="002812CB">
        <w:t>Commonwealth Rental Assistance (CRA) for single people and for people receiving the Age Pension who do not own their own home, in addition to non-targeted indexation of CRA to median rents</w:t>
      </w:r>
      <w:r w:rsidR="00CB61FE">
        <w:t>.</w:t>
      </w:r>
    </w:p>
    <w:p w14:paraId="5AABDB9F" w14:textId="1FE69041" w:rsidR="0062773E" w:rsidRPr="0020643F" w:rsidRDefault="00646379" w:rsidP="004E75F5">
      <w:pPr>
        <w:pStyle w:val="ListParagraph"/>
        <w:numPr>
          <w:ilvl w:val="0"/>
          <w:numId w:val="8"/>
        </w:numPr>
        <w:ind w:left="357" w:hanging="357"/>
      </w:pPr>
      <w:r>
        <w:t>P</w:t>
      </w:r>
      <w:r w:rsidR="0062773E" w:rsidRPr="0020643F">
        <w:t>rovide</w:t>
      </w:r>
      <w:r w:rsidR="002812CB">
        <w:t>s</w:t>
      </w:r>
      <w:r w:rsidR="0062773E" w:rsidRPr="0020643F">
        <w:t xml:space="preserve"> ongoing funding for Lawyer-assisted Family Law Property Mediation delivered through Tasmania Legal Aid. </w:t>
      </w:r>
    </w:p>
    <w:p w14:paraId="0E153868" w14:textId="0839284A" w:rsidR="004E75F5" w:rsidRDefault="004E75F5">
      <w:r>
        <w:br w:type="page"/>
      </w:r>
    </w:p>
    <w:p w14:paraId="0DFFB227" w14:textId="3D246639" w:rsidR="007140B9" w:rsidRDefault="003C17A2" w:rsidP="006519CA">
      <w:pPr>
        <w:pStyle w:val="Heading1"/>
        <w:rPr>
          <w:lang w:val="en-US"/>
        </w:rPr>
      </w:pPr>
      <w:r>
        <w:rPr>
          <w:lang w:val="en-US"/>
        </w:rPr>
        <w:lastRenderedPageBreak/>
        <w:t xml:space="preserve">Glossary </w:t>
      </w:r>
    </w:p>
    <w:tbl>
      <w:tblPr>
        <w:tblStyle w:val="TableGrid"/>
        <w:tblW w:w="0" w:type="auto"/>
        <w:tblLook w:val="04A0" w:firstRow="1" w:lastRow="0" w:firstColumn="1" w:lastColumn="0" w:noHBand="0" w:noVBand="1"/>
      </w:tblPr>
      <w:tblGrid>
        <w:gridCol w:w="2263"/>
        <w:gridCol w:w="6753"/>
      </w:tblGrid>
      <w:tr w:rsidR="00E15310" w14:paraId="113F3511" w14:textId="77777777" w:rsidTr="00022C63">
        <w:tc>
          <w:tcPr>
            <w:tcW w:w="2263" w:type="dxa"/>
          </w:tcPr>
          <w:p w14:paraId="7454D603" w14:textId="1C620724" w:rsidR="00E15310" w:rsidRDefault="00B55ACE" w:rsidP="006519CA">
            <w:pPr>
              <w:rPr>
                <w:lang w:val="en-US"/>
              </w:rPr>
            </w:pPr>
            <w:r>
              <w:rPr>
                <w:lang w:val="en-US"/>
              </w:rPr>
              <w:t>Accessible</w:t>
            </w:r>
          </w:p>
        </w:tc>
        <w:tc>
          <w:tcPr>
            <w:tcW w:w="6753" w:type="dxa"/>
          </w:tcPr>
          <w:p w14:paraId="75A33543" w14:textId="17491C3B" w:rsidR="00E15310" w:rsidRDefault="00B55ACE" w:rsidP="006519CA">
            <w:pPr>
              <w:rPr>
                <w:lang w:val="en-US"/>
              </w:rPr>
            </w:pPr>
            <w:r w:rsidRPr="00E6606A">
              <w:rPr>
                <w:lang w:val="en-US"/>
              </w:rPr>
              <w:t xml:space="preserve">An accessible home is designed to meet </w:t>
            </w:r>
            <w:r w:rsidR="00E6606A" w:rsidRPr="00E6606A">
              <w:rPr>
                <w:lang w:val="en-US"/>
              </w:rPr>
              <w:t>people’s needs in terms of access and mobility</w:t>
            </w:r>
            <w:r w:rsidRPr="00E6606A">
              <w:rPr>
                <w:lang w:val="en-US"/>
              </w:rPr>
              <w:t>.</w:t>
            </w:r>
          </w:p>
        </w:tc>
      </w:tr>
      <w:tr w:rsidR="00B55ACE" w14:paraId="4A70F917" w14:textId="77777777" w:rsidTr="00022C63">
        <w:tc>
          <w:tcPr>
            <w:tcW w:w="2263" w:type="dxa"/>
          </w:tcPr>
          <w:p w14:paraId="5463E5E2" w14:textId="53AEA7F0" w:rsidR="00B55ACE" w:rsidRDefault="00B55ACE" w:rsidP="00B55ACE">
            <w:pPr>
              <w:rPr>
                <w:lang w:val="en-US"/>
              </w:rPr>
            </w:pPr>
            <w:r>
              <w:rPr>
                <w:lang w:val="en-US"/>
              </w:rPr>
              <w:t>Affordable</w:t>
            </w:r>
          </w:p>
        </w:tc>
        <w:tc>
          <w:tcPr>
            <w:tcW w:w="6753" w:type="dxa"/>
          </w:tcPr>
          <w:p w14:paraId="1776FA67" w14:textId="6FAAAC3E" w:rsidR="00B55ACE" w:rsidRPr="00022C63" w:rsidRDefault="00B55ACE" w:rsidP="008E3A14">
            <w:pPr>
              <w:rPr>
                <w:lang w:val="en-US"/>
              </w:rPr>
            </w:pPr>
            <w:r w:rsidRPr="00022C63">
              <w:rPr>
                <w:lang w:val="en-US"/>
              </w:rPr>
              <w:t>For people</w:t>
            </w:r>
            <w:r w:rsidR="008E3A14">
              <w:rPr>
                <w:lang w:val="en-US"/>
              </w:rPr>
              <w:t xml:space="preserve"> with incomes in the lowest 40%</w:t>
            </w:r>
            <w:r w:rsidRPr="00022C63">
              <w:rPr>
                <w:lang w:val="en-US"/>
              </w:rPr>
              <w:t>, housing is ‘affordable’ if no more than</w:t>
            </w:r>
            <w:r w:rsidR="008E3A14">
              <w:rPr>
                <w:lang w:val="en-US"/>
              </w:rPr>
              <w:t xml:space="preserve"> </w:t>
            </w:r>
            <w:r w:rsidRPr="00022C63">
              <w:rPr>
                <w:lang w:val="en-US"/>
              </w:rPr>
              <w:t>30% of income is spent on rent. This is a widely-recognised,</w:t>
            </w:r>
            <w:r>
              <w:rPr>
                <w:lang w:val="en-US"/>
              </w:rPr>
              <w:t xml:space="preserve"> </w:t>
            </w:r>
            <w:r w:rsidRPr="00022C63">
              <w:rPr>
                <w:lang w:val="en-US"/>
              </w:rPr>
              <w:t>internationally accepted standard that leaves sufficient income left</w:t>
            </w:r>
            <w:r>
              <w:rPr>
                <w:lang w:val="en-US"/>
              </w:rPr>
              <w:t xml:space="preserve"> </w:t>
            </w:r>
            <w:r w:rsidRPr="00022C63">
              <w:rPr>
                <w:lang w:val="en-US"/>
              </w:rPr>
              <w:t>over for a reasonable standard of living</w:t>
            </w:r>
          </w:p>
        </w:tc>
      </w:tr>
      <w:tr w:rsidR="00E6606A" w14:paraId="54985302" w14:textId="77777777" w:rsidTr="00022C63">
        <w:tc>
          <w:tcPr>
            <w:tcW w:w="2263" w:type="dxa"/>
          </w:tcPr>
          <w:p w14:paraId="63F7F8AD" w14:textId="66754AF4" w:rsidR="00E6606A" w:rsidRDefault="00E6606A" w:rsidP="00B55ACE">
            <w:pPr>
              <w:rPr>
                <w:lang w:val="en-US"/>
              </w:rPr>
            </w:pPr>
            <w:r>
              <w:rPr>
                <w:lang w:val="en-US"/>
              </w:rPr>
              <w:t>Appropriate</w:t>
            </w:r>
          </w:p>
        </w:tc>
        <w:tc>
          <w:tcPr>
            <w:tcW w:w="6753" w:type="dxa"/>
          </w:tcPr>
          <w:p w14:paraId="3B0BF3E4" w14:textId="16B8B477" w:rsidR="00E6606A" w:rsidRPr="00022C63" w:rsidRDefault="00E6606A" w:rsidP="00B55ACE">
            <w:pPr>
              <w:rPr>
                <w:lang w:val="en-US"/>
              </w:rPr>
            </w:pPr>
            <w:r w:rsidRPr="00E6606A">
              <w:rPr>
                <w:lang w:val="en-US"/>
              </w:rPr>
              <w:t xml:space="preserve">Meeting the needs of the household, such as being </w:t>
            </w:r>
            <w:r>
              <w:rPr>
                <w:lang w:val="en-US"/>
              </w:rPr>
              <w:t>the right size</w:t>
            </w:r>
            <w:r w:rsidRPr="00E6606A">
              <w:rPr>
                <w:lang w:val="en-US"/>
              </w:rPr>
              <w:t>, with adequate heating and cooling, built and maintained to avoid causing health problems, and located within reach of services, employment, education and transport options.</w:t>
            </w:r>
          </w:p>
        </w:tc>
      </w:tr>
      <w:tr w:rsidR="008F16CF" w14:paraId="07D62FE8" w14:textId="77777777" w:rsidTr="00022C63">
        <w:tc>
          <w:tcPr>
            <w:tcW w:w="2263" w:type="dxa"/>
          </w:tcPr>
          <w:p w14:paraId="06FF22F5" w14:textId="050B2B7A" w:rsidR="008F16CF" w:rsidRDefault="008F16CF" w:rsidP="00B55ACE">
            <w:pPr>
              <w:rPr>
                <w:lang w:val="en-US"/>
              </w:rPr>
            </w:pPr>
            <w:r>
              <w:rPr>
                <w:lang w:val="en-US"/>
              </w:rPr>
              <w:t>Hoarding</w:t>
            </w:r>
          </w:p>
        </w:tc>
        <w:tc>
          <w:tcPr>
            <w:tcW w:w="6753" w:type="dxa"/>
          </w:tcPr>
          <w:p w14:paraId="04ECB486" w14:textId="33754D78" w:rsidR="008F16CF" w:rsidRPr="00E6606A" w:rsidRDefault="008F16CF" w:rsidP="00B55ACE">
            <w:pPr>
              <w:rPr>
                <w:lang w:val="en-US"/>
              </w:rPr>
            </w:pPr>
            <w:r>
              <w:rPr>
                <w:lang w:val="en-US"/>
              </w:rPr>
              <w:t>Hoarding disorder is a psychiatric condition that involves challenges with acquiring, sorting and/or discarding items or animals. Those living with hoarding ascribe meaning or have emotional attachment to items others would see as not valuable. This attachment leads to significant emotional struggles in thinking about or actually discarding items.</w:t>
            </w:r>
          </w:p>
        </w:tc>
      </w:tr>
      <w:tr w:rsidR="00B55ACE" w14:paraId="77D7BA5F" w14:textId="77777777" w:rsidTr="00022C63">
        <w:tc>
          <w:tcPr>
            <w:tcW w:w="2263" w:type="dxa"/>
          </w:tcPr>
          <w:p w14:paraId="40E38C0A" w14:textId="576E5836" w:rsidR="00B55ACE" w:rsidRDefault="00B55ACE" w:rsidP="00B55ACE">
            <w:pPr>
              <w:rPr>
                <w:lang w:val="en-US"/>
              </w:rPr>
            </w:pPr>
            <w:r>
              <w:rPr>
                <w:lang w:val="en-US"/>
              </w:rPr>
              <w:t>Housing stress / rental stress</w:t>
            </w:r>
          </w:p>
        </w:tc>
        <w:tc>
          <w:tcPr>
            <w:tcW w:w="6753" w:type="dxa"/>
          </w:tcPr>
          <w:p w14:paraId="748044AE" w14:textId="53F8ACFB" w:rsidR="00B55ACE" w:rsidRDefault="00B55ACE" w:rsidP="00B55ACE">
            <w:pPr>
              <w:rPr>
                <w:lang w:val="en-US"/>
              </w:rPr>
            </w:pPr>
            <w:r>
              <w:rPr>
                <w:lang w:val="en-US"/>
              </w:rPr>
              <w:t>A person spending more than 30% of their income on housing costs is said to be in housing stress</w:t>
            </w:r>
            <w:r w:rsidR="00E6606A">
              <w:rPr>
                <w:lang w:val="en-US"/>
              </w:rPr>
              <w:t>. If a person is renting, it can also be called</w:t>
            </w:r>
            <w:r>
              <w:rPr>
                <w:lang w:val="en-US"/>
              </w:rPr>
              <w:t xml:space="preserve"> rental stress.</w:t>
            </w:r>
          </w:p>
        </w:tc>
      </w:tr>
      <w:tr w:rsidR="00B55ACE" w14:paraId="45F7B727" w14:textId="77777777" w:rsidTr="00022C63">
        <w:tc>
          <w:tcPr>
            <w:tcW w:w="2263" w:type="dxa"/>
          </w:tcPr>
          <w:p w14:paraId="2A15D5C2" w14:textId="54AA61B0" w:rsidR="00B55ACE" w:rsidRDefault="00B55ACE" w:rsidP="00B55ACE">
            <w:pPr>
              <w:rPr>
                <w:lang w:val="en-US"/>
              </w:rPr>
            </w:pPr>
            <w:r>
              <w:rPr>
                <w:lang w:val="en-US"/>
              </w:rPr>
              <w:t>Older people</w:t>
            </w:r>
          </w:p>
        </w:tc>
        <w:tc>
          <w:tcPr>
            <w:tcW w:w="6753" w:type="dxa"/>
          </w:tcPr>
          <w:p w14:paraId="277289CF" w14:textId="77777777" w:rsidR="00B55ACE" w:rsidRPr="00022C63" w:rsidRDefault="00B55ACE" w:rsidP="00B55ACE">
            <w:pPr>
              <w:rPr>
                <w:lang w:val="en-US"/>
              </w:rPr>
            </w:pPr>
            <w:r w:rsidRPr="00022C63">
              <w:rPr>
                <w:lang w:val="en-US"/>
              </w:rPr>
              <w:t>Aboriginal people aged 45 and older, and non-Aboriginal</w:t>
            </w:r>
          </w:p>
          <w:p w14:paraId="22B64813" w14:textId="701DA11D" w:rsidR="00B55ACE" w:rsidRDefault="00B55ACE" w:rsidP="00B55ACE">
            <w:pPr>
              <w:rPr>
                <w:lang w:val="en-US"/>
              </w:rPr>
            </w:pPr>
            <w:r w:rsidRPr="00022C63">
              <w:rPr>
                <w:lang w:val="en-US"/>
              </w:rPr>
              <w:t>people age 55 and older</w:t>
            </w:r>
          </w:p>
        </w:tc>
      </w:tr>
    </w:tbl>
    <w:p w14:paraId="0680F927" w14:textId="1CE30059" w:rsidR="003C17A2" w:rsidRDefault="003C17A2" w:rsidP="006519CA">
      <w:pPr>
        <w:rPr>
          <w:lang w:val="en-US"/>
        </w:rPr>
      </w:pPr>
    </w:p>
    <w:p w14:paraId="4B910C21" w14:textId="119077AD" w:rsidR="003C17A2" w:rsidRDefault="003C17A2" w:rsidP="006519CA">
      <w:pPr>
        <w:pStyle w:val="Heading1"/>
        <w:rPr>
          <w:lang w:val="en-US"/>
        </w:rPr>
      </w:pPr>
      <w:r>
        <w:rPr>
          <w:lang w:val="en-US"/>
        </w:rPr>
        <w:t>References</w:t>
      </w:r>
    </w:p>
    <w:p w14:paraId="2894E59E" w14:textId="68041C73" w:rsidR="00D26C88" w:rsidRDefault="00D26C88" w:rsidP="006519CA">
      <w:pPr>
        <w:pStyle w:val="Style1"/>
      </w:pPr>
    </w:p>
    <w:p w14:paraId="06D35C77" w14:textId="77777777" w:rsidR="00E878E0" w:rsidRPr="00E878E0" w:rsidRDefault="00D26C88" w:rsidP="00E878E0">
      <w:pPr>
        <w:pStyle w:val="EndNoteBibliography"/>
        <w:spacing w:after="0"/>
        <w:ind w:left="720" w:hanging="720"/>
      </w:pPr>
      <w:r>
        <w:fldChar w:fldCharType="begin"/>
      </w:r>
      <w:r>
        <w:instrText xml:space="preserve"> ADDIN EN.REFLIST </w:instrText>
      </w:r>
      <w:r>
        <w:fldChar w:fldCharType="separate"/>
      </w:r>
      <w:r w:rsidR="00E878E0" w:rsidRPr="00E878E0">
        <w:t>1.</w:t>
      </w:r>
      <w:r w:rsidR="00E878E0" w:rsidRPr="00E878E0">
        <w:tab/>
        <w:t xml:space="preserve">National Housing Supply and Affordability Council, </w:t>
      </w:r>
      <w:r w:rsidR="00E878E0" w:rsidRPr="00E878E0">
        <w:rPr>
          <w:i/>
        </w:rPr>
        <w:t>State of the Housing System 2024</w:t>
      </w:r>
      <w:r w:rsidR="00E878E0" w:rsidRPr="00E878E0">
        <w:t xml:space="preserve">, 2024. Canberra. </w:t>
      </w:r>
    </w:p>
    <w:p w14:paraId="089C31F0" w14:textId="77777777" w:rsidR="00E878E0" w:rsidRPr="00E878E0" w:rsidRDefault="00E878E0" w:rsidP="00E878E0">
      <w:pPr>
        <w:pStyle w:val="EndNoteBibliography"/>
        <w:spacing w:after="0"/>
        <w:ind w:left="720" w:hanging="720"/>
      </w:pPr>
      <w:r w:rsidRPr="00E878E0">
        <w:t>2.</w:t>
      </w:r>
      <w:r w:rsidRPr="00E878E0">
        <w:tab/>
        <w:t xml:space="preserve">SGS Economics and Planning, </w:t>
      </w:r>
      <w:r w:rsidRPr="00E878E0">
        <w:rPr>
          <w:i/>
        </w:rPr>
        <w:t>Rental Affordability Index</w:t>
      </w:r>
      <w:r w:rsidRPr="00E878E0">
        <w:t xml:space="preserve">, 2023. SGS: Canberra. </w:t>
      </w:r>
    </w:p>
    <w:p w14:paraId="28DC0A53" w14:textId="470A3C91" w:rsidR="00E878E0" w:rsidRPr="00E878E0" w:rsidRDefault="00E878E0" w:rsidP="00E878E0">
      <w:pPr>
        <w:pStyle w:val="EndNoteBibliography"/>
        <w:spacing w:after="0"/>
        <w:ind w:left="720" w:hanging="720"/>
      </w:pPr>
      <w:r w:rsidRPr="00E878E0">
        <w:t>3.</w:t>
      </w:r>
      <w:r w:rsidRPr="00E878E0">
        <w:tab/>
        <w:t xml:space="preserve">Australian Institute of Health and Welfare, </w:t>
      </w:r>
      <w:r w:rsidRPr="00E878E0">
        <w:rPr>
          <w:i/>
        </w:rPr>
        <w:t>Home ownership and housing tenure</w:t>
      </w:r>
      <w:r w:rsidRPr="00E878E0">
        <w:t xml:space="preserve">, 2023. Viewed April 2024. Available from: </w:t>
      </w:r>
      <w:hyperlink r:id="rId22" w:history="1">
        <w:r w:rsidRPr="00E878E0">
          <w:rPr>
            <w:rStyle w:val="Hyperlink"/>
          </w:rPr>
          <w:t>https://www.aihw.gov.au/reports/australias-welfare/home-ownership-and-housing-tenure</w:t>
        </w:r>
      </w:hyperlink>
      <w:r w:rsidRPr="00E878E0">
        <w:t>.</w:t>
      </w:r>
    </w:p>
    <w:p w14:paraId="2D761976" w14:textId="77777777" w:rsidR="00E878E0" w:rsidRPr="00E878E0" w:rsidRDefault="00E878E0" w:rsidP="00E878E0">
      <w:pPr>
        <w:pStyle w:val="EndNoteBibliography"/>
        <w:spacing w:after="0"/>
        <w:ind w:left="720" w:hanging="720"/>
      </w:pPr>
      <w:r w:rsidRPr="00E878E0">
        <w:t>4.</w:t>
      </w:r>
      <w:r w:rsidRPr="00E878E0">
        <w:tab/>
        <w:t xml:space="preserve">Claxton, S &amp; Bennett, M, </w:t>
      </w:r>
      <w:r w:rsidRPr="00E878E0">
        <w:rPr>
          <w:i/>
        </w:rPr>
        <w:t>Rental Affordability Snapshot Tasmania</w:t>
      </w:r>
      <w:r w:rsidRPr="00E878E0">
        <w:t xml:space="preserve">, 2024. Anglicare Tasmania: Hobart. </w:t>
      </w:r>
    </w:p>
    <w:p w14:paraId="61FC86D0" w14:textId="412DE560" w:rsidR="00E878E0" w:rsidRPr="00E878E0" w:rsidRDefault="00E878E0" w:rsidP="00E878E0">
      <w:pPr>
        <w:pStyle w:val="EndNoteBibliography"/>
        <w:spacing w:after="0"/>
        <w:ind w:left="720" w:hanging="720"/>
      </w:pPr>
      <w:r w:rsidRPr="00E878E0">
        <w:t>5.</w:t>
      </w:r>
      <w:r w:rsidRPr="00E878E0">
        <w:tab/>
        <w:t xml:space="preserve">Australian Bureau of Statistics, </w:t>
      </w:r>
      <w:r w:rsidRPr="00E878E0">
        <w:rPr>
          <w:i/>
        </w:rPr>
        <w:t>National, state and territory population</w:t>
      </w:r>
      <w:r w:rsidRPr="00E878E0">
        <w:t xml:space="preserve">, 2023. Viewed May 2024. Available from: </w:t>
      </w:r>
      <w:hyperlink r:id="rId23" w:history="1">
        <w:r w:rsidRPr="00E878E0">
          <w:rPr>
            <w:rStyle w:val="Hyperlink"/>
          </w:rPr>
          <w:t>https://www.abs.gov.au/statistics/people/population/national-state-and-territory-population/latest-release</w:t>
        </w:r>
      </w:hyperlink>
      <w:r w:rsidRPr="00E878E0">
        <w:t>.</w:t>
      </w:r>
    </w:p>
    <w:p w14:paraId="40E8BBD9" w14:textId="77777777" w:rsidR="00E878E0" w:rsidRPr="00E878E0" w:rsidRDefault="00E878E0" w:rsidP="00E878E0">
      <w:pPr>
        <w:pStyle w:val="EndNoteBibliography"/>
        <w:spacing w:after="0"/>
        <w:ind w:left="720" w:hanging="720"/>
      </w:pPr>
      <w:r w:rsidRPr="00E878E0">
        <w:t>6.</w:t>
      </w:r>
      <w:r w:rsidRPr="00E878E0">
        <w:tab/>
        <w:t xml:space="preserve">Tasmanian Government, </w:t>
      </w:r>
      <w:r w:rsidRPr="00E878E0">
        <w:rPr>
          <w:i/>
        </w:rPr>
        <w:t>TasPOPP 2024: Tasmanian and Local Government Area Population Projections 2023 to 2053</w:t>
      </w:r>
      <w:r w:rsidRPr="00E878E0">
        <w:t xml:space="preserve">, 2024. Department of Treasury and Finance: Hobart. </w:t>
      </w:r>
    </w:p>
    <w:p w14:paraId="015A53F3" w14:textId="77777777" w:rsidR="00E878E0" w:rsidRPr="00E878E0" w:rsidRDefault="00E878E0" w:rsidP="00E878E0">
      <w:pPr>
        <w:pStyle w:val="EndNoteBibliography"/>
        <w:spacing w:after="0"/>
        <w:ind w:left="720" w:hanging="720"/>
      </w:pPr>
      <w:r w:rsidRPr="00E878E0">
        <w:t>7.</w:t>
      </w:r>
      <w:r w:rsidRPr="00E878E0">
        <w:tab/>
        <w:t xml:space="preserve">Polidoras, A, Toner, K, Banks, C, and Diseris, I, </w:t>
      </w:r>
      <w:r w:rsidRPr="00E878E0">
        <w:rPr>
          <w:i/>
        </w:rPr>
        <w:t>State of the Older Nation 2023</w:t>
      </w:r>
      <w:r w:rsidRPr="00E878E0">
        <w:t xml:space="preserve">, 2023. Council on the Ageing: Sydney. </w:t>
      </w:r>
    </w:p>
    <w:p w14:paraId="00BCA95D" w14:textId="68EE7077" w:rsidR="00E878E0" w:rsidRPr="00E878E0" w:rsidRDefault="00E878E0" w:rsidP="00E878E0">
      <w:pPr>
        <w:pStyle w:val="EndNoteBibliography"/>
        <w:ind w:left="720" w:hanging="720"/>
      </w:pPr>
      <w:r w:rsidRPr="00E878E0">
        <w:t>8.</w:t>
      </w:r>
      <w:r w:rsidRPr="00E878E0">
        <w:tab/>
        <w:t xml:space="preserve">Australian Bureau of Statistics, </w:t>
      </w:r>
      <w:r w:rsidRPr="00E878E0">
        <w:rPr>
          <w:i/>
        </w:rPr>
        <w:t>Census of population and housing</w:t>
      </w:r>
      <w:r w:rsidRPr="00E878E0">
        <w:t xml:space="preserve">, 2021. Viewed May 2024. Available from: </w:t>
      </w:r>
      <w:hyperlink r:id="rId24" w:history="1">
        <w:r w:rsidRPr="00E878E0">
          <w:rPr>
            <w:rStyle w:val="Hyperlink"/>
          </w:rPr>
          <w:t>https://www.abs.gov.au/census/find-census-data/census-data-topic</w:t>
        </w:r>
      </w:hyperlink>
      <w:r w:rsidRPr="00E878E0">
        <w:t>.</w:t>
      </w:r>
    </w:p>
    <w:p w14:paraId="0C5E63B7" w14:textId="71D7D96A" w:rsidR="0070049F" w:rsidRDefault="00D26C88" w:rsidP="006519CA">
      <w:r>
        <w:fldChar w:fldCharType="end"/>
      </w:r>
    </w:p>
    <w:p w14:paraId="32ABC158" w14:textId="3A0CBB6E" w:rsidR="001A0603" w:rsidRDefault="001A0603" w:rsidP="006519CA"/>
    <w:sectPr w:rsidR="001A0603" w:rsidSect="004E75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E5F7D" w14:textId="77777777" w:rsidR="000C2B83" w:rsidRDefault="000C2B83" w:rsidP="00640E12">
      <w:r>
        <w:separator/>
      </w:r>
    </w:p>
  </w:endnote>
  <w:endnote w:type="continuationSeparator" w:id="0">
    <w:p w14:paraId="086ED203" w14:textId="77777777" w:rsidR="000C2B83" w:rsidRDefault="000C2B83" w:rsidP="0064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Montserrat72">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venir Next">
    <w:altName w:val="Calibri"/>
    <w:charset w:val="00"/>
    <w:family w:val="swiss"/>
    <w:pitch w:val="variable"/>
    <w:sig w:usb0="8000002F" w:usb1="5000204A" w:usb2="00000000" w:usb3="00000000" w:csb0="0000009B" w:csb1="00000000"/>
  </w:font>
  <w:font w:name="AvenirNext LT Pro Bold">
    <w:altName w:val="Calibri"/>
    <w:panose1 w:val="00000000000000000000"/>
    <w:charset w:val="4D"/>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B4392" w14:textId="77777777" w:rsidR="000C2B83" w:rsidRDefault="000C2B83" w:rsidP="008538F8">
      <w:r>
        <w:separator/>
      </w:r>
    </w:p>
  </w:footnote>
  <w:footnote w:type="continuationSeparator" w:id="0">
    <w:p w14:paraId="3E427635" w14:textId="77777777" w:rsidR="000C2B83" w:rsidRDefault="000C2B83" w:rsidP="00640E12">
      <w:r>
        <w:continuationSeparator/>
      </w:r>
    </w:p>
  </w:footnote>
  <w:footnote w:id="1">
    <w:p w14:paraId="32B68F83" w14:textId="77777777" w:rsidR="00E878E0" w:rsidRDefault="00E878E0" w:rsidP="00E878E0">
      <w:pPr>
        <w:pStyle w:val="FootnoteText"/>
      </w:pPr>
      <w:r>
        <w:rPr>
          <w:rStyle w:val="FootnoteReference"/>
        </w:rPr>
        <w:footnoteRef/>
      </w:r>
      <w:r>
        <w:t xml:space="preserve"> Differences in life satisfaction shown in charts are significant with a 95% level of confidence.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0307"/>
    <w:multiLevelType w:val="hybridMultilevel"/>
    <w:tmpl w:val="9E2A3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947910"/>
    <w:multiLevelType w:val="hybridMultilevel"/>
    <w:tmpl w:val="7694A4FA"/>
    <w:lvl w:ilvl="0" w:tplc="AB5C68EE">
      <w:start w:val="1"/>
      <w:numFmt w:val="bullet"/>
      <w:lvlText w:val=""/>
      <w:lvlJc w:val="left"/>
      <w:pPr>
        <w:ind w:left="720" w:hanging="360"/>
      </w:pPr>
      <w:rPr>
        <w:rFonts w:ascii="Symbol" w:hAnsi="Symbol" w:hint="default"/>
        <w:color w:val="FFC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E2795"/>
    <w:multiLevelType w:val="hybridMultilevel"/>
    <w:tmpl w:val="50CE8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3D5872"/>
    <w:multiLevelType w:val="hybridMultilevel"/>
    <w:tmpl w:val="CA7A2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9C2CC2"/>
    <w:multiLevelType w:val="hybridMultilevel"/>
    <w:tmpl w:val="930A813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458345A"/>
    <w:multiLevelType w:val="hybridMultilevel"/>
    <w:tmpl w:val="626E8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B54162"/>
    <w:multiLevelType w:val="hybridMultilevel"/>
    <w:tmpl w:val="E7FC5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C25117"/>
    <w:multiLevelType w:val="hybridMultilevel"/>
    <w:tmpl w:val="19CE520A"/>
    <w:lvl w:ilvl="0" w:tplc="AB5C68EE">
      <w:start w:val="1"/>
      <w:numFmt w:val="bullet"/>
      <w:lvlText w:val=""/>
      <w:lvlJc w:val="left"/>
      <w:pPr>
        <w:ind w:left="720" w:hanging="360"/>
      </w:pPr>
      <w:rPr>
        <w:rFonts w:ascii="Symbol" w:hAnsi="Symbol" w:hint="default"/>
        <w:color w:val="FFC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475A67"/>
    <w:multiLevelType w:val="hybridMultilevel"/>
    <w:tmpl w:val="7C1A5290"/>
    <w:lvl w:ilvl="0" w:tplc="97BA61C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5B07F6A"/>
    <w:multiLevelType w:val="hybridMultilevel"/>
    <w:tmpl w:val="C24EC69E"/>
    <w:lvl w:ilvl="0" w:tplc="0C09000F">
      <w:start w:val="1"/>
      <w:numFmt w:val="decimal"/>
      <w:lvlText w:val="%1."/>
      <w:lvlJc w:val="left"/>
      <w:pPr>
        <w:ind w:left="720" w:hanging="360"/>
      </w:pPr>
      <w:rPr>
        <w:rFonts w:hint="default"/>
        <w:color w:val="FFC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D173EF"/>
    <w:multiLevelType w:val="hybridMultilevel"/>
    <w:tmpl w:val="C1C2D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A314B3"/>
    <w:multiLevelType w:val="hybridMultilevel"/>
    <w:tmpl w:val="A2AC3072"/>
    <w:lvl w:ilvl="0" w:tplc="AB5C68EE">
      <w:start w:val="1"/>
      <w:numFmt w:val="bullet"/>
      <w:lvlText w:val=""/>
      <w:lvlJc w:val="left"/>
      <w:pPr>
        <w:ind w:left="720" w:hanging="360"/>
      </w:pPr>
      <w:rPr>
        <w:rFonts w:ascii="Symbol" w:hAnsi="Symbol" w:hint="default"/>
        <w:color w:val="FFC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DA49C4"/>
    <w:multiLevelType w:val="hybridMultilevel"/>
    <w:tmpl w:val="50808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1C4F71"/>
    <w:multiLevelType w:val="hybridMultilevel"/>
    <w:tmpl w:val="BCA8E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F07F18"/>
    <w:multiLevelType w:val="hybridMultilevel"/>
    <w:tmpl w:val="17CC3898"/>
    <w:lvl w:ilvl="0" w:tplc="AB5C68EE">
      <w:start w:val="1"/>
      <w:numFmt w:val="bullet"/>
      <w:lvlText w:val=""/>
      <w:lvlJc w:val="left"/>
      <w:pPr>
        <w:ind w:left="720" w:hanging="360"/>
      </w:pPr>
      <w:rPr>
        <w:rFonts w:ascii="Symbol" w:hAnsi="Symbol" w:hint="default"/>
        <w:color w:val="FFC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173C66"/>
    <w:multiLevelType w:val="hybridMultilevel"/>
    <w:tmpl w:val="8A624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D131D4"/>
    <w:multiLevelType w:val="hybridMultilevel"/>
    <w:tmpl w:val="98A8E838"/>
    <w:lvl w:ilvl="0" w:tplc="0C090001">
      <w:start w:val="1"/>
      <w:numFmt w:val="bullet"/>
      <w:lvlText w:val=""/>
      <w:lvlJc w:val="left"/>
      <w:pPr>
        <w:ind w:left="720" w:hanging="360"/>
      </w:pPr>
      <w:rPr>
        <w:rFonts w:ascii="Symbol" w:hAnsi="Symbol" w:hint="default"/>
        <w:color w:val="FFC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5341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99169B"/>
    <w:multiLevelType w:val="hybridMultilevel"/>
    <w:tmpl w:val="96C6C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A31196"/>
    <w:multiLevelType w:val="hybridMultilevel"/>
    <w:tmpl w:val="2F0AF184"/>
    <w:lvl w:ilvl="0" w:tplc="AB5C68EE">
      <w:start w:val="1"/>
      <w:numFmt w:val="bullet"/>
      <w:lvlText w:val=""/>
      <w:lvlJc w:val="left"/>
      <w:pPr>
        <w:ind w:left="720" w:hanging="360"/>
      </w:pPr>
      <w:rPr>
        <w:rFonts w:ascii="Symbol" w:hAnsi="Symbol" w:hint="default"/>
        <w:color w:val="FFC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684C69"/>
    <w:multiLevelType w:val="hybridMultilevel"/>
    <w:tmpl w:val="5810E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6836C3"/>
    <w:multiLevelType w:val="multilevel"/>
    <w:tmpl w:val="2FBA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EB0362"/>
    <w:multiLevelType w:val="hybridMultilevel"/>
    <w:tmpl w:val="0BA06B0C"/>
    <w:lvl w:ilvl="0" w:tplc="BB0A02FA">
      <w:start w:val="1"/>
      <w:numFmt w:val="decimal"/>
      <w:lvlText w:val="%1."/>
      <w:lvlJc w:val="left"/>
      <w:pPr>
        <w:ind w:left="720" w:hanging="360"/>
      </w:pPr>
      <w:rPr>
        <w:rFonts w:hint="default"/>
        <w:b/>
        <w:bCs w:val="0"/>
        <w:i w:val="0"/>
        <w:iCs w:val="0"/>
        <w:color w:val="4472C4" w:themeColor="accent1"/>
        <w:w w:val="10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5F13563"/>
    <w:multiLevelType w:val="hybridMultilevel"/>
    <w:tmpl w:val="9D0E8C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D73544"/>
    <w:multiLevelType w:val="hybridMultilevel"/>
    <w:tmpl w:val="6C8A8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3F5B91"/>
    <w:multiLevelType w:val="hybridMultilevel"/>
    <w:tmpl w:val="279CE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04741B"/>
    <w:multiLevelType w:val="hybridMultilevel"/>
    <w:tmpl w:val="01EE5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9770E9"/>
    <w:multiLevelType w:val="hybridMultilevel"/>
    <w:tmpl w:val="BD503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DA4776"/>
    <w:multiLevelType w:val="hybridMultilevel"/>
    <w:tmpl w:val="6882DF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3AB3A45"/>
    <w:multiLevelType w:val="hybridMultilevel"/>
    <w:tmpl w:val="14B0FC28"/>
    <w:lvl w:ilvl="0" w:tplc="4246C29E">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92A03D6"/>
    <w:multiLevelType w:val="hybridMultilevel"/>
    <w:tmpl w:val="105273DC"/>
    <w:lvl w:ilvl="0" w:tplc="AB5C68EE">
      <w:start w:val="1"/>
      <w:numFmt w:val="bullet"/>
      <w:lvlText w:val=""/>
      <w:lvlJc w:val="left"/>
      <w:pPr>
        <w:ind w:left="720" w:hanging="360"/>
      </w:pPr>
      <w:rPr>
        <w:rFonts w:ascii="Symbol" w:hAnsi="Symbol" w:hint="default"/>
        <w:color w:val="FFC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18"/>
  </w:num>
  <w:num w:numId="4">
    <w:abstractNumId w:val="10"/>
  </w:num>
  <w:num w:numId="5">
    <w:abstractNumId w:val="12"/>
  </w:num>
  <w:num w:numId="6">
    <w:abstractNumId w:val="23"/>
  </w:num>
  <w:num w:numId="7">
    <w:abstractNumId w:val="21"/>
  </w:num>
  <w:num w:numId="8">
    <w:abstractNumId w:val="17"/>
  </w:num>
  <w:num w:numId="9">
    <w:abstractNumId w:val="26"/>
  </w:num>
  <w:num w:numId="10">
    <w:abstractNumId w:val="29"/>
  </w:num>
  <w:num w:numId="11">
    <w:abstractNumId w:val="1"/>
  </w:num>
  <w:num w:numId="12">
    <w:abstractNumId w:val="9"/>
  </w:num>
  <w:num w:numId="13">
    <w:abstractNumId w:val="16"/>
  </w:num>
  <w:num w:numId="14">
    <w:abstractNumId w:val="8"/>
  </w:num>
  <w:num w:numId="15">
    <w:abstractNumId w:val="28"/>
  </w:num>
  <w:num w:numId="16">
    <w:abstractNumId w:val="7"/>
  </w:num>
  <w:num w:numId="17">
    <w:abstractNumId w:val="30"/>
  </w:num>
  <w:num w:numId="18">
    <w:abstractNumId w:val="13"/>
  </w:num>
  <w:num w:numId="19">
    <w:abstractNumId w:val="15"/>
  </w:num>
  <w:num w:numId="20">
    <w:abstractNumId w:val="19"/>
  </w:num>
  <w:num w:numId="21">
    <w:abstractNumId w:val="11"/>
  </w:num>
  <w:num w:numId="22">
    <w:abstractNumId w:val="14"/>
  </w:num>
  <w:num w:numId="23">
    <w:abstractNumId w:val="3"/>
  </w:num>
  <w:num w:numId="24">
    <w:abstractNumId w:val="5"/>
  </w:num>
  <w:num w:numId="25">
    <w:abstractNumId w:val="4"/>
  </w:num>
  <w:num w:numId="26">
    <w:abstractNumId w:val="0"/>
  </w:num>
  <w:num w:numId="27">
    <w:abstractNumId w:val="24"/>
  </w:num>
  <w:num w:numId="28">
    <w:abstractNumId w:val="2"/>
  </w:num>
  <w:num w:numId="29">
    <w:abstractNumId w:val="25"/>
  </w:num>
  <w:num w:numId="30">
    <w:abstractNumId w:val="2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a0w5efwezpaee0a2s5tv5b2aef0adxe9z2&quot;&gt;Mary&amp;apos;s library&lt;record-ids&gt;&lt;item&gt;197&lt;/item&gt;&lt;item&gt;198&lt;/item&gt;&lt;item&gt;210&lt;/item&gt;&lt;item&gt;224&lt;/item&gt;&lt;item&gt;238&lt;/item&gt;&lt;item&gt;242&lt;/item&gt;&lt;item&gt;244&lt;/item&gt;&lt;item&gt;272&lt;/item&gt;&lt;/record-ids&gt;&lt;/item&gt;&lt;/Libraries&gt;"/>
  </w:docVars>
  <w:rsids>
    <w:rsidRoot w:val="00AC23C9"/>
    <w:rsid w:val="0001208C"/>
    <w:rsid w:val="00013D1A"/>
    <w:rsid w:val="00013EBE"/>
    <w:rsid w:val="000167DA"/>
    <w:rsid w:val="00022C63"/>
    <w:rsid w:val="00032AC1"/>
    <w:rsid w:val="0003692C"/>
    <w:rsid w:val="00045260"/>
    <w:rsid w:val="00052A6A"/>
    <w:rsid w:val="00057E12"/>
    <w:rsid w:val="00076534"/>
    <w:rsid w:val="0008386A"/>
    <w:rsid w:val="00086581"/>
    <w:rsid w:val="000919D6"/>
    <w:rsid w:val="000974D9"/>
    <w:rsid w:val="000A647A"/>
    <w:rsid w:val="000C2B83"/>
    <w:rsid w:val="000E54E0"/>
    <w:rsid w:val="00101368"/>
    <w:rsid w:val="001039FD"/>
    <w:rsid w:val="00115B31"/>
    <w:rsid w:val="0014134C"/>
    <w:rsid w:val="00146239"/>
    <w:rsid w:val="00147730"/>
    <w:rsid w:val="00156BD4"/>
    <w:rsid w:val="0016628C"/>
    <w:rsid w:val="00183AB6"/>
    <w:rsid w:val="001873BA"/>
    <w:rsid w:val="001A0603"/>
    <w:rsid w:val="001A4BD3"/>
    <w:rsid w:val="001A4C1E"/>
    <w:rsid w:val="001B48EA"/>
    <w:rsid w:val="001C483A"/>
    <w:rsid w:val="001E583A"/>
    <w:rsid w:val="001E5B80"/>
    <w:rsid w:val="00201238"/>
    <w:rsid w:val="00217D85"/>
    <w:rsid w:val="002333CE"/>
    <w:rsid w:val="002422D4"/>
    <w:rsid w:val="00245D7D"/>
    <w:rsid w:val="002558EC"/>
    <w:rsid w:val="00260879"/>
    <w:rsid w:val="002610D3"/>
    <w:rsid w:val="002664D1"/>
    <w:rsid w:val="00275926"/>
    <w:rsid w:val="00280775"/>
    <w:rsid w:val="002812CB"/>
    <w:rsid w:val="002819B5"/>
    <w:rsid w:val="00287B11"/>
    <w:rsid w:val="002A1675"/>
    <w:rsid w:val="002A2B0D"/>
    <w:rsid w:val="002C5486"/>
    <w:rsid w:val="002E4B4B"/>
    <w:rsid w:val="0030277D"/>
    <w:rsid w:val="0031004D"/>
    <w:rsid w:val="00317A16"/>
    <w:rsid w:val="00322C55"/>
    <w:rsid w:val="00323494"/>
    <w:rsid w:val="00327812"/>
    <w:rsid w:val="00330DD0"/>
    <w:rsid w:val="00332850"/>
    <w:rsid w:val="003417A0"/>
    <w:rsid w:val="003423BE"/>
    <w:rsid w:val="003562C2"/>
    <w:rsid w:val="00362980"/>
    <w:rsid w:val="0037462B"/>
    <w:rsid w:val="0039024A"/>
    <w:rsid w:val="003975F2"/>
    <w:rsid w:val="003C17A2"/>
    <w:rsid w:val="003C5DF9"/>
    <w:rsid w:val="003D6DE0"/>
    <w:rsid w:val="003E4A1A"/>
    <w:rsid w:val="003F1371"/>
    <w:rsid w:val="003F2076"/>
    <w:rsid w:val="003F3A06"/>
    <w:rsid w:val="003F6741"/>
    <w:rsid w:val="003F6C14"/>
    <w:rsid w:val="003F713A"/>
    <w:rsid w:val="003F78CA"/>
    <w:rsid w:val="00403E6C"/>
    <w:rsid w:val="004051F9"/>
    <w:rsid w:val="00411459"/>
    <w:rsid w:val="00430C82"/>
    <w:rsid w:val="0044499B"/>
    <w:rsid w:val="00445FE4"/>
    <w:rsid w:val="0045187F"/>
    <w:rsid w:val="00462BDB"/>
    <w:rsid w:val="00473D5A"/>
    <w:rsid w:val="00480216"/>
    <w:rsid w:val="004C637E"/>
    <w:rsid w:val="004D4AC1"/>
    <w:rsid w:val="004E217A"/>
    <w:rsid w:val="004E75F5"/>
    <w:rsid w:val="0051558A"/>
    <w:rsid w:val="00525AD4"/>
    <w:rsid w:val="0054251B"/>
    <w:rsid w:val="005426DB"/>
    <w:rsid w:val="005446B7"/>
    <w:rsid w:val="00550255"/>
    <w:rsid w:val="00551DE2"/>
    <w:rsid w:val="00571138"/>
    <w:rsid w:val="00571896"/>
    <w:rsid w:val="005876FA"/>
    <w:rsid w:val="005B4D40"/>
    <w:rsid w:val="005B6DE5"/>
    <w:rsid w:val="005C16F5"/>
    <w:rsid w:val="005C5342"/>
    <w:rsid w:val="005E2BC8"/>
    <w:rsid w:val="005F3471"/>
    <w:rsid w:val="0060597B"/>
    <w:rsid w:val="006065DA"/>
    <w:rsid w:val="006227B1"/>
    <w:rsid w:val="00625CB3"/>
    <w:rsid w:val="0062773E"/>
    <w:rsid w:val="00640E12"/>
    <w:rsid w:val="00646379"/>
    <w:rsid w:val="006519CA"/>
    <w:rsid w:val="00651B07"/>
    <w:rsid w:val="006532AC"/>
    <w:rsid w:val="006611DF"/>
    <w:rsid w:val="006777D4"/>
    <w:rsid w:val="006824AD"/>
    <w:rsid w:val="00683D94"/>
    <w:rsid w:val="00687AED"/>
    <w:rsid w:val="006962B6"/>
    <w:rsid w:val="006A154A"/>
    <w:rsid w:val="006B59BC"/>
    <w:rsid w:val="006F0A4C"/>
    <w:rsid w:val="0070049F"/>
    <w:rsid w:val="0070375D"/>
    <w:rsid w:val="00705F84"/>
    <w:rsid w:val="007140B9"/>
    <w:rsid w:val="00726CF2"/>
    <w:rsid w:val="00740268"/>
    <w:rsid w:val="00750035"/>
    <w:rsid w:val="007853C0"/>
    <w:rsid w:val="007B0C88"/>
    <w:rsid w:val="007C2FAE"/>
    <w:rsid w:val="007D0B64"/>
    <w:rsid w:val="007E1A1D"/>
    <w:rsid w:val="007E1A30"/>
    <w:rsid w:val="007E206F"/>
    <w:rsid w:val="007E569C"/>
    <w:rsid w:val="007E6899"/>
    <w:rsid w:val="00800144"/>
    <w:rsid w:val="00802D5C"/>
    <w:rsid w:val="008038B6"/>
    <w:rsid w:val="00815C18"/>
    <w:rsid w:val="00821935"/>
    <w:rsid w:val="00822668"/>
    <w:rsid w:val="008228CF"/>
    <w:rsid w:val="00826896"/>
    <w:rsid w:val="00837B0B"/>
    <w:rsid w:val="00847ED9"/>
    <w:rsid w:val="008512B8"/>
    <w:rsid w:val="008538F8"/>
    <w:rsid w:val="0086188B"/>
    <w:rsid w:val="008708A8"/>
    <w:rsid w:val="008709DF"/>
    <w:rsid w:val="008800BE"/>
    <w:rsid w:val="00882065"/>
    <w:rsid w:val="008967AD"/>
    <w:rsid w:val="008A3516"/>
    <w:rsid w:val="008B4A52"/>
    <w:rsid w:val="008C40DA"/>
    <w:rsid w:val="008C6123"/>
    <w:rsid w:val="008D1617"/>
    <w:rsid w:val="008D3738"/>
    <w:rsid w:val="008E12C7"/>
    <w:rsid w:val="008E359C"/>
    <w:rsid w:val="008E3A14"/>
    <w:rsid w:val="008F16CF"/>
    <w:rsid w:val="008F5A85"/>
    <w:rsid w:val="009073E2"/>
    <w:rsid w:val="00930E9A"/>
    <w:rsid w:val="00930FB0"/>
    <w:rsid w:val="00935E04"/>
    <w:rsid w:val="0095795E"/>
    <w:rsid w:val="00957F92"/>
    <w:rsid w:val="0096191D"/>
    <w:rsid w:val="009723C3"/>
    <w:rsid w:val="009727FF"/>
    <w:rsid w:val="00975B19"/>
    <w:rsid w:val="009874AB"/>
    <w:rsid w:val="00994C73"/>
    <w:rsid w:val="00997245"/>
    <w:rsid w:val="009A29A5"/>
    <w:rsid w:val="009A6C31"/>
    <w:rsid w:val="009B4B79"/>
    <w:rsid w:val="009C1001"/>
    <w:rsid w:val="009C3C6D"/>
    <w:rsid w:val="009E1031"/>
    <w:rsid w:val="009F6830"/>
    <w:rsid w:val="00A114B4"/>
    <w:rsid w:val="00A1204E"/>
    <w:rsid w:val="00A17FF0"/>
    <w:rsid w:val="00A263BE"/>
    <w:rsid w:val="00A3189E"/>
    <w:rsid w:val="00A4614C"/>
    <w:rsid w:val="00A746FA"/>
    <w:rsid w:val="00A87FF4"/>
    <w:rsid w:val="00AC236A"/>
    <w:rsid w:val="00AC23C9"/>
    <w:rsid w:val="00AD7917"/>
    <w:rsid w:val="00B04582"/>
    <w:rsid w:val="00B05885"/>
    <w:rsid w:val="00B13292"/>
    <w:rsid w:val="00B24F9B"/>
    <w:rsid w:val="00B55ACE"/>
    <w:rsid w:val="00B66D7B"/>
    <w:rsid w:val="00B73D14"/>
    <w:rsid w:val="00B75CB1"/>
    <w:rsid w:val="00B77905"/>
    <w:rsid w:val="00B8604F"/>
    <w:rsid w:val="00B95572"/>
    <w:rsid w:val="00B96E04"/>
    <w:rsid w:val="00BA28F9"/>
    <w:rsid w:val="00BA4C11"/>
    <w:rsid w:val="00BB5F1F"/>
    <w:rsid w:val="00BB6F62"/>
    <w:rsid w:val="00BB770C"/>
    <w:rsid w:val="00BD72A7"/>
    <w:rsid w:val="00BE46F8"/>
    <w:rsid w:val="00BE6E84"/>
    <w:rsid w:val="00BE7BDE"/>
    <w:rsid w:val="00C07058"/>
    <w:rsid w:val="00C07951"/>
    <w:rsid w:val="00C23A39"/>
    <w:rsid w:val="00C26455"/>
    <w:rsid w:val="00C37099"/>
    <w:rsid w:val="00C4300A"/>
    <w:rsid w:val="00C4433A"/>
    <w:rsid w:val="00C44BC0"/>
    <w:rsid w:val="00C55C17"/>
    <w:rsid w:val="00C72A13"/>
    <w:rsid w:val="00C74A2F"/>
    <w:rsid w:val="00C774D0"/>
    <w:rsid w:val="00C83A87"/>
    <w:rsid w:val="00C97A45"/>
    <w:rsid w:val="00CA7746"/>
    <w:rsid w:val="00CB61FE"/>
    <w:rsid w:val="00CB6899"/>
    <w:rsid w:val="00CB6A6D"/>
    <w:rsid w:val="00CC1311"/>
    <w:rsid w:val="00CC1A0D"/>
    <w:rsid w:val="00CC1AA3"/>
    <w:rsid w:val="00CC7321"/>
    <w:rsid w:val="00CD1D5F"/>
    <w:rsid w:val="00CE6D17"/>
    <w:rsid w:val="00CF1044"/>
    <w:rsid w:val="00CF55CE"/>
    <w:rsid w:val="00D148D3"/>
    <w:rsid w:val="00D153C0"/>
    <w:rsid w:val="00D1592D"/>
    <w:rsid w:val="00D26C88"/>
    <w:rsid w:val="00D2732F"/>
    <w:rsid w:val="00D46B22"/>
    <w:rsid w:val="00D47E79"/>
    <w:rsid w:val="00D6678F"/>
    <w:rsid w:val="00D91669"/>
    <w:rsid w:val="00DA4B26"/>
    <w:rsid w:val="00DE0E6F"/>
    <w:rsid w:val="00DE3C80"/>
    <w:rsid w:val="00DF0FC6"/>
    <w:rsid w:val="00DF2528"/>
    <w:rsid w:val="00DF499F"/>
    <w:rsid w:val="00E051D7"/>
    <w:rsid w:val="00E15310"/>
    <w:rsid w:val="00E30CA0"/>
    <w:rsid w:val="00E5538D"/>
    <w:rsid w:val="00E6121B"/>
    <w:rsid w:val="00E6606A"/>
    <w:rsid w:val="00E85724"/>
    <w:rsid w:val="00E878E0"/>
    <w:rsid w:val="00EB48B2"/>
    <w:rsid w:val="00EB7CFC"/>
    <w:rsid w:val="00ED39BF"/>
    <w:rsid w:val="00ED5291"/>
    <w:rsid w:val="00ED7C98"/>
    <w:rsid w:val="00ED7FB2"/>
    <w:rsid w:val="00EE16A7"/>
    <w:rsid w:val="00EF4FE4"/>
    <w:rsid w:val="00F00C1A"/>
    <w:rsid w:val="00F012F7"/>
    <w:rsid w:val="00F014F8"/>
    <w:rsid w:val="00F1094F"/>
    <w:rsid w:val="00F24C85"/>
    <w:rsid w:val="00F33F55"/>
    <w:rsid w:val="00F410EE"/>
    <w:rsid w:val="00F448F0"/>
    <w:rsid w:val="00F53CA6"/>
    <w:rsid w:val="00F60E1D"/>
    <w:rsid w:val="00F64E66"/>
    <w:rsid w:val="00F67732"/>
    <w:rsid w:val="00F70FDF"/>
    <w:rsid w:val="00F7175A"/>
    <w:rsid w:val="00F7451D"/>
    <w:rsid w:val="00F80389"/>
    <w:rsid w:val="00F82737"/>
    <w:rsid w:val="00F827CE"/>
    <w:rsid w:val="00FA0DA1"/>
    <w:rsid w:val="00FA49EF"/>
    <w:rsid w:val="00FB12F8"/>
    <w:rsid w:val="00FB19FF"/>
    <w:rsid w:val="00FB3466"/>
    <w:rsid w:val="00FC07C7"/>
    <w:rsid w:val="00FD65E0"/>
    <w:rsid w:val="00FD75AE"/>
    <w:rsid w:val="00FF0ADB"/>
    <w:rsid w:val="00FF46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E3B69B"/>
  <w15:chartTrackingRefBased/>
  <w15:docId w15:val="{C5A7DA20-4193-423A-B837-B61FDA0C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5342"/>
    <w:rPr>
      <w:rFonts w:ascii="Avenir Next LT Pro" w:hAnsi="Avenir Next LT Pro"/>
    </w:rPr>
  </w:style>
  <w:style w:type="paragraph" w:styleId="Heading1">
    <w:name w:val="heading 1"/>
    <w:basedOn w:val="Normal"/>
    <w:next w:val="Normal"/>
    <w:link w:val="Heading1Char"/>
    <w:uiPriority w:val="9"/>
    <w:qFormat/>
    <w:rsid w:val="00101368"/>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1368"/>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1A4C1E"/>
    <w:pPr>
      <w:keepNext/>
      <w:keepLines/>
      <w:spacing w:before="40" w:after="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autoRedefine/>
    <w:uiPriority w:val="9"/>
    <w:semiHidden/>
    <w:unhideWhenUsed/>
    <w:qFormat/>
    <w:rsid w:val="00101368"/>
    <w:pPr>
      <w:keepNext/>
      <w:keepLines/>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autoRedefine/>
    <w:uiPriority w:val="9"/>
    <w:semiHidden/>
    <w:unhideWhenUsed/>
    <w:qFormat/>
    <w:rsid w:val="00101368"/>
    <w:pPr>
      <w:keepNext/>
      <w:keepLines/>
      <w:spacing w:before="40" w:after="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F82737"/>
  </w:style>
  <w:style w:type="character" w:customStyle="1" w:styleId="Heading2Char">
    <w:name w:val="Heading 2 Char"/>
    <w:basedOn w:val="DefaultParagraphFont"/>
    <w:link w:val="Heading2"/>
    <w:uiPriority w:val="9"/>
    <w:rsid w:val="00101368"/>
    <w:rPr>
      <w:rFonts w:ascii="Avenir Next LT Pro" w:eastAsiaTheme="majorEastAsia" w:hAnsi="Avenir Next LT Pro" w:cstheme="majorBidi"/>
      <w:color w:val="2F5496" w:themeColor="accent1" w:themeShade="BF"/>
      <w:sz w:val="26"/>
      <w:szCs w:val="26"/>
    </w:rPr>
  </w:style>
  <w:style w:type="character" w:customStyle="1" w:styleId="Heading1Char">
    <w:name w:val="Heading 1 Char"/>
    <w:basedOn w:val="DefaultParagraphFont"/>
    <w:link w:val="Heading1"/>
    <w:uiPriority w:val="9"/>
    <w:rsid w:val="00101368"/>
    <w:rPr>
      <w:rFonts w:ascii="Avenir Next LT Pro" w:eastAsiaTheme="majorEastAsia" w:hAnsi="Avenir Next LT Pro" w:cstheme="majorBidi"/>
      <w:color w:val="2F5496" w:themeColor="accent1" w:themeShade="BF"/>
      <w:sz w:val="32"/>
      <w:szCs w:val="32"/>
    </w:rPr>
  </w:style>
  <w:style w:type="character" w:customStyle="1" w:styleId="Heading3Char">
    <w:name w:val="Heading 3 Char"/>
    <w:basedOn w:val="DefaultParagraphFont"/>
    <w:link w:val="Heading3"/>
    <w:uiPriority w:val="9"/>
    <w:rsid w:val="001A4C1E"/>
    <w:rPr>
      <w:rFonts w:ascii="Avenir Next LT Pro" w:eastAsiaTheme="majorEastAsia" w:hAnsi="Avenir Next LT Pro" w:cstheme="majorBidi"/>
      <w:color w:val="1F3763" w:themeColor="accent1" w:themeShade="7F"/>
      <w:sz w:val="24"/>
      <w:szCs w:val="24"/>
    </w:rPr>
  </w:style>
  <w:style w:type="paragraph" w:styleId="Title">
    <w:name w:val="Title"/>
    <w:basedOn w:val="Normal"/>
    <w:next w:val="Normal"/>
    <w:link w:val="TitleChar"/>
    <w:uiPriority w:val="10"/>
    <w:qFormat/>
    <w:rsid w:val="00101368"/>
    <w:pPr>
      <w:spacing w:after="0" w:line="240" w:lineRule="auto"/>
      <w:contextualSpacing/>
    </w:pPr>
    <w:rPr>
      <w:rFonts w:ascii="Montserrat72" w:eastAsiaTheme="majorEastAsia" w:hAnsi="Montserrat72" w:cstheme="majorBidi"/>
      <w:spacing w:val="-10"/>
      <w:kern w:val="28"/>
      <w:sz w:val="56"/>
      <w:szCs w:val="56"/>
    </w:rPr>
  </w:style>
  <w:style w:type="character" w:customStyle="1" w:styleId="TitleChar">
    <w:name w:val="Title Char"/>
    <w:basedOn w:val="DefaultParagraphFont"/>
    <w:link w:val="Title"/>
    <w:uiPriority w:val="10"/>
    <w:rsid w:val="00101368"/>
    <w:rPr>
      <w:rFonts w:ascii="Montserrat72" w:eastAsiaTheme="majorEastAsia" w:hAnsi="Montserrat72" w:cstheme="majorBidi"/>
      <w:spacing w:val="-10"/>
      <w:kern w:val="28"/>
      <w:sz w:val="56"/>
      <w:szCs w:val="56"/>
    </w:rPr>
  </w:style>
  <w:style w:type="character" w:customStyle="1" w:styleId="Heading4Char">
    <w:name w:val="Heading 4 Char"/>
    <w:basedOn w:val="DefaultParagraphFont"/>
    <w:link w:val="Heading4"/>
    <w:uiPriority w:val="9"/>
    <w:semiHidden/>
    <w:rsid w:val="00101368"/>
    <w:rPr>
      <w:rFonts w:ascii="Avenir Next LT Pro" w:eastAsiaTheme="majorEastAsia" w:hAnsi="Avenir Next LT Pro" w:cstheme="majorBidi"/>
      <w:i/>
      <w:iCs/>
      <w:color w:val="2F5496" w:themeColor="accent1" w:themeShade="BF"/>
    </w:rPr>
  </w:style>
  <w:style w:type="character" w:customStyle="1" w:styleId="Heading5Char">
    <w:name w:val="Heading 5 Char"/>
    <w:basedOn w:val="DefaultParagraphFont"/>
    <w:link w:val="Heading5"/>
    <w:uiPriority w:val="9"/>
    <w:semiHidden/>
    <w:rsid w:val="00101368"/>
    <w:rPr>
      <w:rFonts w:ascii="Avenir Next LT Pro" w:eastAsiaTheme="majorEastAsia" w:hAnsi="Avenir Next LT Pro" w:cstheme="majorBidi"/>
      <w:color w:val="2F5496" w:themeColor="accent1" w:themeShade="BF"/>
    </w:rPr>
  </w:style>
  <w:style w:type="paragraph" w:styleId="Subtitle">
    <w:name w:val="Subtitle"/>
    <w:basedOn w:val="Normal"/>
    <w:next w:val="Normal"/>
    <w:link w:val="SubtitleChar"/>
    <w:autoRedefine/>
    <w:uiPriority w:val="11"/>
    <w:qFormat/>
    <w:rsid w:val="0010136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01368"/>
    <w:rPr>
      <w:rFonts w:ascii="Avenir Next LT Pro" w:eastAsiaTheme="minorEastAsia" w:hAnsi="Avenir Next LT Pro"/>
      <w:color w:val="5A5A5A" w:themeColor="text1" w:themeTint="A5"/>
      <w:spacing w:val="15"/>
    </w:rPr>
  </w:style>
  <w:style w:type="character" w:styleId="SubtleEmphasis">
    <w:name w:val="Subtle Emphasis"/>
    <w:basedOn w:val="DefaultParagraphFont"/>
    <w:uiPriority w:val="19"/>
    <w:qFormat/>
    <w:rsid w:val="00101368"/>
    <w:rPr>
      <w:rFonts w:ascii="Avenir Next LT Pro" w:hAnsi="Avenir Next LT Pro"/>
      <w:i/>
      <w:iCs/>
      <w:color w:val="404040" w:themeColor="text1" w:themeTint="BF"/>
    </w:rPr>
  </w:style>
  <w:style w:type="paragraph" w:styleId="ListParagraph">
    <w:name w:val="List Paragraph"/>
    <w:basedOn w:val="Normal"/>
    <w:link w:val="ListParagraphChar"/>
    <w:uiPriority w:val="34"/>
    <w:qFormat/>
    <w:rsid w:val="001A0603"/>
    <w:pPr>
      <w:ind w:left="720"/>
      <w:contextualSpacing/>
    </w:pPr>
  </w:style>
  <w:style w:type="paragraph" w:styleId="NormalWeb">
    <w:name w:val="Normal (Web)"/>
    <w:basedOn w:val="Normal"/>
    <w:uiPriority w:val="99"/>
    <w:semiHidden/>
    <w:unhideWhenUsed/>
    <w:rsid w:val="008512B8"/>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FD6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2422D4"/>
    <w:rPr>
      <w:b/>
      <w:bCs/>
      <w:smallCaps/>
      <w:color w:val="4472C4" w:themeColor="accent1"/>
      <w:spacing w:val="5"/>
    </w:rPr>
  </w:style>
  <w:style w:type="character" w:styleId="CommentReference">
    <w:name w:val="annotation reference"/>
    <w:basedOn w:val="DefaultParagraphFont"/>
    <w:uiPriority w:val="99"/>
    <w:semiHidden/>
    <w:unhideWhenUsed/>
    <w:rsid w:val="00571896"/>
    <w:rPr>
      <w:sz w:val="16"/>
      <w:szCs w:val="16"/>
    </w:rPr>
  </w:style>
  <w:style w:type="paragraph" w:styleId="CommentText">
    <w:name w:val="annotation text"/>
    <w:basedOn w:val="Normal"/>
    <w:link w:val="CommentTextChar"/>
    <w:uiPriority w:val="99"/>
    <w:unhideWhenUsed/>
    <w:rsid w:val="00571896"/>
    <w:pPr>
      <w:spacing w:line="240" w:lineRule="auto"/>
    </w:pPr>
    <w:rPr>
      <w:sz w:val="20"/>
      <w:szCs w:val="20"/>
    </w:rPr>
  </w:style>
  <w:style w:type="character" w:customStyle="1" w:styleId="CommentTextChar">
    <w:name w:val="Comment Text Char"/>
    <w:basedOn w:val="DefaultParagraphFont"/>
    <w:link w:val="CommentText"/>
    <w:uiPriority w:val="99"/>
    <w:rsid w:val="00571896"/>
    <w:rPr>
      <w:sz w:val="20"/>
      <w:szCs w:val="20"/>
    </w:rPr>
  </w:style>
  <w:style w:type="paragraph" w:styleId="CommentSubject">
    <w:name w:val="annotation subject"/>
    <w:basedOn w:val="CommentText"/>
    <w:next w:val="CommentText"/>
    <w:link w:val="CommentSubjectChar"/>
    <w:uiPriority w:val="99"/>
    <w:semiHidden/>
    <w:unhideWhenUsed/>
    <w:rsid w:val="00571896"/>
    <w:rPr>
      <w:b/>
      <w:bCs/>
    </w:rPr>
  </w:style>
  <w:style w:type="character" w:customStyle="1" w:styleId="CommentSubjectChar">
    <w:name w:val="Comment Subject Char"/>
    <w:basedOn w:val="CommentTextChar"/>
    <w:link w:val="CommentSubject"/>
    <w:uiPriority w:val="99"/>
    <w:semiHidden/>
    <w:rsid w:val="00571896"/>
    <w:rPr>
      <w:b/>
      <w:bCs/>
      <w:sz w:val="20"/>
      <w:szCs w:val="20"/>
    </w:rPr>
  </w:style>
  <w:style w:type="paragraph" w:styleId="BalloonText">
    <w:name w:val="Balloon Text"/>
    <w:basedOn w:val="Normal"/>
    <w:link w:val="BalloonTextChar"/>
    <w:uiPriority w:val="99"/>
    <w:semiHidden/>
    <w:unhideWhenUsed/>
    <w:rsid w:val="005718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896"/>
    <w:rPr>
      <w:rFonts w:ascii="Segoe UI" w:hAnsi="Segoe UI" w:cs="Segoe UI"/>
      <w:sz w:val="18"/>
      <w:szCs w:val="18"/>
    </w:rPr>
  </w:style>
  <w:style w:type="paragraph" w:styleId="IntenseQuote">
    <w:name w:val="Intense Quote"/>
    <w:basedOn w:val="Normal"/>
    <w:next w:val="Normal"/>
    <w:link w:val="IntenseQuoteChar"/>
    <w:uiPriority w:val="30"/>
    <w:qFormat/>
    <w:rsid w:val="001B48E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B48EA"/>
    <w:rPr>
      <w:i/>
      <w:iCs/>
      <w:color w:val="4472C4" w:themeColor="accent1"/>
    </w:rPr>
  </w:style>
  <w:style w:type="character" w:styleId="Hyperlink">
    <w:name w:val="Hyperlink"/>
    <w:basedOn w:val="DefaultParagraphFont"/>
    <w:uiPriority w:val="99"/>
    <w:unhideWhenUsed/>
    <w:rsid w:val="001B48EA"/>
    <w:rPr>
      <w:color w:val="0000FF"/>
      <w:u w:val="single"/>
    </w:rPr>
  </w:style>
  <w:style w:type="paragraph" w:styleId="EndnoteText">
    <w:name w:val="endnote text"/>
    <w:basedOn w:val="Normal"/>
    <w:link w:val="EndnoteTextChar"/>
    <w:uiPriority w:val="99"/>
    <w:semiHidden/>
    <w:unhideWhenUsed/>
    <w:rsid w:val="004051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51F9"/>
    <w:rPr>
      <w:sz w:val="20"/>
      <w:szCs w:val="20"/>
    </w:rPr>
  </w:style>
  <w:style w:type="character" w:styleId="EndnoteReference">
    <w:name w:val="endnote reference"/>
    <w:basedOn w:val="DefaultParagraphFont"/>
    <w:uiPriority w:val="99"/>
    <w:semiHidden/>
    <w:unhideWhenUsed/>
    <w:rsid w:val="004051F9"/>
    <w:rPr>
      <w:vertAlign w:val="superscript"/>
    </w:rPr>
  </w:style>
  <w:style w:type="paragraph" w:styleId="FootnoteText">
    <w:name w:val="footnote text"/>
    <w:basedOn w:val="Normal"/>
    <w:link w:val="FootnoteTextChar"/>
    <w:uiPriority w:val="99"/>
    <w:unhideWhenUsed/>
    <w:rsid w:val="00683D94"/>
    <w:pPr>
      <w:spacing w:after="0" w:line="240" w:lineRule="auto"/>
    </w:pPr>
    <w:rPr>
      <w:sz w:val="20"/>
      <w:szCs w:val="20"/>
    </w:rPr>
  </w:style>
  <w:style w:type="character" w:customStyle="1" w:styleId="FootnoteTextChar">
    <w:name w:val="Footnote Text Char"/>
    <w:basedOn w:val="DefaultParagraphFont"/>
    <w:link w:val="FootnoteText"/>
    <w:uiPriority w:val="99"/>
    <w:rsid w:val="00683D94"/>
    <w:rPr>
      <w:sz w:val="20"/>
      <w:szCs w:val="20"/>
    </w:rPr>
  </w:style>
  <w:style w:type="character" w:styleId="FootnoteReference">
    <w:name w:val="footnote reference"/>
    <w:basedOn w:val="DefaultParagraphFont"/>
    <w:uiPriority w:val="99"/>
    <w:semiHidden/>
    <w:unhideWhenUsed/>
    <w:rsid w:val="00683D94"/>
    <w:rPr>
      <w:vertAlign w:val="superscript"/>
    </w:rPr>
  </w:style>
  <w:style w:type="character" w:styleId="UnresolvedMention">
    <w:name w:val="Unresolved Mention"/>
    <w:basedOn w:val="DefaultParagraphFont"/>
    <w:uiPriority w:val="99"/>
    <w:semiHidden/>
    <w:unhideWhenUsed/>
    <w:rsid w:val="00B04582"/>
    <w:rPr>
      <w:color w:val="605E5C"/>
      <w:shd w:val="clear" w:color="auto" w:fill="E1DFDD"/>
    </w:rPr>
  </w:style>
  <w:style w:type="paragraph" w:customStyle="1" w:styleId="EndNoteBibliographyTitle">
    <w:name w:val="EndNote Bibliography Title"/>
    <w:basedOn w:val="Normal"/>
    <w:link w:val="EndNoteBibliographyTitleChar"/>
    <w:rsid w:val="00D26C88"/>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D26C88"/>
  </w:style>
  <w:style w:type="character" w:customStyle="1" w:styleId="EndNoteBibliographyTitleChar">
    <w:name w:val="EndNote Bibliography Title Char"/>
    <w:basedOn w:val="ListParagraphChar"/>
    <w:link w:val="EndNoteBibliographyTitle"/>
    <w:rsid w:val="00D26C88"/>
    <w:rPr>
      <w:rFonts w:ascii="Calibri" w:hAnsi="Calibri" w:cs="Calibri"/>
      <w:noProof/>
      <w:lang w:val="en-US"/>
    </w:rPr>
  </w:style>
  <w:style w:type="paragraph" w:customStyle="1" w:styleId="EndNoteBibliography">
    <w:name w:val="EndNote Bibliography"/>
    <w:basedOn w:val="Normal"/>
    <w:link w:val="EndNoteBibliographyChar"/>
    <w:rsid w:val="00D26C88"/>
    <w:p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D26C88"/>
    <w:rPr>
      <w:rFonts w:ascii="Calibri" w:hAnsi="Calibri" w:cs="Calibri"/>
      <w:noProof/>
      <w:lang w:val="en-US"/>
    </w:rPr>
  </w:style>
  <w:style w:type="paragraph" w:styleId="Quote">
    <w:name w:val="Quote"/>
    <w:basedOn w:val="Normal"/>
    <w:next w:val="Normal"/>
    <w:link w:val="QuoteChar"/>
    <w:uiPriority w:val="29"/>
    <w:qFormat/>
    <w:rsid w:val="00CF55C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F55CE"/>
    <w:rPr>
      <w:i/>
      <w:iCs/>
      <w:color w:val="404040" w:themeColor="text1" w:themeTint="BF"/>
    </w:rPr>
  </w:style>
  <w:style w:type="character" w:styleId="IntenseEmphasis">
    <w:name w:val="Intense Emphasis"/>
    <w:basedOn w:val="DefaultParagraphFont"/>
    <w:uiPriority w:val="21"/>
    <w:qFormat/>
    <w:rsid w:val="009E1031"/>
    <w:rPr>
      <w:i/>
      <w:iCs/>
      <w:color w:val="4472C4" w:themeColor="accent1"/>
    </w:rPr>
  </w:style>
  <w:style w:type="paragraph" w:styleId="BodyText">
    <w:name w:val="Body Text"/>
    <w:basedOn w:val="Normal"/>
    <w:link w:val="BodyTextChar"/>
    <w:uiPriority w:val="1"/>
    <w:qFormat/>
    <w:rsid w:val="006A154A"/>
    <w:pPr>
      <w:widowControl w:val="0"/>
      <w:autoSpaceDE w:val="0"/>
      <w:autoSpaceDN w:val="0"/>
      <w:spacing w:before="120" w:after="120" w:line="240" w:lineRule="auto"/>
    </w:pPr>
    <w:rPr>
      <w:rFonts w:ascii="Avenir Next" w:eastAsia="AvenirNext LT Pro Bold" w:hAnsi="Avenir Next" w:cs="AvenirNext LT Pro Bold"/>
      <w:color w:val="575F61"/>
      <w:sz w:val="24"/>
      <w:szCs w:val="24"/>
      <w:lang w:val="en-GB"/>
    </w:rPr>
  </w:style>
  <w:style w:type="character" w:customStyle="1" w:styleId="BodyTextChar">
    <w:name w:val="Body Text Char"/>
    <w:basedOn w:val="DefaultParagraphFont"/>
    <w:link w:val="BodyText"/>
    <w:uiPriority w:val="1"/>
    <w:rsid w:val="006A154A"/>
    <w:rPr>
      <w:rFonts w:ascii="Avenir Next" w:eastAsia="AvenirNext LT Pro Bold" w:hAnsi="Avenir Next" w:cs="AvenirNext LT Pro Bold"/>
      <w:color w:val="575F61"/>
      <w:sz w:val="24"/>
      <w:szCs w:val="24"/>
      <w:lang w:val="en-GB"/>
    </w:rPr>
  </w:style>
  <w:style w:type="table" w:styleId="ListTable3-Accent1">
    <w:name w:val="List Table 3 Accent 1"/>
    <w:basedOn w:val="TableNormal"/>
    <w:uiPriority w:val="48"/>
    <w:rsid w:val="0082266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Emphasis">
    <w:name w:val="Emphasis"/>
    <w:basedOn w:val="DefaultParagraphFont"/>
    <w:uiPriority w:val="20"/>
    <w:qFormat/>
    <w:rsid w:val="00726CF2"/>
    <w:rPr>
      <w:i/>
      <w:iCs/>
    </w:rPr>
  </w:style>
  <w:style w:type="paragraph" w:styleId="Revision">
    <w:name w:val="Revision"/>
    <w:hidden/>
    <w:uiPriority w:val="99"/>
    <w:semiHidden/>
    <w:rsid w:val="00C07058"/>
    <w:pPr>
      <w:spacing w:after="0" w:line="240" w:lineRule="auto"/>
    </w:pPr>
  </w:style>
  <w:style w:type="paragraph" w:styleId="Header">
    <w:name w:val="header"/>
    <w:basedOn w:val="Normal"/>
    <w:link w:val="HeaderChar"/>
    <w:uiPriority w:val="99"/>
    <w:unhideWhenUsed/>
    <w:rsid w:val="00853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8F8"/>
    <w:rPr>
      <w:rFonts w:ascii="Avenir Next LT Pro" w:hAnsi="Avenir Next LT Pro"/>
    </w:rPr>
  </w:style>
  <w:style w:type="paragraph" w:styleId="Footer">
    <w:name w:val="footer"/>
    <w:basedOn w:val="Normal"/>
    <w:link w:val="FooterChar"/>
    <w:uiPriority w:val="99"/>
    <w:unhideWhenUsed/>
    <w:rsid w:val="00853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8F8"/>
    <w:rPr>
      <w:rFonts w:ascii="Avenir Next LT Pro" w:hAnsi="Avenir Next LT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871723">
      <w:bodyDiv w:val="1"/>
      <w:marLeft w:val="0"/>
      <w:marRight w:val="0"/>
      <w:marTop w:val="0"/>
      <w:marBottom w:val="0"/>
      <w:divBdr>
        <w:top w:val="none" w:sz="0" w:space="0" w:color="auto"/>
        <w:left w:val="none" w:sz="0" w:space="0" w:color="auto"/>
        <w:bottom w:val="none" w:sz="0" w:space="0" w:color="auto"/>
        <w:right w:val="none" w:sz="0" w:space="0" w:color="auto"/>
      </w:divBdr>
      <w:divsChild>
        <w:div w:id="283076160">
          <w:marLeft w:val="0"/>
          <w:marRight w:val="0"/>
          <w:marTop w:val="0"/>
          <w:marBottom w:val="0"/>
          <w:divBdr>
            <w:top w:val="none" w:sz="0" w:space="0" w:color="auto"/>
            <w:left w:val="none" w:sz="0" w:space="0" w:color="auto"/>
            <w:bottom w:val="none" w:sz="0" w:space="0" w:color="auto"/>
            <w:right w:val="none" w:sz="0" w:space="0" w:color="auto"/>
          </w:divBdr>
        </w:div>
        <w:div w:id="1428503862">
          <w:marLeft w:val="0"/>
          <w:marRight w:val="0"/>
          <w:marTop w:val="0"/>
          <w:marBottom w:val="0"/>
          <w:divBdr>
            <w:top w:val="none" w:sz="0" w:space="0" w:color="auto"/>
            <w:left w:val="none" w:sz="0" w:space="0" w:color="auto"/>
            <w:bottom w:val="none" w:sz="0" w:space="0" w:color="auto"/>
            <w:right w:val="none" w:sz="0" w:space="0" w:color="auto"/>
          </w:divBdr>
        </w:div>
        <w:div w:id="1640843294">
          <w:marLeft w:val="0"/>
          <w:marRight w:val="0"/>
          <w:marTop w:val="0"/>
          <w:marBottom w:val="0"/>
          <w:divBdr>
            <w:top w:val="none" w:sz="0" w:space="0" w:color="auto"/>
            <w:left w:val="none" w:sz="0" w:space="0" w:color="auto"/>
            <w:bottom w:val="none" w:sz="0" w:space="0" w:color="auto"/>
            <w:right w:val="none" w:sz="0" w:space="0" w:color="auto"/>
          </w:divBdr>
        </w:div>
        <w:div w:id="1057512513">
          <w:marLeft w:val="0"/>
          <w:marRight w:val="0"/>
          <w:marTop w:val="0"/>
          <w:marBottom w:val="0"/>
          <w:divBdr>
            <w:top w:val="none" w:sz="0" w:space="0" w:color="auto"/>
            <w:left w:val="none" w:sz="0" w:space="0" w:color="auto"/>
            <w:bottom w:val="none" w:sz="0" w:space="0" w:color="auto"/>
            <w:right w:val="none" w:sz="0" w:space="0" w:color="auto"/>
          </w:divBdr>
        </w:div>
      </w:divsChild>
    </w:div>
    <w:div w:id="56514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glicare-tas.org.au/research/the-right-to-belong/" TargetMode="External"/><Relationship Id="rId13" Type="http://schemas.openxmlformats.org/officeDocument/2006/relationships/chart" Target="charts/chart4.xm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www.abs.gov.au/census/find-census-data/census-data-topic"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abs.gov.au/statistics/people/population/national-state-and-territory-population/latest-release" TargetMode="External"/><Relationship Id="rId10" Type="http://schemas.openxmlformats.org/officeDocument/2006/relationships/image" Target="media/image1.png"/><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hyperlink" Target="https://www.aihw.gov.au/reports/australias-welfare/home-ownership-and-housing-tenur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yb\Documents\Policy%20brief%20population%20calc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Recurring%20projects\Anglicare%20Australia%20Rental%20Affordability%20Survey\RAS%202024\Background\Population%20projection%20spread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venir Next LT Pro" panose="020B0504020202020204" pitchFamily="34" charset="0"/>
                <a:ea typeface="+mn-ea"/>
                <a:cs typeface="+mn-cs"/>
              </a:defRPr>
            </a:pPr>
            <a:r>
              <a:rPr lang="en-AU">
                <a:latin typeface="Avenir Next LT Pro" panose="020B0504020202020204" pitchFamily="34" charset="0"/>
              </a:rPr>
              <a:t>Change</a:t>
            </a:r>
            <a:r>
              <a:rPr lang="en-AU" baseline="0">
                <a:latin typeface="Avenir Next LT Pro" panose="020B0504020202020204" pitchFamily="34" charset="0"/>
              </a:rPr>
              <a:t> in Tasmania's p</a:t>
            </a:r>
            <a:r>
              <a:rPr lang="en-AU">
                <a:latin typeface="Avenir Next LT Pro" panose="020B0504020202020204" pitchFamily="34" charset="0"/>
              </a:rPr>
              <a:t>opulation </a:t>
            </a:r>
            <a:r>
              <a:rPr lang="en-AU" baseline="0">
                <a:latin typeface="Avenir Next LT Pro" panose="020B0504020202020204" pitchFamily="34" charset="0"/>
              </a:rPr>
              <a:t> compared to 2024 by age group</a:t>
            </a:r>
            <a:endParaRPr lang="en-AU">
              <a:latin typeface="Avenir Next LT Pro" panose="020B05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venir Next LT Pro" panose="020B0504020202020204" pitchFamily="34" charset="0"/>
              <a:ea typeface="+mn-ea"/>
              <a:cs typeface="+mn-cs"/>
            </a:defRPr>
          </a:pPr>
          <a:endParaRPr lang="en-US"/>
        </a:p>
      </c:txPr>
    </c:title>
    <c:autoTitleDeleted val="0"/>
    <c:plotArea>
      <c:layout/>
      <c:barChart>
        <c:barDir val="col"/>
        <c:grouping val="stacked"/>
        <c:varyColors val="0"/>
        <c:ser>
          <c:idx val="0"/>
          <c:order val="0"/>
          <c:tx>
            <c:v>0-54 years</c:v>
          </c:tx>
          <c:spPr>
            <a:solidFill>
              <a:schemeClr val="accent1"/>
            </a:solidFill>
            <a:ln>
              <a:noFill/>
            </a:ln>
            <a:effectLst/>
          </c:spPr>
          <c:invertIfNegative val="0"/>
          <c:cat>
            <c:numRef>
              <c:f>Age5Sex!$AA$4:$BD$4</c:f>
              <c:numCache>
                <c:formatCode>###0</c:formatCode>
                <c:ptCount val="30"/>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numCache>
            </c:numRef>
          </c:cat>
          <c:val>
            <c:numRef>
              <c:f>Age5Sex!$AA$1634:$BD$1634</c:f>
              <c:numCache>
                <c:formatCode>#,##0</c:formatCode>
                <c:ptCount val="30"/>
                <c:pt idx="0">
                  <c:v>-0.43590368155855685</c:v>
                </c:pt>
                <c:pt idx="1">
                  <c:v>-1142.9992001688806</c:v>
                </c:pt>
                <c:pt idx="2">
                  <c:v>-2434.2632791006472</c:v>
                </c:pt>
                <c:pt idx="3">
                  <c:v>-2617.2729468642501</c:v>
                </c:pt>
                <c:pt idx="4">
                  <c:v>-2182.7578067741124</c:v>
                </c:pt>
                <c:pt idx="5">
                  <c:v>-1489.6361037265742</c:v>
                </c:pt>
                <c:pt idx="6">
                  <c:v>-669.16014163120417</c:v>
                </c:pt>
                <c:pt idx="7">
                  <c:v>188.87425507733133</c:v>
                </c:pt>
                <c:pt idx="8">
                  <c:v>1253.3648997866549</c:v>
                </c:pt>
                <c:pt idx="9">
                  <c:v>2142.3560501820757</c:v>
                </c:pt>
                <c:pt idx="10">
                  <c:v>2819.7503528685775</c:v>
                </c:pt>
                <c:pt idx="11">
                  <c:v>3525.2691931246081</c:v>
                </c:pt>
                <c:pt idx="12">
                  <c:v>3851.3815533184097</c:v>
                </c:pt>
                <c:pt idx="13">
                  <c:v>3888.0997692777892</c:v>
                </c:pt>
                <c:pt idx="14">
                  <c:v>3882.6589929803158</c:v>
                </c:pt>
                <c:pt idx="15">
                  <c:v>3654.2217125955503</c:v>
                </c:pt>
                <c:pt idx="16">
                  <c:v>3254.7376851140871</c:v>
                </c:pt>
                <c:pt idx="17">
                  <c:v>2800.2028285440174</c:v>
                </c:pt>
                <c:pt idx="18">
                  <c:v>2316.043187201838</c:v>
                </c:pt>
                <c:pt idx="19">
                  <c:v>1730.1299975086586</c:v>
                </c:pt>
                <c:pt idx="20">
                  <c:v>980.61628014326561</c:v>
                </c:pt>
                <c:pt idx="21">
                  <c:v>51.040687183325645</c:v>
                </c:pt>
                <c:pt idx="22">
                  <c:v>-969.50674944033381</c:v>
                </c:pt>
                <c:pt idx="23">
                  <c:v>-1937.7946167815826</c:v>
                </c:pt>
                <c:pt idx="24">
                  <c:v>-2882.9489597469801</c:v>
                </c:pt>
                <c:pt idx="25">
                  <c:v>-3790.3514493855182</c:v>
                </c:pt>
                <c:pt idx="26">
                  <c:v>-4568.1342680151574</c:v>
                </c:pt>
                <c:pt idx="27">
                  <c:v>-5030.4045035128947</c:v>
                </c:pt>
                <c:pt idx="28">
                  <c:v>-5300.447847389034</c:v>
                </c:pt>
                <c:pt idx="29">
                  <c:v>-5408.9676220290712</c:v>
                </c:pt>
              </c:numCache>
            </c:numRef>
          </c:val>
          <c:extLst>
            <c:ext xmlns:c16="http://schemas.microsoft.com/office/drawing/2014/chart" uri="{C3380CC4-5D6E-409C-BE32-E72D297353CC}">
              <c16:uniqueId val="{00000000-6408-4D89-AF6A-FAE20544A10B}"/>
            </c:ext>
          </c:extLst>
        </c:ser>
        <c:ser>
          <c:idx val="1"/>
          <c:order val="1"/>
          <c:tx>
            <c:v>55+ years</c:v>
          </c:tx>
          <c:spPr>
            <a:solidFill>
              <a:schemeClr val="accent2"/>
            </a:solidFill>
            <a:ln>
              <a:noFill/>
            </a:ln>
            <a:effectLst/>
          </c:spPr>
          <c:invertIfNegative val="0"/>
          <c:cat>
            <c:numRef>
              <c:f>Age5Sex!$AA$4:$BD$4</c:f>
              <c:numCache>
                <c:formatCode>###0</c:formatCode>
                <c:ptCount val="30"/>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numCache>
            </c:numRef>
          </c:cat>
          <c:val>
            <c:numRef>
              <c:f>Age5Sex!$AA$1635:$BD$1635</c:f>
              <c:numCache>
                <c:formatCode>#,##0</c:formatCode>
                <c:ptCount val="30"/>
                <c:pt idx="0">
                  <c:v>1.7149483115645126E-2</c:v>
                </c:pt>
                <c:pt idx="1">
                  <c:v>3750.5551055110409</c:v>
                </c:pt>
                <c:pt idx="2">
                  <c:v>7788.5878840047808</c:v>
                </c:pt>
                <c:pt idx="3">
                  <c:v>11449.730755712371</c:v>
                </c:pt>
                <c:pt idx="4">
                  <c:v>14456.92881399882</c:v>
                </c:pt>
                <c:pt idx="5">
                  <c:v>17135.451888891635</c:v>
                </c:pt>
                <c:pt idx="6">
                  <c:v>19582.472047502059</c:v>
                </c:pt>
                <c:pt idx="7">
                  <c:v>21880.539057874412</c:v>
                </c:pt>
                <c:pt idx="8">
                  <c:v>23849.223414484266</c:v>
                </c:pt>
                <c:pt idx="9">
                  <c:v>25859.853655947139</c:v>
                </c:pt>
                <c:pt idx="10">
                  <c:v>27954.993899154564</c:v>
                </c:pt>
                <c:pt idx="11">
                  <c:v>29900.411360834318</c:v>
                </c:pt>
                <c:pt idx="12">
                  <c:v>32110.059981831146</c:v>
                </c:pt>
                <c:pt idx="13">
                  <c:v>34498.308318834286</c:v>
                </c:pt>
                <c:pt idx="14">
                  <c:v>36824.350494310464</c:v>
                </c:pt>
                <c:pt idx="15">
                  <c:v>39273.550087079551</c:v>
                </c:pt>
                <c:pt idx="16">
                  <c:v>41797.60760412016</c:v>
                </c:pt>
                <c:pt idx="17">
                  <c:v>44283.723302346829</c:v>
                </c:pt>
                <c:pt idx="18">
                  <c:v>46710.782834083366</c:v>
                </c:pt>
                <c:pt idx="19">
                  <c:v>49155.142592060729</c:v>
                </c:pt>
                <c:pt idx="20">
                  <c:v>51681.030708152131</c:v>
                </c:pt>
                <c:pt idx="21">
                  <c:v>54308.407496768574</c:v>
                </c:pt>
                <c:pt idx="22">
                  <c:v>56950.720395083743</c:v>
                </c:pt>
                <c:pt idx="23">
                  <c:v>59466.469955599867</c:v>
                </c:pt>
                <c:pt idx="24">
                  <c:v>61890.976207093103</c:v>
                </c:pt>
                <c:pt idx="25">
                  <c:v>64215.428742687567</c:v>
                </c:pt>
                <c:pt idx="26">
                  <c:v>66351.467400114867</c:v>
                </c:pt>
                <c:pt idx="27">
                  <c:v>68120.249691548641</c:v>
                </c:pt>
                <c:pt idx="28">
                  <c:v>69650.997485873057</c:v>
                </c:pt>
                <c:pt idx="29">
                  <c:v>70981.163555138977</c:v>
                </c:pt>
              </c:numCache>
            </c:numRef>
          </c:val>
          <c:extLst>
            <c:ext xmlns:c16="http://schemas.microsoft.com/office/drawing/2014/chart" uri="{C3380CC4-5D6E-409C-BE32-E72D297353CC}">
              <c16:uniqueId val="{00000001-6408-4D89-AF6A-FAE20544A10B}"/>
            </c:ext>
          </c:extLst>
        </c:ser>
        <c:dLbls>
          <c:showLegendKey val="0"/>
          <c:showVal val="0"/>
          <c:showCatName val="0"/>
          <c:showSerName val="0"/>
          <c:showPercent val="0"/>
          <c:showBubbleSize val="0"/>
        </c:dLbls>
        <c:gapWidth val="219"/>
        <c:overlap val="100"/>
        <c:axId val="1500349472"/>
        <c:axId val="1599108000"/>
      </c:barChart>
      <c:catAx>
        <c:axId val="1500349472"/>
        <c:scaling>
          <c:orientation val="minMax"/>
        </c:scaling>
        <c:delete val="0"/>
        <c:axPos val="b"/>
        <c:numFmt formatCode="###0" sourceLinked="1"/>
        <c:majorTickMark val="none"/>
        <c:minorTickMark val="none"/>
        <c:tickLblPos val="low"/>
        <c:spPr>
          <a:noFill/>
          <a:ln w="9525" cap="flat" cmpd="sng" algn="ctr">
            <a:solidFill>
              <a:schemeClr val="tx1">
                <a:lumMod val="15000"/>
                <a:lumOff val="85000"/>
              </a:schemeClr>
            </a:solidFill>
            <a:round/>
          </a:ln>
          <a:effectLst/>
        </c:spPr>
        <c:txPr>
          <a:bodyPr rot="-3000000" spcFirstLastPara="1" vertOverflow="ellipsis" wrap="square" anchor="ctr" anchorCtr="1"/>
          <a:lstStyle/>
          <a:p>
            <a:pPr>
              <a:defRPr sz="105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599108000"/>
        <c:crosses val="autoZero"/>
        <c:auto val="1"/>
        <c:lblAlgn val="ctr"/>
        <c:lblOffset val="100"/>
        <c:noMultiLvlLbl val="0"/>
      </c:catAx>
      <c:valAx>
        <c:axId val="15991080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5003494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Avenir Next LT Pro" panose="020B0504020202020204" pitchFamily="34" charset="0"/>
                <a:ea typeface="+mn-ea"/>
                <a:cs typeface="+mn-cs"/>
              </a:defRPr>
            </a:pPr>
            <a:r>
              <a:rPr lang="en-AU" sz="1100">
                <a:latin typeface="Avenir Next LT Pro" panose="020B0504020202020204" pitchFamily="34" charset="0"/>
              </a:rPr>
              <a:t>Household</a:t>
            </a:r>
            <a:r>
              <a:rPr lang="en-AU" sz="1100" baseline="0">
                <a:latin typeface="Avenir Next LT Pro" panose="020B0504020202020204" pitchFamily="34" charset="0"/>
              </a:rPr>
              <a:t>s in rental stress by age, Tasmania</a:t>
            </a:r>
            <a:endParaRPr lang="en-AU" sz="1100">
              <a:latin typeface="Avenir Next LT Pro" panose="020B0504020202020204" pitchFamily="34" charset="0"/>
            </a:endParaRPr>
          </a:p>
        </c:rich>
      </c:tx>
      <c:layout>
        <c:manualLayout>
          <c:xMode val="edge"/>
          <c:yMode val="edge"/>
          <c:x val="0.119178002117346"/>
          <c:y val="2.8057049333645077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Avenir Next LT Pro" panose="020B0504020202020204" pitchFamily="34" charset="0"/>
              <a:ea typeface="+mn-ea"/>
              <a:cs typeface="+mn-cs"/>
            </a:defRPr>
          </a:pPr>
          <a:endParaRPr lang="en-US"/>
        </a:p>
      </c:txPr>
    </c:title>
    <c:autoTitleDeleted val="0"/>
    <c:plotArea>
      <c:layout>
        <c:manualLayout>
          <c:layoutTarget val="inner"/>
          <c:xMode val="edge"/>
          <c:yMode val="edge"/>
          <c:x val="0.21136478873975673"/>
          <c:y val="0.21700011812137976"/>
          <c:w val="0.77366446417263102"/>
          <c:h val="0.57866138322142391"/>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1412-4A1F-985E-5BE6EBE31645}"/>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1412-4A1F-985E-5BE6EBE31645}"/>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18-54 years</c:v>
                </c:pt>
                <c:pt idx="1">
                  <c:v>55+ years</c:v>
                </c:pt>
              </c:strCache>
            </c:strRef>
          </c:cat>
          <c:val>
            <c:numRef>
              <c:f>Sheet1!$B$2:$C$2</c:f>
              <c:numCache>
                <c:formatCode>0%</c:formatCode>
                <c:ptCount val="2"/>
                <c:pt idx="0">
                  <c:v>0.27</c:v>
                </c:pt>
                <c:pt idx="1">
                  <c:v>0.38</c:v>
                </c:pt>
              </c:numCache>
            </c:numRef>
          </c:val>
          <c:extLst>
            <c:ext xmlns:c16="http://schemas.microsoft.com/office/drawing/2014/chart" uri="{C3380CC4-5D6E-409C-BE32-E72D297353CC}">
              <c16:uniqueId val="{00000004-1412-4A1F-985E-5BE6EBE31645}"/>
            </c:ext>
          </c:extLst>
        </c:ser>
        <c:dLbls>
          <c:showLegendKey val="0"/>
          <c:showVal val="0"/>
          <c:showCatName val="0"/>
          <c:showSerName val="0"/>
          <c:showPercent val="0"/>
          <c:showBubbleSize val="0"/>
        </c:dLbls>
        <c:gapWidth val="219"/>
        <c:overlap val="-27"/>
        <c:axId val="966859535"/>
        <c:axId val="1245309935"/>
      </c:barChart>
      <c:catAx>
        <c:axId val="9668595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venir Next LT Pro" panose="020B0504020202020204" pitchFamily="34" charset="0"/>
                    <a:ea typeface="+mn-ea"/>
                    <a:cs typeface="+mn-cs"/>
                  </a:defRPr>
                </a:pPr>
                <a:r>
                  <a:rPr lang="en-AU">
                    <a:latin typeface="Avenir Next LT Pro" panose="020B0504020202020204" pitchFamily="34" charset="0"/>
                  </a:rPr>
                  <a:t>Age </a:t>
                </a:r>
                <a:r>
                  <a:rPr lang="en-AU" baseline="0">
                    <a:latin typeface="Avenir Next LT Pro" panose="020B0504020202020204" pitchFamily="34" charset="0"/>
                  </a:rPr>
                  <a:t>group</a:t>
                </a:r>
                <a:endParaRPr lang="en-AU">
                  <a:latin typeface="Avenir Next LT Pro" panose="020B05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245309935"/>
        <c:crosses val="autoZero"/>
        <c:auto val="1"/>
        <c:lblAlgn val="ctr"/>
        <c:lblOffset val="100"/>
        <c:noMultiLvlLbl val="0"/>
      </c:catAx>
      <c:valAx>
        <c:axId val="12453099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Percentage of </a:t>
                </a:r>
                <a:r>
                  <a:rPr lang="en-AU" baseline="0"/>
                  <a:t>renting households </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6859535"/>
        <c:crosses val="autoZero"/>
        <c:crossBetween val="between"/>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Avenir Next LT Pro" panose="020B0504020202020204" pitchFamily="34" charset="0"/>
                <a:ea typeface="+mn-ea"/>
                <a:cs typeface="+mn-cs"/>
              </a:defRPr>
            </a:pPr>
            <a:r>
              <a:rPr lang="en-AU" sz="1000">
                <a:latin typeface="Avenir Next LT Pro" panose="020B0504020202020204" pitchFamily="34" charset="0"/>
              </a:rPr>
              <a:t>Percentage of </a:t>
            </a:r>
            <a:r>
              <a:rPr lang="en-AU" sz="1000" baseline="0">
                <a:latin typeface="Avenir Next LT Pro" panose="020B0504020202020204" pitchFamily="34" charset="0"/>
              </a:rPr>
              <a:t>rental properties affordable for pensioners, 2016 - 2024</a:t>
            </a:r>
            <a:r>
              <a:rPr lang="en-AU" sz="1000">
                <a:latin typeface="Avenir Next LT Pro" panose="020B0504020202020204" pitchFamily="34" charset="0"/>
              </a:rPr>
              <a:t> </a:t>
            </a:r>
          </a:p>
        </c:rich>
      </c:tx>
      <c:layout>
        <c:manualLayout>
          <c:xMode val="edge"/>
          <c:yMode val="edge"/>
          <c:x val="0.11072316618317445"/>
          <c:y val="2.1267264471118489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Avenir Next LT Pro" panose="020B0504020202020204" pitchFamily="34" charset="0"/>
              <a:ea typeface="+mn-ea"/>
              <a:cs typeface="+mn-cs"/>
            </a:defRPr>
          </a:pPr>
          <a:endParaRPr lang="en-US"/>
        </a:p>
      </c:txPr>
    </c:title>
    <c:autoTitleDeleted val="0"/>
    <c:plotArea>
      <c:layout>
        <c:manualLayout>
          <c:layoutTarget val="inner"/>
          <c:xMode val="edge"/>
          <c:yMode val="edge"/>
          <c:x val="8.7983740749745951E-2"/>
          <c:y val="0.1896237970253718"/>
          <c:w val="0.90825576506016736"/>
          <c:h val="0.61849903762029756"/>
        </c:manualLayout>
      </c:layout>
      <c:lineChart>
        <c:grouping val="standard"/>
        <c:varyColors val="0"/>
        <c:ser>
          <c:idx val="0"/>
          <c:order val="0"/>
          <c:tx>
            <c:strRef>
              <c:f>'Affordability pensioners time s'!$A$12:$G$12</c:f>
              <c:strCache>
                <c:ptCount val="7"/>
                <c:pt idx="0">
                  <c:v>Single, age or disability support pension (excl sharehouses)</c:v>
                </c:pt>
              </c:strCache>
            </c:strRef>
          </c:tx>
          <c:spPr>
            <a:ln w="28575" cap="rnd">
              <a:solidFill>
                <a:schemeClr val="accent1"/>
              </a:solidFill>
              <a:round/>
            </a:ln>
            <a:effectLst/>
          </c:spPr>
          <c:marker>
            <c:symbol val="none"/>
          </c:marker>
          <c:cat>
            <c:numRef>
              <c:f>'Affordability pensioners time s'!$H$11:$X$11</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'Affordability pensioners time s'!$H$12:$X$12</c:f>
              <c:numCache>
                <c:formatCode>0.0%</c:formatCode>
                <c:ptCount val="9"/>
                <c:pt idx="0">
                  <c:v>1.2594458438287153E-3</c:v>
                </c:pt>
                <c:pt idx="1">
                  <c:v>4.6955245781364639E-2</c:v>
                </c:pt>
                <c:pt idx="2">
                  <c:v>2.4096385542168676E-2</c:v>
                </c:pt>
                <c:pt idx="3">
                  <c:v>2.8571428571428571E-2</c:v>
                </c:pt>
                <c:pt idx="4">
                  <c:v>4.6475600309837332E-3</c:v>
                </c:pt>
                <c:pt idx="5">
                  <c:v>2.7434842249657062E-3</c:v>
                </c:pt>
                <c:pt idx="6">
                  <c:v>2.8011204481792717E-3</c:v>
                </c:pt>
                <c:pt idx="7">
                  <c:v>2.8929604628736743E-3</c:v>
                </c:pt>
                <c:pt idx="8">
                  <c:v>1.7746228926353151E-3</c:v>
                </c:pt>
              </c:numCache>
            </c:numRef>
          </c:val>
          <c:smooth val="0"/>
          <c:extLst>
            <c:ext xmlns:c16="http://schemas.microsoft.com/office/drawing/2014/chart" uri="{C3380CC4-5D6E-409C-BE32-E72D297353CC}">
              <c16:uniqueId val="{00000000-7838-4161-87E5-B7260D71161B}"/>
            </c:ext>
          </c:extLst>
        </c:ser>
        <c:ser>
          <c:idx val="1"/>
          <c:order val="1"/>
          <c:tx>
            <c:strRef>
              <c:f>'Affordability pensioners time s'!$A$13:$G$13</c:f>
              <c:strCache>
                <c:ptCount val="7"/>
                <c:pt idx="0">
                  <c:v>Couple</c:v>
                </c:pt>
              </c:strCache>
            </c:strRef>
          </c:tx>
          <c:spPr>
            <a:ln w="28575" cap="rnd">
              <a:solidFill>
                <a:schemeClr val="accent2"/>
              </a:solidFill>
              <a:round/>
            </a:ln>
            <a:effectLst/>
          </c:spPr>
          <c:marker>
            <c:symbol val="none"/>
          </c:marker>
          <c:cat>
            <c:numRef>
              <c:f>'Affordability pensioners time s'!$H$11:$X$11</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'Affordability pensioners time s'!$H$13:$X$13</c:f>
              <c:numCache>
                <c:formatCode>0.0%</c:formatCode>
                <c:ptCount val="9"/>
                <c:pt idx="0">
                  <c:v>7.4937027707808565E-2</c:v>
                </c:pt>
                <c:pt idx="1">
                  <c:v>0.17461482024944974</c:v>
                </c:pt>
                <c:pt idx="2">
                  <c:v>0.13574297188755019</c:v>
                </c:pt>
                <c:pt idx="3">
                  <c:v>0.10571428571428572</c:v>
                </c:pt>
                <c:pt idx="4">
                  <c:v>2.8659953524399689E-2</c:v>
                </c:pt>
                <c:pt idx="5">
                  <c:v>2.194787379972565E-2</c:v>
                </c:pt>
                <c:pt idx="6">
                  <c:v>3.081232492997199E-2</c:v>
                </c:pt>
                <c:pt idx="7">
                  <c:v>1.446480231436837E-2</c:v>
                </c:pt>
                <c:pt idx="8">
                  <c:v>1.5084294587400177E-2</c:v>
                </c:pt>
              </c:numCache>
            </c:numRef>
          </c:val>
          <c:smooth val="0"/>
          <c:extLst>
            <c:ext xmlns:c16="http://schemas.microsoft.com/office/drawing/2014/chart" uri="{C3380CC4-5D6E-409C-BE32-E72D297353CC}">
              <c16:uniqueId val="{00000001-7838-4161-87E5-B7260D71161B}"/>
            </c:ext>
          </c:extLst>
        </c:ser>
        <c:dLbls>
          <c:showLegendKey val="0"/>
          <c:showVal val="0"/>
          <c:showCatName val="0"/>
          <c:showSerName val="0"/>
          <c:showPercent val="0"/>
          <c:showBubbleSize val="0"/>
        </c:dLbls>
        <c:smooth val="0"/>
        <c:axId val="352826815"/>
        <c:axId val="178392815"/>
      </c:lineChart>
      <c:catAx>
        <c:axId val="352826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800000" spcFirstLastPara="1" vertOverflow="ellipsis"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78392815"/>
        <c:crosses val="autoZero"/>
        <c:auto val="1"/>
        <c:lblAlgn val="ctr"/>
        <c:lblOffset val="100"/>
        <c:noMultiLvlLbl val="0"/>
      </c:catAx>
      <c:valAx>
        <c:axId val="178392815"/>
        <c:scaling>
          <c:orientation val="minMax"/>
          <c:max val="0.300000000000000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352826815"/>
        <c:crosses val="autoZero"/>
        <c:crossBetween val="between"/>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100">
                <a:latin typeface="Avenir Next LT Pro" panose="020B0504020202020204" pitchFamily="34" charset="0"/>
              </a:rPr>
              <a:t>Life</a:t>
            </a:r>
            <a:r>
              <a:rPr lang="en-AU" sz="1100" baseline="0">
                <a:latin typeface="Avenir Next LT Pro" panose="020B0504020202020204" pitchFamily="34" charset="0"/>
              </a:rPr>
              <a:t> satisfaction and moving</a:t>
            </a:r>
            <a:endParaRPr lang="en-AU" sz="1100">
              <a:latin typeface="Avenir Next LT Pro" panose="020B0504020202020204" pitchFamily="34" charset="0"/>
            </a:endParaRPr>
          </a:p>
        </c:rich>
      </c:tx>
      <c:layout>
        <c:manualLayout>
          <c:xMode val="edge"/>
          <c:yMode val="edge"/>
          <c:x val="0.11563792873348458"/>
          <c:y val="3.205128205128204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992334512211397"/>
          <c:y val="0.23785987261146496"/>
          <c:w val="0.76463324102495678"/>
          <c:h val="0.66016397519613101"/>
        </c:manualLayout>
      </c:layout>
      <c:barChart>
        <c:barDir val="col"/>
        <c:grouping val="clustered"/>
        <c:varyColors val="0"/>
        <c:ser>
          <c:idx val="0"/>
          <c:order val="0"/>
          <c:tx>
            <c:strRef>
              <c:f>Sheet2!$B$1</c:f>
              <c:strCache>
                <c:ptCount val="1"/>
                <c:pt idx="0">
                  <c:v>Has not moved</c:v>
                </c:pt>
              </c:strCache>
            </c:strRef>
          </c:tx>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Sheet2!$A$2:$A$3</c:f>
              <c:strCache>
                <c:ptCount val="2"/>
                <c:pt idx="0">
                  <c:v>Satisfaction with life overall</c:v>
                </c:pt>
                <c:pt idx="1">
                  <c:v>Satisfaction with home</c:v>
                </c:pt>
              </c:strCache>
            </c:strRef>
          </c:cat>
          <c:val>
            <c:numRef>
              <c:f>Sheet2!$B$2:$B$3</c:f>
              <c:numCache>
                <c:formatCode>General</c:formatCode>
                <c:ptCount val="2"/>
                <c:pt idx="0">
                  <c:v>8.06</c:v>
                </c:pt>
                <c:pt idx="1">
                  <c:v>8.49</c:v>
                </c:pt>
              </c:numCache>
            </c:numRef>
          </c:val>
          <c:extLst>
            <c:ext xmlns:c16="http://schemas.microsoft.com/office/drawing/2014/chart" uri="{C3380CC4-5D6E-409C-BE32-E72D297353CC}">
              <c16:uniqueId val="{00000000-10C0-44D9-AD9C-5F11B660BB2A}"/>
            </c:ext>
          </c:extLst>
        </c:ser>
        <c:ser>
          <c:idx val="1"/>
          <c:order val="1"/>
          <c:tx>
            <c:strRef>
              <c:f>Sheet2!$C$1</c:f>
              <c:strCache>
                <c:ptCount val="1"/>
                <c:pt idx="0">
                  <c:v>Moved in past 12 months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Sheet2!$A$2:$A$3</c:f>
              <c:strCache>
                <c:ptCount val="2"/>
                <c:pt idx="0">
                  <c:v>Satisfaction with life overall</c:v>
                </c:pt>
                <c:pt idx="1">
                  <c:v>Satisfaction with home</c:v>
                </c:pt>
              </c:strCache>
            </c:strRef>
          </c:cat>
          <c:val>
            <c:numRef>
              <c:f>Sheet2!$C$2:$C$3</c:f>
              <c:numCache>
                <c:formatCode>General</c:formatCode>
                <c:ptCount val="2"/>
                <c:pt idx="0">
                  <c:v>7.85</c:v>
                </c:pt>
                <c:pt idx="1">
                  <c:v>8.06</c:v>
                </c:pt>
              </c:numCache>
            </c:numRef>
          </c:val>
          <c:extLst>
            <c:ext xmlns:c16="http://schemas.microsoft.com/office/drawing/2014/chart" uri="{C3380CC4-5D6E-409C-BE32-E72D297353CC}">
              <c16:uniqueId val="{00000001-10C0-44D9-AD9C-5F11B660BB2A}"/>
            </c:ext>
          </c:extLst>
        </c:ser>
        <c:dLbls>
          <c:showLegendKey val="0"/>
          <c:showVal val="0"/>
          <c:showCatName val="0"/>
          <c:showSerName val="0"/>
          <c:showPercent val="0"/>
          <c:showBubbleSize val="0"/>
        </c:dLbls>
        <c:gapWidth val="219"/>
        <c:overlap val="-27"/>
        <c:axId val="1238438431"/>
        <c:axId val="1237864879"/>
      </c:barChart>
      <c:catAx>
        <c:axId val="1238438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7864879"/>
        <c:crosses val="autoZero"/>
        <c:auto val="1"/>
        <c:lblAlgn val="ctr"/>
        <c:lblOffset val="100"/>
        <c:noMultiLvlLbl val="0"/>
      </c:catAx>
      <c:valAx>
        <c:axId val="1237864879"/>
        <c:scaling>
          <c:orientation val="minMax"/>
          <c:max val="1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8438431"/>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legendEntry>
      <c:layout>
        <c:manualLayout>
          <c:xMode val="edge"/>
          <c:yMode val="edge"/>
          <c:x val="6.5889830508474578E-2"/>
          <c:y val="0.12045477488390874"/>
          <c:w val="0.9"/>
          <c:h val="0.103401459008800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Avenir Next LT Pro" panose="020B0504020202020204" pitchFamily="34" charset="0"/>
                <a:ea typeface="+mn-ea"/>
                <a:cs typeface="+mn-cs"/>
              </a:defRPr>
            </a:pPr>
            <a:r>
              <a:rPr lang="en-AU" sz="1100">
                <a:latin typeface="Avenir Next LT Pro" panose="020B0504020202020204" pitchFamily="34" charset="0"/>
              </a:rPr>
              <a:t>Impact</a:t>
            </a:r>
            <a:r>
              <a:rPr lang="en-AU" sz="1100" baseline="0">
                <a:latin typeface="Avenir Next LT Pro" panose="020B0504020202020204" pitchFamily="34" charset="0"/>
              </a:rPr>
              <a:t> of forced moves on life satisfaction</a:t>
            </a:r>
            <a:endParaRPr lang="en-AU" sz="1100">
              <a:latin typeface="Avenir Next LT Pro" panose="020B0504020202020204" pitchFamily="34"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Avenir Next LT Pro" panose="020B0504020202020204" pitchFamily="34" charset="0"/>
              <a:ea typeface="+mn-ea"/>
              <a:cs typeface="+mn-cs"/>
            </a:defRPr>
          </a:pPr>
          <a:endParaRPr lang="en-US"/>
        </a:p>
      </c:txPr>
    </c:title>
    <c:autoTitleDeleted val="0"/>
    <c:plotArea>
      <c:layout>
        <c:manualLayout>
          <c:layoutTarget val="inner"/>
          <c:xMode val="edge"/>
          <c:yMode val="edge"/>
          <c:x val="8.6750393985768059E-2"/>
          <c:y val="0.15399538106235566"/>
          <c:w val="0.87343780724477849"/>
          <c:h val="0.72419767447213712"/>
        </c:manualLayout>
      </c:layout>
      <c:barChart>
        <c:barDir val="col"/>
        <c:grouping val="clustered"/>
        <c:varyColors val="0"/>
        <c:ser>
          <c:idx val="0"/>
          <c:order val="0"/>
          <c:tx>
            <c:strRef>
              <c:f>Sheet3!$B$1</c:f>
              <c:strCache>
                <c:ptCount val="1"/>
                <c:pt idx="0">
                  <c:v>Rest of population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Sheet3!$A$2:$A$5</c:f>
              <c:strCache>
                <c:ptCount val="4"/>
                <c:pt idx="0">
                  <c:v>Life overall</c:v>
                </c:pt>
                <c:pt idx="1">
                  <c:v>Home</c:v>
                </c:pt>
                <c:pt idx="2">
                  <c:v>Feeling part of local community</c:v>
                </c:pt>
                <c:pt idx="3">
                  <c:v>Neighbourhood</c:v>
                </c:pt>
              </c:strCache>
            </c:strRef>
          </c:cat>
          <c:val>
            <c:numRef>
              <c:f>Sheet3!$B$2:$B$5</c:f>
              <c:numCache>
                <c:formatCode>General</c:formatCode>
                <c:ptCount val="4"/>
                <c:pt idx="0">
                  <c:v>7.91</c:v>
                </c:pt>
                <c:pt idx="1">
                  <c:v>8.25</c:v>
                </c:pt>
                <c:pt idx="2">
                  <c:v>6.75</c:v>
                </c:pt>
                <c:pt idx="3">
                  <c:v>8</c:v>
                </c:pt>
              </c:numCache>
            </c:numRef>
          </c:val>
          <c:extLst>
            <c:ext xmlns:c16="http://schemas.microsoft.com/office/drawing/2014/chart" uri="{C3380CC4-5D6E-409C-BE32-E72D297353CC}">
              <c16:uniqueId val="{00000000-D19F-46EE-BDFB-34983ED24389}"/>
            </c:ext>
          </c:extLst>
        </c:ser>
        <c:ser>
          <c:idx val="1"/>
          <c:order val="1"/>
          <c:tx>
            <c:strRef>
              <c:f>Sheet3!$C$1</c:f>
              <c:strCache>
                <c:ptCount val="1"/>
                <c:pt idx="0">
                  <c:v>People who moved not by choice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Sheet3!$A$2:$A$5</c:f>
              <c:strCache>
                <c:ptCount val="4"/>
                <c:pt idx="0">
                  <c:v>Life overall</c:v>
                </c:pt>
                <c:pt idx="1">
                  <c:v>Home</c:v>
                </c:pt>
                <c:pt idx="2">
                  <c:v>Feeling part of local community</c:v>
                </c:pt>
                <c:pt idx="3">
                  <c:v>Neighbourhood</c:v>
                </c:pt>
              </c:strCache>
            </c:strRef>
          </c:cat>
          <c:val>
            <c:numRef>
              <c:f>Sheet3!$C$2:$C$5</c:f>
              <c:numCache>
                <c:formatCode>General</c:formatCode>
                <c:ptCount val="4"/>
                <c:pt idx="0">
                  <c:v>7.66</c:v>
                </c:pt>
                <c:pt idx="1">
                  <c:v>7.7</c:v>
                </c:pt>
                <c:pt idx="2">
                  <c:v>5.97</c:v>
                </c:pt>
                <c:pt idx="3">
                  <c:v>7.65</c:v>
                </c:pt>
              </c:numCache>
            </c:numRef>
          </c:val>
          <c:extLst>
            <c:ext xmlns:c16="http://schemas.microsoft.com/office/drawing/2014/chart" uri="{C3380CC4-5D6E-409C-BE32-E72D297353CC}">
              <c16:uniqueId val="{00000001-D19F-46EE-BDFB-34983ED24389}"/>
            </c:ext>
          </c:extLst>
        </c:ser>
        <c:dLbls>
          <c:showLegendKey val="0"/>
          <c:showVal val="0"/>
          <c:showCatName val="0"/>
          <c:showSerName val="0"/>
          <c:showPercent val="0"/>
          <c:showBubbleSize val="0"/>
        </c:dLbls>
        <c:gapWidth val="219"/>
        <c:overlap val="-27"/>
        <c:axId val="1403915887"/>
        <c:axId val="1406050607"/>
      </c:barChart>
      <c:catAx>
        <c:axId val="1403915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6050607"/>
        <c:crosses val="autoZero"/>
        <c:auto val="1"/>
        <c:lblAlgn val="ctr"/>
        <c:lblOffset val="100"/>
        <c:noMultiLvlLbl val="0"/>
      </c:catAx>
      <c:valAx>
        <c:axId val="1406050607"/>
        <c:scaling>
          <c:orientation val="minMax"/>
          <c:max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3915887"/>
        <c:crosses val="autoZero"/>
        <c:crossBetween val="between"/>
        <c:majorUnit val="2"/>
      </c:valAx>
      <c:spPr>
        <a:noFill/>
        <a:ln w="25400">
          <a:noFill/>
        </a:ln>
        <a:effectLst/>
      </c:spPr>
    </c:plotArea>
    <c:legend>
      <c:legendPos val="b"/>
      <c:layout>
        <c:manualLayout>
          <c:xMode val="edge"/>
          <c:yMode val="edge"/>
          <c:x val="2.0722938948592336E-2"/>
          <c:y val="0.10115873506573803"/>
          <c:w val="0.97565783230145342"/>
          <c:h val="7.665022582837044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_rels/data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8.png"/><Relationship Id="rId4" Type="http://schemas.openxmlformats.org/officeDocument/2006/relationships/image" Target="../media/image7.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8.png"/><Relationship Id="rId4"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0D766B-FB08-4E8E-B9D3-22DEB5351B68}" type="doc">
      <dgm:prSet loTypeId="urn:microsoft.com/office/officeart/2005/8/layout/vList4" loCatId="list" qsTypeId="urn:microsoft.com/office/officeart/2005/8/quickstyle/simple1" qsCatId="simple" csTypeId="urn:microsoft.com/office/officeart/2005/8/colors/accent1_2" csCatId="accent1" phldr="1"/>
      <dgm:spPr/>
      <dgm:t>
        <a:bodyPr/>
        <a:lstStyle/>
        <a:p>
          <a:endParaRPr lang="en-AU"/>
        </a:p>
      </dgm:t>
    </dgm:pt>
    <dgm:pt modelId="{A414963F-CEBA-494F-BEE6-307E3AF2F264}">
      <dgm:prSet phldrT="[Text]" custT="1"/>
      <dgm:spPr/>
      <dgm:t>
        <a:bodyPr anchor="ctr" anchorCtr="0"/>
        <a:lstStyle/>
        <a:p>
          <a:r>
            <a:rPr lang="en-AU" sz="1400">
              <a:latin typeface="Montserrat72" panose="00000400000000000000" pitchFamily="2" charset="0"/>
            </a:rPr>
            <a:t>Ensuring the state’s housing supply meets the current and projected needs of older Tasmanians</a:t>
          </a:r>
        </a:p>
      </dgm:t>
      <dgm:extLst>
        <a:ext uri="{E40237B7-FDA0-4F09-8148-C483321AD2D9}">
          <dgm14:cNvPr xmlns:dgm14="http://schemas.microsoft.com/office/drawing/2010/diagram" id="0" name="" descr="Ensuring the states housing supply meets the current and projected needs of older Tasmanians:&#10;Build enough social and affordable housing&#10;Innovate to enable alternative affordable housing models"/>
        </a:ext>
      </dgm:extLst>
    </dgm:pt>
    <dgm:pt modelId="{D29F0713-FD75-466A-8587-E550C98FB7B6}" type="parTrans" cxnId="{0CC97131-D3F3-48D6-925E-9B88DA331209}">
      <dgm:prSet/>
      <dgm:spPr/>
      <dgm:t>
        <a:bodyPr/>
        <a:lstStyle/>
        <a:p>
          <a:endParaRPr lang="en-AU"/>
        </a:p>
      </dgm:t>
    </dgm:pt>
    <dgm:pt modelId="{885346D3-A64E-48D4-A8CE-0D3E70B6B5E9}" type="sibTrans" cxnId="{0CC97131-D3F3-48D6-925E-9B88DA331209}">
      <dgm:prSet/>
      <dgm:spPr/>
      <dgm:t>
        <a:bodyPr/>
        <a:lstStyle/>
        <a:p>
          <a:endParaRPr lang="en-AU"/>
        </a:p>
      </dgm:t>
    </dgm:pt>
    <dgm:pt modelId="{F433EC38-C04E-4367-B6BF-5763860B7849}">
      <dgm:prSet phldrT="[Text]" custT="1"/>
      <dgm:spPr/>
      <dgm:t>
        <a:bodyPr anchor="ctr" anchorCtr="0"/>
        <a:lstStyle/>
        <a:p>
          <a:r>
            <a:rPr lang="en-AU" sz="1200" i="0">
              <a:latin typeface="Arial Nova Light" panose="020B0304020202020204" pitchFamily="34" charset="0"/>
            </a:rPr>
            <a:t>Build enough social and affordable housing</a:t>
          </a:r>
        </a:p>
      </dgm:t>
    </dgm:pt>
    <dgm:pt modelId="{3C3D4FBE-4131-4CD8-8159-B708BBF7E57D}" type="parTrans" cxnId="{5E82531F-4FBE-4F34-BA97-AAE597422417}">
      <dgm:prSet/>
      <dgm:spPr/>
      <dgm:t>
        <a:bodyPr/>
        <a:lstStyle/>
        <a:p>
          <a:endParaRPr lang="en-AU"/>
        </a:p>
      </dgm:t>
    </dgm:pt>
    <dgm:pt modelId="{F457D1B3-B4AB-44BD-A483-68AB6AE0C7AF}" type="sibTrans" cxnId="{5E82531F-4FBE-4F34-BA97-AAE597422417}">
      <dgm:prSet/>
      <dgm:spPr/>
      <dgm:t>
        <a:bodyPr/>
        <a:lstStyle/>
        <a:p>
          <a:endParaRPr lang="en-AU"/>
        </a:p>
      </dgm:t>
    </dgm:pt>
    <dgm:pt modelId="{F71C99C0-4F9E-407C-A7BD-594F654DE103}">
      <dgm:prSet phldrT="[Text]" custT="1"/>
      <dgm:spPr/>
      <dgm:t>
        <a:bodyPr anchor="ctr" anchorCtr="0"/>
        <a:lstStyle/>
        <a:p>
          <a:r>
            <a:rPr lang="en-AU" sz="1200" i="0">
              <a:latin typeface="Arial Nova Light" panose="020B0304020202020204" pitchFamily="34" charset="0"/>
            </a:rPr>
            <a:t>Innovate to enable alternative affordable housing models</a:t>
          </a:r>
        </a:p>
      </dgm:t>
    </dgm:pt>
    <dgm:pt modelId="{01F46A1E-C4E3-4BD1-B23F-F8C900A320DE}" type="parTrans" cxnId="{064C338D-E510-4E01-8618-E4E49B86BDA1}">
      <dgm:prSet/>
      <dgm:spPr/>
      <dgm:t>
        <a:bodyPr/>
        <a:lstStyle/>
        <a:p>
          <a:endParaRPr lang="en-AU"/>
        </a:p>
      </dgm:t>
    </dgm:pt>
    <dgm:pt modelId="{749FBEEA-54D4-4232-8707-E130B6FD7D85}" type="sibTrans" cxnId="{064C338D-E510-4E01-8618-E4E49B86BDA1}">
      <dgm:prSet/>
      <dgm:spPr/>
      <dgm:t>
        <a:bodyPr/>
        <a:lstStyle/>
        <a:p>
          <a:endParaRPr lang="en-AU"/>
        </a:p>
      </dgm:t>
    </dgm:pt>
    <dgm:pt modelId="{27B6B9C6-E657-442B-B4EC-C27933447F86}">
      <dgm:prSet phldrT="[Text]" custT="1"/>
      <dgm:spPr/>
      <dgm:t>
        <a:bodyPr anchor="ctr" anchorCtr="0"/>
        <a:lstStyle/>
        <a:p>
          <a:pPr>
            <a:buClr>
              <a:srgbClr val="FFC000"/>
            </a:buClr>
            <a:buFont typeface="Symbol" panose="05050102010706020507" pitchFamily="18" charset="2"/>
            <a:buChar char=""/>
          </a:pPr>
          <a:r>
            <a:rPr lang="en-AU" sz="1400">
              <a:latin typeface="Montserrat72" panose="00000400000000000000" pitchFamily="2" charset="0"/>
            </a:rPr>
            <a:t>Reducing the need for older people to move by providing appropriate homes and supports for people to age in place in their communities</a:t>
          </a:r>
        </a:p>
      </dgm:t>
      <dgm:extLst>
        <a:ext uri="{E40237B7-FDA0-4F09-8148-C483321AD2D9}">
          <dgm14:cNvPr xmlns:dgm14="http://schemas.microsoft.com/office/drawing/2010/diagram" id="0" name="" descr="Reducing the need for older people to move by providing appropriate homes and supports for people to age in place in their communities&#10;Create age-friendly communities&#10;Accelerate retro-fitting of homes&#10;"/>
        </a:ext>
      </dgm:extLst>
    </dgm:pt>
    <dgm:pt modelId="{FD41DE81-1E37-44D3-9FF9-E1CB4713D923}" type="parTrans" cxnId="{B3745A91-BAC7-464E-AF80-176A488F7A84}">
      <dgm:prSet/>
      <dgm:spPr/>
      <dgm:t>
        <a:bodyPr/>
        <a:lstStyle/>
        <a:p>
          <a:endParaRPr lang="en-AU"/>
        </a:p>
      </dgm:t>
    </dgm:pt>
    <dgm:pt modelId="{6EB3CEAA-E5B7-47BE-B3B6-9C29CBDB0234}" type="sibTrans" cxnId="{B3745A91-BAC7-464E-AF80-176A488F7A84}">
      <dgm:prSet/>
      <dgm:spPr/>
      <dgm:t>
        <a:bodyPr/>
        <a:lstStyle/>
        <a:p>
          <a:endParaRPr lang="en-AU"/>
        </a:p>
      </dgm:t>
    </dgm:pt>
    <dgm:pt modelId="{C65B469F-6591-407E-A56E-1F01DFA8BD8B}">
      <dgm:prSet phldrT="[Text]" custT="1"/>
      <dgm:spPr/>
      <dgm:t>
        <a:bodyPr anchor="ctr" anchorCtr="0"/>
        <a:lstStyle/>
        <a:p>
          <a:r>
            <a:rPr lang="en-AU" sz="1200">
              <a:latin typeface="Arial Nova Light" panose="020B0304020202020204" pitchFamily="34" charset="0"/>
            </a:rPr>
            <a:t>Create age-friendly communities</a:t>
          </a:r>
        </a:p>
      </dgm:t>
    </dgm:pt>
    <dgm:pt modelId="{D913752D-619D-4729-BA84-DC990A99A288}" type="parTrans" cxnId="{1FD4EA84-0527-453D-8990-5555B3716918}">
      <dgm:prSet/>
      <dgm:spPr/>
      <dgm:t>
        <a:bodyPr/>
        <a:lstStyle/>
        <a:p>
          <a:endParaRPr lang="en-AU"/>
        </a:p>
      </dgm:t>
    </dgm:pt>
    <dgm:pt modelId="{9D31B77E-9F81-42FB-8D4D-F264BFB9E5D3}" type="sibTrans" cxnId="{1FD4EA84-0527-453D-8990-5555B3716918}">
      <dgm:prSet/>
      <dgm:spPr/>
      <dgm:t>
        <a:bodyPr/>
        <a:lstStyle/>
        <a:p>
          <a:endParaRPr lang="en-AU"/>
        </a:p>
      </dgm:t>
    </dgm:pt>
    <dgm:pt modelId="{447BF39F-41C7-484A-B4A0-DBF6174B4D9C}">
      <dgm:prSet phldrT="[Text]" custT="1"/>
      <dgm:spPr/>
      <dgm:t>
        <a:bodyPr anchor="ctr" anchorCtr="0"/>
        <a:lstStyle/>
        <a:p>
          <a:r>
            <a:rPr lang="en-AU" sz="1200">
              <a:latin typeface="Arial Nova Light" panose="020B0304020202020204" pitchFamily="34" charset="0"/>
            </a:rPr>
            <a:t>Accelerate retro-fitting of homes</a:t>
          </a:r>
        </a:p>
      </dgm:t>
    </dgm:pt>
    <dgm:pt modelId="{92A0DF24-0C06-43B8-8EE5-FD3A38A95A2C}" type="parTrans" cxnId="{78F2118A-EB9F-49D7-8A41-C6A73429A1DA}">
      <dgm:prSet/>
      <dgm:spPr/>
      <dgm:t>
        <a:bodyPr/>
        <a:lstStyle/>
        <a:p>
          <a:endParaRPr lang="en-AU"/>
        </a:p>
      </dgm:t>
    </dgm:pt>
    <dgm:pt modelId="{6242E02D-1DBC-463F-ADEC-2BD8AF93A1E0}" type="sibTrans" cxnId="{78F2118A-EB9F-49D7-8A41-C6A73429A1DA}">
      <dgm:prSet/>
      <dgm:spPr/>
      <dgm:t>
        <a:bodyPr/>
        <a:lstStyle/>
        <a:p>
          <a:endParaRPr lang="en-AU"/>
        </a:p>
      </dgm:t>
    </dgm:pt>
    <dgm:pt modelId="{6E6E93B0-98F6-4920-BCC8-9C07CBEB9392}">
      <dgm:prSet phldrT="[Text]" custT="1"/>
      <dgm:spPr/>
      <dgm:t>
        <a:bodyPr anchor="ctr" anchorCtr="0"/>
        <a:lstStyle/>
        <a:p>
          <a:r>
            <a:rPr lang="en-AU" sz="1400">
              <a:latin typeface="Montserrat72" panose="00000400000000000000" pitchFamily="2" charset="0"/>
            </a:rPr>
            <a:t>Increasing housing security for older renters</a:t>
          </a:r>
        </a:p>
      </dgm:t>
      <dgm:extLst>
        <a:ext uri="{E40237B7-FDA0-4F09-8148-C483321AD2D9}">
          <dgm14:cNvPr xmlns:dgm14="http://schemas.microsoft.com/office/drawing/2010/diagram" id="0" name="" descr="Increasing housing security for older renters&#10;Amend the Residential Tenancy Act to better protect renters&#10;Create an independent intermediary between renters and landlords&#10;Expand support provided to renters by the Tenants' Union of Tasmania&#10;"/>
        </a:ext>
      </dgm:extLst>
    </dgm:pt>
    <dgm:pt modelId="{6318ED73-D766-4D03-AA22-71A046424833}" type="parTrans" cxnId="{FA6AD6ED-D9E2-4EB7-AB13-8F32FD7E1E6D}">
      <dgm:prSet/>
      <dgm:spPr/>
      <dgm:t>
        <a:bodyPr/>
        <a:lstStyle/>
        <a:p>
          <a:endParaRPr lang="en-AU"/>
        </a:p>
      </dgm:t>
    </dgm:pt>
    <dgm:pt modelId="{0A790CA7-F9A4-439F-94BD-DA86B391AFD3}" type="sibTrans" cxnId="{FA6AD6ED-D9E2-4EB7-AB13-8F32FD7E1E6D}">
      <dgm:prSet/>
      <dgm:spPr/>
      <dgm:t>
        <a:bodyPr/>
        <a:lstStyle/>
        <a:p>
          <a:endParaRPr lang="en-AU"/>
        </a:p>
      </dgm:t>
    </dgm:pt>
    <dgm:pt modelId="{C11F86BC-57E6-4351-8665-8C33D0912E49}">
      <dgm:prSet phldrT="[Text]" custT="1"/>
      <dgm:spPr/>
      <dgm:t>
        <a:bodyPr anchor="ctr" anchorCtr="0"/>
        <a:lstStyle/>
        <a:p>
          <a:r>
            <a:rPr lang="en-AU" sz="1200">
              <a:latin typeface="Arial Nova Light" panose="020B0304020202020204" pitchFamily="34" charset="0"/>
            </a:rPr>
            <a:t>Amend the </a:t>
          </a:r>
          <a:r>
            <a:rPr lang="en-AU" sz="1200" i="1">
              <a:latin typeface="Arial Nova Light" panose="020B0304020202020204" pitchFamily="34" charset="0"/>
            </a:rPr>
            <a:t>Residential Tenancy Act </a:t>
          </a:r>
          <a:r>
            <a:rPr lang="en-AU" sz="1200" i="0">
              <a:latin typeface="Arial Nova Light" panose="020B0304020202020204" pitchFamily="34" charset="0"/>
            </a:rPr>
            <a:t>to better protect renters</a:t>
          </a:r>
          <a:endParaRPr lang="en-AU" sz="1200">
            <a:latin typeface="Arial Nova Light" panose="020B0304020202020204" pitchFamily="34" charset="0"/>
          </a:endParaRPr>
        </a:p>
      </dgm:t>
    </dgm:pt>
    <dgm:pt modelId="{352F74FD-131A-4474-9D85-223149289C16}" type="parTrans" cxnId="{19AEDD4C-5161-4A18-930B-0C021FCAFACD}">
      <dgm:prSet/>
      <dgm:spPr/>
      <dgm:t>
        <a:bodyPr/>
        <a:lstStyle/>
        <a:p>
          <a:endParaRPr lang="en-AU"/>
        </a:p>
      </dgm:t>
    </dgm:pt>
    <dgm:pt modelId="{09804B15-0465-4E95-9147-0D68E2FE7720}" type="sibTrans" cxnId="{19AEDD4C-5161-4A18-930B-0C021FCAFACD}">
      <dgm:prSet/>
      <dgm:spPr/>
      <dgm:t>
        <a:bodyPr/>
        <a:lstStyle/>
        <a:p>
          <a:endParaRPr lang="en-AU"/>
        </a:p>
      </dgm:t>
    </dgm:pt>
    <dgm:pt modelId="{365F8F86-5EBE-40F6-B829-25160F22DDCE}">
      <dgm:prSet phldrT="[Text]" custT="1"/>
      <dgm:spPr/>
      <dgm:t>
        <a:bodyPr anchor="ctr" anchorCtr="0"/>
        <a:lstStyle/>
        <a:p>
          <a:r>
            <a:rPr lang="en-AU" sz="1200" i="0">
              <a:latin typeface="Arial Nova Light" panose="020B0304020202020204" pitchFamily="34" charset="0"/>
            </a:rPr>
            <a:t>Expand support provided to renters by the Tenants' Union of Tasmania</a:t>
          </a:r>
        </a:p>
      </dgm:t>
    </dgm:pt>
    <dgm:pt modelId="{5403100D-33E5-4CA8-ACCF-063BFFA88C9C}" type="parTrans" cxnId="{90FA95E7-EBCE-4D89-9F41-56D23FFCC4AE}">
      <dgm:prSet/>
      <dgm:spPr/>
      <dgm:t>
        <a:bodyPr/>
        <a:lstStyle/>
        <a:p>
          <a:endParaRPr lang="en-AU"/>
        </a:p>
      </dgm:t>
    </dgm:pt>
    <dgm:pt modelId="{F835B5D4-5AC5-4BBC-9EB0-721DC51711C8}" type="sibTrans" cxnId="{90FA95E7-EBCE-4D89-9F41-56D23FFCC4AE}">
      <dgm:prSet/>
      <dgm:spPr/>
      <dgm:t>
        <a:bodyPr/>
        <a:lstStyle/>
        <a:p>
          <a:endParaRPr lang="en-AU"/>
        </a:p>
      </dgm:t>
    </dgm:pt>
    <dgm:pt modelId="{CA54AA1F-89F2-455C-91AC-DD535290AABD}">
      <dgm:prSet custT="1"/>
      <dgm:spPr/>
      <dgm:t>
        <a:bodyPr anchor="ctr" anchorCtr="0"/>
        <a:lstStyle/>
        <a:p>
          <a:pPr>
            <a:buClr>
              <a:srgbClr val="FFC000"/>
            </a:buClr>
            <a:buFont typeface="Symbol" panose="05050102010706020507" pitchFamily="18" charset="2"/>
            <a:buChar char=""/>
          </a:pPr>
          <a:r>
            <a:rPr lang="en-AU" sz="1400">
              <a:latin typeface="Montserrat72" panose="00000400000000000000" pitchFamily="2" charset="0"/>
            </a:rPr>
            <a:t>Providing specific supports to assist older Tasmanians navigating the property market</a:t>
          </a:r>
        </a:p>
      </dgm:t>
      <dgm:extLst>
        <a:ext uri="{E40237B7-FDA0-4F09-8148-C483321AD2D9}">
          <dgm14:cNvPr xmlns:dgm14="http://schemas.microsoft.com/office/drawing/2010/diagram" id="0" name="" descr="Providing specific supports to assist older Tasmanians navigating the property market&#10;Assist older people with moving&#10;Fund additional support services to prevent digital exclusion&#10;Fund appropriate supports for people living with hoarding&#10;"/>
        </a:ext>
      </dgm:extLst>
    </dgm:pt>
    <dgm:pt modelId="{31846904-9CBC-484F-9420-9D3D955D6135}" type="parTrans" cxnId="{21F98EE7-7AF5-4D33-84EA-86B15106814A}">
      <dgm:prSet/>
      <dgm:spPr/>
      <dgm:t>
        <a:bodyPr/>
        <a:lstStyle/>
        <a:p>
          <a:endParaRPr lang="en-AU"/>
        </a:p>
      </dgm:t>
    </dgm:pt>
    <dgm:pt modelId="{B26296F1-32F0-4999-B5D6-892BCC846F80}" type="sibTrans" cxnId="{21F98EE7-7AF5-4D33-84EA-86B15106814A}">
      <dgm:prSet/>
      <dgm:spPr/>
      <dgm:t>
        <a:bodyPr/>
        <a:lstStyle/>
        <a:p>
          <a:endParaRPr lang="en-AU"/>
        </a:p>
      </dgm:t>
    </dgm:pt>
    <dgm:pt modelId="{DCC339DA-6B7A-484D-8D39-2A0572C1EF0F}">
      <dgm:prSet custT="1"/>
      <dgm:spPr/>
      <dgm:t>
        <a:bodyPr anchor="ctr" anchorCtr="0"/>
        <a:lstStyle/>
        <a:p>
          <a:r>
            <a:rPr lang="en-AU" sz="1200" i="0">
              <a:latin typeface="Arial Nova Light" panose="020B0304020202020204" pitchFamily="34" charset="0"/>
            </a:rPr>
            <a:t>Assist older people with moving</a:t>
          </a:r>
        </a:p>
      </dgm:t>
    </dgm:pt>
    <dgm:pt modelId="{15C55089-0F26-4001-A30A-5D08AA02FE42}" type="parTrans" cxnId="{B98008D3-47CF-4473-BF75-76878BB7E682}">
      <dgm:prSet/>
      <dgm:spPr/>
      <dgm:t>
        <a:bodyPr/>
        <a:lstStyle/>
        <a:p>
          <a:endParaRPr lang="en-AU"/>
        </a:p>
      </dgm:t>
    </dgm:pt>
    <dgm:pt modelId="{D5946BD0-5D26-4BAB-B839-511DC16CB1B7}" type="sibTrans" cxnId="{B98008D3-47CF-4473-BF75-76878BB7E682}">
      <dgm:prSet/>
      <dgm:spPr/>
      <dgm:t>
        <a:bodyPr/>
        <a:lstStyle/>
        <a:p>
          <a:endParaRPr lang="en-AU"/>
        </a:p>
      </dgm:t>
    </dgm:pt>
    <dgm:pt modelId="{32E080C6-2642-4F6D-89D1-A9A5A86D1ACC}">
      <dgm:prSet custT="1"/>
      <dgm:spPr/>
      <dgm:t>
        <a:bodyPr/>
        <a:lstStyle/>
        <a:p>
          <a:pPr>
            <a:buClr>
              <a:srgbClr val="FFC000"/>
            </a:buClr>
            <a:buFont typeface="Symbol" panose="05050102010706020507" pitchFamily="18" charset="2"/>
            <a:buChar char=""/>
          </a:pPr>
          <a:r>
            <a:rPr lang="en-AU" sz="1400">
              <a:latin typeface="Montserrat72" panose="00000400000000000000" pitchFamily="2" charset="0"/>
            </a:rPr>
            <a:t>Improving housing security and equity for people at higher risk</a:t>
          </a:r>
        </a:p>
      </dgm:t>
      <dgm:extLst>
        <a:ext uri="{E40237B7-FDA0-4F09-8148-C483321AD2D9}">
          <dgm14:cNvPr xmlns:dgm14="http://schemas.microsoft.com/office/drawing/2010/diagram" id="0" name="" descr="Improving housing security and equity for people at higher risk&#10;Deliver targeted increases to Commonwealth Rent Assistance&#10;Lower the pension age &amp; provide fair share of social housing for Aboriginal Tasmanians&#10;Resource effective responses to elder abuse&#10;Provide specific supports for older women and prioritise them for housing&#10;Make superannuation fairer &amp; facilitate fairer property settlements under family law&#10;Deliver Respectful Relationships Education in all Tasmanian schools&#10;"/>
        </a:ext>
      </dgm:extLst>
    </dgm:pt>
    <dgm:pt modelId="{81F15DD8-D165-4477-A164-66AD61DBEA9D}" type="parTrans" cxnId="{7381B4E2-9626-4CE9-BA55-0E643BA334B1}">
      <dgm:prSet/>
      <dgm:spPr/>
      <dgm:t>
        <a:bodyPr/>
        <a:lstStyle/>
        <a:p>
          <a:endParaRPr lang="en-AU"/>
        </a:p>
      </dgm:t>
    </dgm:pt>
    <dgm:pt modelId="{21D9509A-314F-4881-AD26-18469EBFEF81}" type="sibTrans" cxnId="{7381B4E2-9626-4CE9-BA55-0E643BA334B1}">
      <dgm:prSet/>
      <dgm:spPr/>
      <dgm:t>
        <a:bodyPr/>
        <a:lstStyle/>
        <a:p>
          <a:endParaRPr lang="en-AU"/>
        </a:p>
      </dgm:t>
    </dgm:pt>
    <dgm:pt modelId="{34DE1F41-EECA-409B-81CE-9CBCB392F25F}">
      <dgm:prSet custT="1"/>
      <dgm:spPr/>
      <dgm:t>
        <a:bodyPr anchor="ctr" anchorCtr="0"/>
        <a:lstStyle/>
        <a:p>
          <a:r>
            <a:rPr lang="en-AU" sz="1200">
              <a:latin typeface="Arial Nova Light" panose="020B0304020202020204" pitchFamily="34" charset="0"/>
            </a:rPr>
            <a:t>Fund additional support services to prevent digital exclusion</a:t>
          </a:r>
        </a:p>
      </dgm:t>
    </dgm:pt>
    <dgm:pt modelId="{1C09AA64-FE0C-4F6C-B90B-9777845DBD14}" type="parTrans" cxnId="{82B6B3BC-5141-4269-B86D-7ED12D5B35A2}">
      <dgm:prSet/>
      <dgm:spPr/>
      <dgm:t>
        <a:bodyPr/>
        <a:lstStyle/>
        <a:p>
          <a:endParaRPr lang="en-AU"/>
        </a:p>
      </dgm:t>
    </dgm:pt>
    <dgm:pt modelId="{39CF9812-FC4D-4B57-8CD6-7E74DC2D2461}" type="sibTrans" cxnId="{82B6B3BC-5141-4269-B86D-7ED12D5B35A2}">
      <dgm:prSet/>
      <dgm:spPr/>
      <dgm:t>
        <a:bodyPr/>
        <a:lstStyle/>
        <a:p>
          <a:endParaRPr lang="en-AU"/>
        </a:p>
      </dgm:t>
    </dgm:pt>
    <dgm:pt modelId="{A08DA296-9838-4F5B-9CA8-1F5FA4ADC78E}">
      <dgm:prSet custT="1"/>
      <dgm:spPr/>
      <dgm:t>
        <a:bodyPr anchor="ctr" anchorCtr="0"/>
        <a:lstStyle/>
        <a:p>
          <a:r>
            <a:rPr lang="en-AU" sz="1200">
              <a:latin typeface="Arial Nova Light" panose="020B0304020202020204" pitchFamily="34" charset="0"/>
            </a:rPr>
            <a:t>Fund appropriate supports for people living with hoarding</a:t>
          </a:r>
        </a:p>
      </dgm:t>
    </dgm:pt>
    <dgm:pt modelId="{8F9ABD8D-747A-4100-AF0D-AD13455E4F46}" type="parTrans" cxnId="{99037096-7767-4B81-BFAC-5FBBF67CDD48}">
      <dgm:prSet/>
      <dgm:spPr/>
      <dgm:t>
        <a:bodyPr/>
        <a:lstStyle/>
        <a:p>
          <a:endParaRPr lang="en-AU"/>
        </a:p>
      </dgm:t>
    </dgm:pt>
    <dgm:pt modelId="{C1C1D1C1-5284-4DC1-8A4E-3F32A2893FC8}" type="sibTrans" cxnId="{99037096-7767-4B81-BFAC-5FBBF67CDD48}">
      <dgm:prSet/>
      <dgm:spPr/>
      <dgm:t>
        <a:bodyPr/>
        <a:lstStyle/>
        <a:p>
          <a:endParaRPr lang="en-AU"/>
        </a:p>
      </dgm:t>
    </dgm:pt>
    <dgm:pt modelId="{412FA5B1-0D16-4E93-87B1-2EB61CBAA746}">
      <dgm:prSet custT="1"/>
      <dgm:spPr/>
      <dgm:t>
        <a:bodyPr/>
        <a:lstStyle/>
        <a:p>
          <a:pPr>
            <a:buClr>
              <a:srgbClr val="FFC000"/>
            </a:buClr>
            <a:buFont typeface="Symbol" panose="05050102010706020507" pitchFamily="18" charset="2"/>
            <a:buChar char=""/>
          </a:pPr>
          <a:r>
            <a:rPr lang="en-AU" sz="1200" i="0">
              <a:latin typeface="Arial Nova Light" panose="020B0304020202020204" pitchFamily="34" charset="0"/>
            </a:rPr>
            <a:t>Deliver targeted increases to Commonwealth Rent Assistance</a:t>
          </a:r>
        </a:p>
      </dgm:t>
    </dgm:pt>
    <dgm:pt modelId="{71B65B99-CE6F-4CBB-9745-69FCCF473241}" type="parTrans" cxnId="{1C656065-11D1-4FBC-B80E-DE8A312E7865}">
      <dgm:prSet/>
      <dgm:spPr/>
      <dgm:t>
        <a:bodyPr/>
        <a:lstStyle/>
        <a:p>
          <a:endParaRPr lang="en-AU"/>
        </a:p>
      </dgm:t>
    </dgm:pt>
    <dgm:pt modelId="{14AC0032-11BA-49F1-A063-3692599D2742}" type="sibTrans" cxnId="{1C656065-11D1-4FBC-B80E-DE8A312E7865}">
      <dgm:prSet/>
      <dgm:spPr/>
      <dgm:t>
        <a:bodyPr/>
        <a:lstStyle/>
        <a:p>
          <a:endParaRPr lang="en-AU"/>
        </a:p>
      </dgm:t>
    </dgm:pt>
    <dgm:pt modelId="{3105DDD3-73DA-41C5-BC29-F178F89107B8}">
      <dgm:prSet custT="1"/>
      <dgm:spPr/>
      <dgm:t>
        <a:bodyPr/>
        <a:lstStyle/>
        <a:p>
          <a:r>
            <a:rPr lang="en-AU" sz="1200" i="0">
              <a:latin typeface="Arial Nova Light" panose="020B0304020202020204" pitchFamily="34" charset="0"/>
            </a:rPr>
            <a:t>Resource effective responses to elder abuse</a:t>
          </a:r>
        </a:p>
      </dgm:t>
    </dgm:pt>
    <dgm:pt modelId="{8AC5DD0D-3AC8-4D8C-9E69-D8F15985964E}" type="parTrans" cxnId="{BD442E24-047F-432F-8C37-797767B42D88}">
      <dgm:prSet/>
      <dgm:spPr/>
      <dgm:t>
        <a:bodyPr/>
        <a:lstStyle/>
        <a:p>
          <a:endParaRPr lang="en-AU"/>
        </a:p>
      </dgm:t>
    </dgm:pt>
    <dgm:pt modelId="{F60E8450-126B-44C3-8E1E-D235EFE68512}" type="sibTrans" cxnId="{BD442E24-047F-432F-8C37-797767B42D88}">
      <dgm:prSet/>
      <dgm:spPr/>
      <dgm:t>
        <a:bodyPr/>
        <a:lstStyle/>
        <a:p>
          <a:endParaRPr lang="en-AU"/>
        </a:p>
      </dgm:t>
    </dgm:pt>
    <dgm:pt modelId="{315C4C6E-E731-4768-A190-92EC9D750530}">
      <dgm:prSet custT="1"/>
      <dgm:spPr/>
      <dgm:t>
        <a:bodyPr/>
        <a:lstStyle/>
        <a:p>
          <a:r>
            <a:rPr lang="en-AU" sz="1200" i="0">
              <a:latin typeface="Arial Nova Light" panose="020B0304020202020204" pitchFamily="34" charset="0"/>
            </a:rPr>
            <a:t>Make superannuation fairer &amp; facilitate fairer property settlements under family law</a:t>
          </a:r>
        </a:p>
      </dgm:t>
    </dgm:pt>
    <dgm:pt modelId="{DD0B9CAF-9792-4D82-923C-FB988A3CC92D}" type="parTrans" cxnId="{AA3DFF96-2992-4B3F-B7AF-2BFC3F497CED}">
      <dgm:prSet/>
      <dgm:spPr/>
      <dgm:t>
        <a:bodyPr/>
        <a:lstStyle/>
        <a:p>
          <a:endParaRPr lang="en-AU"/>
        </a:p>
      </dgm:t>
    </dgm:pt>
    <dgm:pt modelId="{BD07EFEF-2EA1-49DF-BC45-2CDEAFB7E855}" type="sibTrans" cxnId="{AA3DFF96-2992-4B3F-B7AF-2BFC3F497CED}">
      <dgm:prSet/>
      <dgm:spPr/>
      <dgm:t>
        <a:bodyPr/>
        <a:lstStyle/>
        <a:p>
          <a:endParaRPr lang="en-AU"/>
        </a:p>
      </dgm:t>
    </dgm:pt>
    <dgm:pt modelId="{5283CC87-F106-4D19-B0B6-4E9BEF517C4B}">
      <dgm:prSet custT="1"/>
      <dgm:spPr/>
      <dgm:t>
        <a:bodyPr/>
        <a:lstStyle/>
        <a:p>
          <a:r>
            <a:rPr lang="en-AU" sz="1200" i="0">
              <a:latin typeface="Arial Nova Light" panose="020B0304020202020204" pitchFamily="34" charset="0"/>
            </a:rPr>
            <a:t>Deliver Respectful Relationships Education in all Tasmanian schools</a:t>
          </a:r>
        </a:p>
      </dgm:t>
    </dgm:pt>
    <dgm:pt modelId="{97149879-5416-4FF5-BB3D-F212962E8C7C}" type="parTrans" cxnId="{2369D833-1252-4C5F-A4B9-ED1B8C36666B}">
      <dgm:prSet/>
      <dgm:spPr/>
      <dgm:t>
        <a:bodyPr/>
        <a:lstStyle/>
        <a:p>
          <a:endParaRPr lang="en-AU"/>
        </a:p>
      </dgm:t>
    </dgm:pt>
    <dgm:pt modelId="{79BC4F18-D03A-436C-B16C-9F67245B4D31}" type="sibTrans" cxnId="{2369D833-1252-4C5F-A4B9-ED1B8C36666B}">
      <dgm:prSet/>
      <dgm:spPr/>
      <dgm:t>
        <a:bodyPr/>
        <a:lstStyle/>
        <a:p>
          <a:endParaRPr lang="en-AU"/>
        </a:p>
      </dgm:t>
    </dgm:pt>
    <dgm:pt modelId="{0DC00948-EACA-488A-86B0-6E226EE2CCDD}">
      <dgm:prSet phldrT="[Text]" custT="1"/>
      <dgm:spPr/>
      <dgm:t>
        <a:bodyPr anchor="ctr" anchorCtr="0"/>
        <a:lstStyle/>
        <a:p>
          <a:r>
            <a:rPr lang="en-AU" sz="1200">
              <a:latin typeface="Arial Nova Light" panose="020B0304020202020204" pitchFamily="34" charset="0"/>
            </a:rPr>
            <a:t>Create an independent intermediary between renters and landlords</a:t>
          </a:r>
        </a:p>
      </dgm:t>
    </dgm:pt>
    <dgm:pt modelId="{30571732-0BE2-4C0C-8FDF-532A01A79250}" type="parTrans" cxnId="{A023D5EB-C455-403C-AF6B-2F80BAC9DA7E}">
      <dgm:prSet/>
      <dgm:spPr/>
      <dgm:t>
        <a:bodyPr/>
        <a:lstStyle/>
        <a:p>
          <a:endParaRPr lang="en-AU"/>
        </a:p>
      </dgm:t>
    </dgm:pt>
    <dgm:pt modelId="{910B1B35-1DDE-4BAD-AC4C-1D0BC64455B9}" type="sibTrans" cxnId="{A023D5EB-C455-403C-AF6B-2F80BAC9DA7E}">
      <dgm:prSet/>
      <dgm:spPr/>
      <dgm:t>
        <a:bodyPr/>
        <a:lstStyle/>
        <a:p>
          <a:endParaRPr lang="en-AU"/>
        </a:p>
      </dgm:t>
    </dgm:pt>
    <dgm:pt modelId="{FBA46D6F-305D-4AAE-B68D-73B91D72FFE3}">
      <dgm:prSet custT="1"/>
      <dgm:spPr/>
      <dgm:t>
        <a:bodyPr/>
        <a:lstStyle/>
        <a:p>
          <a:pPr>
            <a:buClr>
              <a:srgbClr val="FFC000"/>
            </a:buClr>
            <a:buFont typeface="Symbol" panose="05050102010706020507" pitchFamily="18" charset="2"/>
            <a:buChar char=""/>
          </a:pPr>
          <a:r>
            <a:rPr lang="en-AU" sz="1200" i="0">
              <a:latin typeface="Arial Nova Light" panose="020B0304020202020204" pitchFamily="34" charset="0"/>
            </a:rPr>
            <a:t>Lower the pension age &amp; provide fair share of social housing for Aboriginal Tasmanians</a:t>
          </a:r>
        </a:p>
      </dgm:t>
    </dgm:pt>
    <dgm:pt modelId="{67A8A46B-6B47-4A87-B4F4-5CFD1BA324AE}" type="parTrans" cxnId="{B69BA418-7A19-4601-9088-406921EB098E}">
      <dgm:prSet/>
      <dgm:spPr/>
      <dgm:t>
        <a:bodyPr/>
        <a:lstStyle/>
        <a:p>
          <a:endParaRPr lang="en-AU"/>
        </a:p>
      </dgm:t>
    </dgm:pt>
    <dgm:pt modelId="{D08C23D3-B557-43A2-8524-0852B0F51AF9}" type="sibTrans" cxnId="{B69BA418-7A19-4601-9088-406921EB098E}">
      <dgm:prSet/>
      <dgm:spPr/>
      <dgm:t>
        <a:bodyPr/>
        <a:lstStyle/>
        <a:p>
          <a:endParaRPr lang="en-AU"/>
        </a:p>
      </dgm:t>
    </dgm:pt>
    <dgm:pt modelId="{FB3A0CEF-0B16-4FAB-B0EE-1BAB4EAE7077}">
      <dgm:prSet custT="1"/>
      <dgm:spPr/>
      <dgm:t>
        <a:bodyPr/>
        <a:lstStyle/>
        <a:p>
          <a:r>
            <a:rPr lang="en-AU" sz="1200" i="0">
              <a:latin typeface="Arial Nova Light" panose="020B0304020202020204" pitchFamily="34" charset="0"/>
            </a:rPr>
            <a:t>Provide specific supports for older women and prioritise them for housing</a:t>
          </a:r>
        </a:p>
      </dgm:t>
    </dgm:pt>
    <dgm:pt modelId="{852BBC58-0DDB-4205-ADF9-CF8C7E8E516A}" type="parTrans" cxnId="{8687AB2A-1279-430B-98B7-1BA0BC6AEDF0}">
      <dgm:prSet/>
      <dgm:spPr/>
      <dgm:t>
        <a:bodyPr/>
        <a:lstStyle/>
        <a:p>
          <a:endParaRPr lang="en-AU"/>
        </a:p>
      </dgm:t>
    </dgm:pt>
    <dgm:pt modelId="{7A87666F-A871-451E-8968-E9194F832FF9}" type="sibTrans" cxnId="{8687AB2A-1279-430B-98B7-1BA0BC6AEDF0}">
      <dgm:prSet/>
      <dgm:spPr/>
      <dgm:t>
        <a:bodyPr/>
        <a:lstStyle/>
        <a:p>
          <a:endParaRPr lang="en-AU"/>
        </a:p>
      </dgm:t>
    </dgm:pt>
    <dgm:pt modelId="{12FD7D67-8E25-4943-BA09-EACFDFAAE9C4}" type="pres">
      <dgm:prSet presAssocID="{DE0D766B-FB08-4E8E-B9D3-22DEB5351B68}" presName="linear" presStyleCnt="0">
        <dgm:presLayoutVars>
          <dgm:dir/>
          <dgm:resizeHandles val="exact"/>
        </dgm:presLayoutVars>
      </dgm:prSet>
      <dgm:spPr/>
    </dgm:pt>
    <dgm:pt modelId="{A43233B6-3EF4-4EF5-B275-C51E3C6B6588}" type="pres">
      <dgm:prSet presAssocID="{A414963F-CEBA-494F-BEE6-307E3AF2F264}" presName="comp" presStyleCnt="0"/>
      <dgm:spPr/>
    </dgm:pt>
    <dgm:pt modelId="{9DEC4824-62CC-4BEA-94CA-5254F18ACBF4}" type="pres">
      <dgm:prSet presAssocID="{A414963F-CEBA-494F-BEE6-307E3AF2F264}" presName="box" presStyleLbl="node1" presStyleIdx="0" presStyleCnt="5" custScaleY="78051" custLinFactNeighborX="-2599" custLinFactNeighborY="1867"/>
      <dgm:spPr/>
    </dgm:pt>
    <dgm:pt modelId="{A31012F8-C227-46A0-B3E8-A9603E0CD155}" type="pres">
      <dgm:prSet presAssocID="{A414963F-CEBA-494F-BEE6-307E3AF2F264}" presName="img" presStyleLbl="fgImgPlace1" presStyleIdx="0" presStyleCnt="5" custScaleX="99361" custScaleY="61387" custLinFactNeighborY="2580"/>
      <dgm:spPr>
        <a:blipFill>
          <a:blip xmlns:r="http://schemas.openxmlformats.org/officeDocument/2006/relationships" r:embed="rId1">
            <a:extLst>
              <a:ext uri="{28A0092B-C50C-407E-A947-70E740481C1C}">
                <a14:useLocalDpi xmlns:a14="http://schemas.microsoft.com/office/drawing/2010/main" val="0"/>
              </a:ext>
            </a:extLst>
          </a:blip>
          <a:srcRect/>
          <a:stretch>
            <a:fillRect t="-10000" b="-10000"/>
          </a:stretch>
        </a:blipFill>
      </dgm:spPr>
    </dgm:pt>
    <dgm:pt modelId="{F9D7A435-47F2-4FBA-B59A-97890AB1DC28}" type="pres">
      <dgm:prSet presAssocID="{A414963F-CEBA-494F-BEE6-307E3AF2F264}" presName="text" presStyleLbl="node1" presStyleIdx="0" presStyleCnt="5">
        <dgm:presLayoutVars>
          <dgm:bulletEnabled val="1"/>
        </dgm:presLayoutVars>
      </dgm:prSet>
      <dgm:spPr/>
    </dgm:pt>
    <dgm:pt modelId="{FCEF7592-0982-476A-827F-5E224A1F9FCD}" type="pres">
      <dgm:prSet presAssocID="{885346D3-A64E-48D4-A8CE-0D3E70B6B5E9}" presName="spacer" presStyleCnt="0"/>
      <dgm:spPr/>
    </dgm:pt>
    <dgm:pt modelId="{5B199048-C7E2-400A-BD6D-7339015E37EA}" type="pres">
      <dgm:prSet presAssocID="{27B6B9C6-E657-442B-B4EC-C27933447F86}" presName="comp" presStyleCnt="0"/>
      <dgm:spPr/>
    </dgm:pt>
    <dgm:pt modelId="{A3A965DD-23D8-442F-A8B1-3F3B1B69C819}" type="pres">
      <dgm:prSet presAssocID="{27B6B9C6-E657-442B-B4EC-C27933447F86}" presName="box" presStyleLbl="node1" presStyleIdx="1" presStyleCnt="5" custScaleY="71595" custLinFactNeighborY="-7038"/>
      <dgm:spPr/>
    </dgm:pt>
    <dgm:pt modelId="{05586DC3-BB75-4425-9C61-A24B607D2B83}" type="pres">
      <dgm:prSet presAssocID="{27B6B9C6-E657-442B-B4EC-C27933447F86}" presName="img" presStyleLbl="fgImgPlace1" presStyleIdx="1" presStyleCnt="5" custScaleY="56632" custLinFactNeighborY="-7746"/>
      <dgm:spPr>
        <a:blipFill>
          <a:blip xmlns:r="http://schemas.openxmlformats.org/officeDocument/2006/relationships" r:embed="rId2">
            <a:extLst>
              <a:ext uri="{28A0092B-C50C-407E-A947-70E740481C1C}">
                <a14:useLocalDpi xmlns:a14="http://schemas.microsoft.com/office/drawing/2010/main" val="0"/>
              </a:ext>
            </a:extLst>
          </a:blip>
          <a:srcRect/>
          <a:stretch>
            <a:fillRect t="-15000" b="-15000"/>
          </a:stretch>
        </a:blipFill>
      </dgm:spPr>
    </dgm:pt>
    <dgm:pt modelId="{28B775A4-210B-4A76-B050-9DC54CB23FC5}" type="pres">
      <dgm:prSet presAssocID="{27B6B9C6-E657-442B-B4EC-C27933447F86}" presName="text" presStyleLbl="node1" presStyleIdx="1" presStyleCnt="5">
        <dgm:presLayoutVars>
          <dgm:bulletEnabled val="1"/>
        </dgm:presLayoutVars>
      </dgm:prSet>
      <dgm:spPr/>
    </dgm:pt>
    <dgm:pt modelId="{DD2C4DB1-7151-4DEA-B286-0B8E15586B83}" type="pres">
      <dgm:prSet presAssocID="{6EB3CEAA-E5B7-47BE-B3B6-9C29CBDB0234}" presName="spacer" presStyleCnt="0"/>
      <dgm:spPr/>
    </dgm:pt>
    <dgm:pt modelId="{CEF96BD8-2EA7-479A-9F9A-8889BC24D259}" type="pres">
      <dgm:prSet presAssocID="{6E6E93B0-98F6-4920-BCC8-9C07CBEB9392}" presName="comp" presStyleCnt="0"/>
      <dgm:spPr/>
    </dgm:pt>
    <dgm:pt modelId="{9BC74816-AA26-409B-AB55-11B08F5CBBDB}" type="pres">
      <dgm:prSet presAssocID="{6E6E93B0-98F6-4920-BCC8-9C07CBEB9392}" presName="box" presStyleLbl="node1" presStyleIdx="2" presStyleCnt="5" custScaleY="66992" custLinFactNeighborY="-15631"/>
      <dgm:spPr/>
    </dgm:pt>
    <dgm:pt modelId="{662451FC-1A4C-48D3-AE57-B4F3E4FD4C7D}" type="pres">
      <dgm:prSet presAssocID="{6E6E93B0-98F6-4920-BCC8-9C07CBEB9392}" presName="img" presStyleLbl="fgImgPlace1" presStyleIdx="2" presStyleCnt="5" custScaleY="57918" custLinFactNeighborY="-19301"/>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t="-9000" b="-9000"/>
          </a:stretch>
        </a:blipFill>
      </dgm:spPr>
    </dgm:pt>
    <dgm:pt modelId="{C714E330-8B07-4ACB-B513-AD06D4DF7567}" type="pres">
      <dgm:prSet presAssocID="{6E6E93B0-98F6-4920-BCC8-9C07CBEB9392}" presName="text" presStyleLbl="node1" presStyleIdx="2" presStyleCnt="5">
        <dgm:presLayoutVars>
          <dgm:bulletEnabled val="1"/>
        </dgm:presLayoutVars>
      </dgm:prSet>
      <dgm:spPr/>
    </dgm:pt>
    <dgm:pt modelId="{F10C5B82-B56A-4B17-8D46-F2E13329A95D}" type="pres">
      <dgm:prSet presAssocID="{0A790CA7-F9A4-439F-94BD-DA86B391AFD3}" presName="spacer" presStyleCnt="0"/>
      <dgm:spPr/>
    </dgm:pt>
    <dgm:pt modelId="{C80DCB82-308B-4C80-A10C-B8382E21E7F7}" type="pres">
      <dgm:prSet presAssocID="{CA54AA1F-89F2-455C-91AC-DD535290AABD}" presName="comp" presStyleCnt="0"/>
      <dgm:spPr/>
    </dgm:pt>
    <dgm:pt modelId="{EA1E59E7-8218-4AD9-933B-8F556EB496D6}" type="pres">
      <dgm:prSet presAssocID="{CA54AA1F-89F2-455C-91AC-DD535290AABD}" presName="box" presStyleLbl="node1" presStyleIdx="3" presStyleCnt="5" custScaleY="69548" custLinFactNeighborY="-24044"/>
      <dgm:spPr/>
    </dgm:pt>
    <dgm:pt modelId="{60A9DA37-987C-4773-BE4D-6767A7064F3E}" type="pres">
      <dgm:prSet presAssocID="{CA54AA1F-89F2-455C-91AC-DD535290AABD}" presName="img" presStyleLbl="fgImgPlace1" presStyleIdx="3" presStyleCnt="5" custScaleY="74066" custLinFactNeighborY="-29937"/>
      <dgm:spPr>
        <a:blipFill>
          <a:blip xmlns:r="http://schemas.openxmlformats.org/officeDocument/2006/relationships" r:embed="rId4" cstate="print">
            <a:extLst>
              <a:ext uri="{28A0092B-C50C-407E-A947-70E740481C1C}">
                <a14:useLocalDpi xmlns:a14="http://schemas.microsoft.com/office/drawing/2010/main" val="0"/>
              </a:ext>
            </a:extLst>
          </a:blip>
          <a:srcRect/>
          <a:stretch>
            <a:fillRect l="-3000" r="-3000"/>
          </a:stretch>
        </a:blipFill>
      </dgm:spPr>
    </dgm:pt>
    <dgm:pt modelId="{C74CA8EC-68EE-49AB-89F0-6ABDA540662F}" type="pres">
      <dgm:prSet presAssocID="{CA54AA1F-89F2-455C-91AC-DD535290AABD}" presName="text" presStyleLbl="node1" presStyleIdx="3" presStyleCnt="5">
        <dgm:presLayoutVars>
          <dgm:bulletEnabled val="1"/>
        </dgm:presLayoutVars>
      </dgm:prSet>
      <dgm:spPr/>
    </dgm:pt>
    <dgm:pt modelId="{C9EE0B9B-89D7-41E9-B546-BA8451FA72B0}" type="pres">
      <dgm:prSet presAssocID="{B26296F1-32F0-4999-B5D6-892BCC846F80}" presName="spacer" presStyleCnt="0"/>
      <dgm:spPr/>
    </dgm:pt>
    <dgm:pt modelId="{F632564E-031B-4505-9484-E198D1BBBB40}" type="pres">
      <dgm:prSet presAssocID="{32E080C6-2642-4F6D-89D1-A9A5A86D1ACC}" presName="comp" presStyleCnt="0"/>
      <dgm:spPr/>
    </dgm:pt>
    <dgm:pt modelId="{0179A7FB-8DC5-46C0-80F6-050151095898}" type="pres">
      <dgm:prSet presAssocID="{32E080C6-2642-4F6D-89D1-A9A5A86D1ACC}" presName="box" presStyleLbl="node1" presStyleIdx="4" presStyleCnt="5" custScaleY="155410" custLinFactNeighborX="312" custLinFactNeighborY="-32614"/>
      <dgm:spPr/>
    </dgm:pt>
    <dgm:pt modelId="{647A2E14-ED28-4858-AE94-6190288B8492}" type="pres">
      <dgm:prSet presAssocID="{32E080C6-2642-4F6D-89D1-A9A5A86D1ACC}" presName="img" presStyleLbl="fgImgPlace1" presStyleIdx="4" presStyleCnt="5" custScaleY="70973" custLinFactNeighborY="-45506"/>
      <dgm:spPr>
        <a:blipFill>
          <a:blip xmlns:r="http://schemas.openxmlformats.org/officeDocument/2006/relationships" r:embed="rId5" cstate="print">
            <a:extLst>
              <a:ext uri="{28A0092B-C50C-407E-A947-70E740481C1C}">
                <a14:useLocalDpi xmlns:a14="http://schemas.microsoft.com/office/drawing/2010/main" val="0"/>
              </a:ext>
            </a:extLst>
          </a:blip>
          <a:srcRect/>
          <a:stretch>
            <a:fillRect l="-1000" r="-1000"/>
          </a:stretch>
        </a:blipFill>
      </dgm:spPr>
    </dgm:pt>
    <dgm:pt modelId="{5FF7A4A7-88BB-4E79-9688-A1E6A9717A1C}" type="pres">
      <dgm:prSet presAssocID="{32E080C6-2642-4F6D-89D1-A9A5A86D1ACC}" presName="text" presStyleLbl="node1" presStyleIdx="4" presStyleCnt="5">
        <dgm:presLayoutVars>
          <dgm:bulletEnabled val="1"/>
        </dgm:presLayoutVars>
      </dgm:prSet>
      <dgm:spPr/>
    </dgm:pt>
  </dgm:ptLst>
  <dgm:cxnLst>
    <dgm:cxn modelId="{996B9600-01B1-45EB-8DBE-CB750E6F48B9}" type="presOf" srcId="{412FA5B1-0D16-4E93-87B1-2EB61CBAA746}" destId="{0179A7FB-8DC5-46C0-80F6-050151095898}" srcOrd="0" destOrd="1" presId="urn:microsoft.com/office/officeart/2005/8/layout/vList4"/>
    <dgm:cxn modelId="{92B22A05-1A5D-4A84-85F4-DE11D69FB1AB}" type="presOf" srcId="{FBA46D6F-305D-4AAE-B68D-73B91D72FFE3}" destId="{0179A7FB-8DC5-46C0-80F6-050151095898}" srcOrd="0" destOrd="2" presId="urn:microsoft.com/office/officeart/2005/8/layout/vList4"/>
    <dgm:cxn modelId="{529A9D09-0383-4800-83E1-EA2EFF37FC66}" type="presOf" srcId="{A414963F-CEBA-494F-BEE6-307E3AF2F264}" destId="{9DEC4824-62CC-4BEA-94CA-5254F18ACBF4}" srcOrd="0" destOrd="0" presId="urn:microsoft.com/office/officeart/2005/8/layout/vList4"/>
    <dgm:cxn modelId="{27FFCA0E-3075-419A-BDB6-9A8976F255D4}" type="presOf" srcId="{C65B469F-6591-407E-A56E-1F01DFA8BD8B}" destId="{A3A965DD-23D8-442F-A8B1-3F3B1B69C819}" srcOrd="0" destOrd="1" presId="urn:microsoft.com/office/officeart/2005/8/layout/vList4"/>
    <dgm:cxn modelId="{B9595A13-B5CE-484C-BFB0-8ACFCE16A43B}" type="presOf" srcId="{5283CC87-F106-4D19-B0B6-4E9BEF517C4B}" destId="{5FF7A4A7-88BB-4E79-9688-A1E6A9717A1C}" srcOrd="1" destOrd="6" presId="urn:microsoft.com/office/officeart/2005/8/layout/vList4"/>
    <dgm:cxn modelId="{3056CC16-FFBE-4F62-8B41-6FF72D104A1C}" type="presOf" srcId="{F71C99C0-4F9E-407C-A7BD-594F654DE103}" destId="{F9D7A435-47F2-4FBA-B59A-97890AB1DC28}" srcOrd="1" destOrd="2" presId="urn:microsoft.com/office/officeart/2005/8/layout/vList4"/>
    <dgm:cxn modelId="{B69BA418-7A19-4601-9088-406921EB098E}" srcId="{32E080C6-2642-4F6D-89D1-A9A5A86D1ACC}" destId="{FBA46D6F-305D-4AAE-B68D-73B91D72FFE3}" srcOrd="1" destOrd="0" parTransId="{67A8A46B-6B47-4A87-B4F4-5CFD1BA324AE}" sibTransId="{D08C23D3-B557-43A2-8524-0852B0F51AF9}"/>
    <dgm:cxn modelId="{5E82531F-4FBE-4F34-BA97-AAE597422417}" srcId="{A414963F-CEBA-494F-BEE6-307E3AF2F264}" destId="{F433EC38-C04E-4367-B6BF-5763860B7849}" srcOrd="0" destOrd="0" parTransId="{3C3D4FBE-4131-4CD8-8159-B708BBF7E57D}" sibTransId="{F457D1B3-B4AB-44BD-A483-68AB6AE0C7AF}"/>
    <dgm:cxn modelId="{39902820-8974-4709-A546-3612C1402276}" type="presOf" srcId="{F71C99C0-4F9E-407C-A7BD-594F654DE103}" destId="{9DEC4824-62CC-4BEA-94CA-5254F18ACBF4}" srcOrd="0" destOrd="2" presId="urn:microsoft.com/office/officeart/2005/8/layout/vList4"/>
    <dgm:cxn modelId="{BD442E24-047F-432F-8C37-797767B42D88}" srcId="{32E080C6-2642-4F6D-89D1-A9A5A86D1ACC}" destId="{3105DDD3-73DA-41C5-BC29-F178F89107B8}" srcOrd="2" destOrd="0" parTransId="{8AC5DD0D-3AC8-4D8C-9E69-D8F15985964E}" sibTransId="{F60E8450-126B-44C3-8E1E-D235EFE68512}"/>
    <dgm:cxn modelId="{1B13C328-23F5-409F-B23A-83FBE1DD0C27}" type="presOf" srcId="{447BF39F-41C7-484A-B4A0-DBF6174B4D9C}" destId="{28B775A4-210B-4A76-B050-9DC54CB23FC5}" srcOrd="1" destOrd="2" presId="urn:microsoft.com/office/officeart/2005/8/layout/vList4"/>
    <dgm:cxn modelId="{8687AB2A-1279-430B-98B7-1BA0BC6AEDF0}" srcId="{32E080C6-2642-4F6D-89D1-A9A5A86D1ACC}" destId="{FB3A0CEF-0B16-4FAB-B0EE-1BAB4EAE7077}" srcOrd="3" destOrd="0" parTransId="{852BBC58-0DDB-4205-ADF9-CF8C7E8E516A}" sibTransId="{7A87666F-A871-451E-8968-E9194F832FF9}"/>
    <dgm:cxn modelId="{3C36C92D-C874-4E25-88CD-1AE7EFEE097D}" type="presOf" srcId="{34DE1F41-EECA-409B-81CE-9CBCB392F25F}" destId="{C74CA8EC-68EE-49AB-89F0-6ABDA540662F}" srcOrd="1" destOrd="2" presId="urn:microsoft.com/office/officeart/2005/8/layout/vList4"/>
    <dgm:cxn modelId="{0CC97131-D3F3-48D6-925E-9B88DA331209}" srcId="{DE0D766B-FB08-4E8E-B9D3-22DEB5351B68}" destId="{A414963F-CEBA-494F-BEE6-307E3AF2F264}" srcOrd="0" destOrd="0" parTransId="{D29F0713-FD75-466A-8587-E550C98FB7B6}" sibTransId="{885346D3-A64E-48D4-A8CE-0D3E70B6B5E9}"/>
    <dgm:cxn modelId="{2369D833-1252-4C5F-A4B9-ED1B8C36666B}" srcId="{32E080C6-2642-4F6D-89D1-A9A5A86D1ACC}" destId="{5283CC87-F106-4D19-B0B6-4E9BEF517C4B}" srcOrd="5" destOrd="0" parTransId="{97149879-5416-4FF5-BB3D-F212962E8C7C}" sibTransId="{79BC4F18-D03A-436C-B16C-9F67245B4D31}"/>
    <dgm:cxn modelId="{50391136-92F5-433F-87D2-4EAEC10F4BB3}" type="presOf" srcId="{C11F86BC-57E6-4351-8665-8C33D0912E49}" destId="{C714E330-8B07-4ACB-B513-AD06D4DF7567}" srcOrd="1" destOrd="1" presId="urn:microsoft.com/office/officeart/2005/8/layout/vList4"/>
    <dgm:cxn modelId="{87CED33A-28DC-4F5D-8EC4-013D7BAB3538}" type="presOf" srcId="{315C4C6E-E731-4768-A190-92EC9D750530}" destId="{0179A7FB-8DC5-46C0-80F6-050151095898}" srcOrd="0" destOrd="5" presId="urn:microsoft.com/office/officeart/2005/8/layout/vList4"/>
    <dgm:cxn modelId="{003D0E3C-EF81-4F48-8606-636397E7C677}" type="presOf" srcId="{F433EC38-C04E-4367-B6BF-5763860B7849}" destId="{F9D7A435-47F2-4FBA-B59A-97890AB1DC28}" srcOrd="1" destOrd="1" presId="urn:microsoft.com/office/officeart/2005/8/layout/vList4"/>
    <dgm:cxn modelId="{E8D9E55C-2249-4A2F-BED6-8ECADB5B28D6}" type="presOf" srcId="{C65B469F-6591-407E-A56E-1F01DFA8BD8B}" destId="{28B775A4-210B-4A76-B050-9DC54CB23FC5}" srcOrd="1" destOrd="1" presId="urn:microsoft.com/office/officeart/2005/8/layout/vList4"/>
    <dgm:cxn modelId="{D351E461-AF52-48BF-8E9D-C8A356009FD7}" type="presOf" srcId="{F433EC38-C04E-4367-B6BF-5763860B7849}" destId="{9DEC4824-62CC-4BEA-94CA-5254F18ACBF4}" srcOrd="0" destOrd="1" presId="urn:microsoft.com/office/officeart/2005/8/layout/vList4"/>
    <dgm:cxn modelId="{1C656065-11D1-4FBC-B80E-DE8A312E7865}" srcId="{32E080C6-2642-4F6D-89D1-A9A5A86D1ACC}" destId="{412FA5B1-0D16-4E93-87B1-2EB61CBAA746}" srcOrd="0" destOrd="0" parTransId="{71B65B99-CE6F-4CBB-9745-69FCCF473241}" sibTransId="{14AC0032-11BA-49F1-A063-3692599D2742}"/>
    <dgm:cxn modelId="{A21E6769-52F3-4C62-B9B8-2B0A21FD13AE}" type="presOf" srcId="{34DE1F41-EECA-409B-81CE-9CBCB392F25F}" destId="{EA1E59E7-8218-4AD9-933B-8F556EB496D6}" srcOrd="0" destOrd="2" presId="urn:microsoft.com/office/officeart/2005/8/layout/vList4"/>
    <dgm:cxn modelId="{19AEDD4C-5161-4A18-930B-0C021FCAFACD}" srcId="{6E6E93B0-98F6-4920-BCC8-9C07CBEB9392}" destId="{C11F86BC-57E6-4351-8665-8C33D0912E49}" srcOrd="0" destOrd="0" parTransId="{352F74FD-131A-4474-9D85-223149289C16}" sibTransId="{09804B15-0465-4E95-9147-0D68E2FE7720}"/>
    <dgm:cxn modelId="{7EA91A4F-B201-4832-99EF-CCC484771A60}" type="presOf" srcId="{FB3A0CEF-0B16-4FAB-B0EE-1BAB4EAE7077}" destId="{0179A7FB-8DC5-46C0-80F6-050151095898}" srcOrd="0" destOrd="4" presId="urn:microsoft.com/office/officeart/2005/8/layout/vList4"/>
    <dgm:cxn modelId="{01DE1A76-1D24-4AB4-9ACE-2EDF307EC392}" type="presOf" srcId="{6E6E93B0-98F6-4920-BCC8-9C07CBEB9392}" destId="{C714E330-8B07-4ACB-B513-AD06D4DF7567}" srcOrd="1" destOrd="0" presId="urn:microsoft.com/office/officeart/2005/8/layout/vList4"/>
    <dgm:cxn modelId="{D96B1C59-2015-4E8F-9F04-5AD017D431E8}" type="presOf" srcId="{0DC00948-EACA-488A-86B0-6E226EE2CCDD}" destId="{C714E330-8B07-4ACB-B513-AD06D4DF7567}" srcOrd="1" destOrd="2" presId="urn:microsoft.com/office/officeart/2005/8/layout/vList4"/>
    <dgm:cxn modelId="{B9D95C7C-C4BF-49F3-9736-08CBA3F391FD}" type="presOf" srcId="{A08DA296-9838-4F5B-9CA8-1F5FA4ADC78E}" destId="{EA1E59E7-8218-4AD9-933B-8F556EB496D6}" srcOrd="0" destOrd="3" presId="urn:microsoft.com/office/officeart/2005/8/layout/vList4"/>
    <dgm:cxn modelId="{9726B77E-63D5-431D-B083-A024CB94B9F3}" type="presOf" srcId="{DCC339DA-6B7A-484D-8D39-2A0572C1EF0F}" destId="{C74CA8EC-68EE-49AB-89F0-6ABDA540662F}" srcOrd="1" destOrd="1" presId="urn:microsoft.com/office/officeart/2005/8/layout/vList4"/>
    <dgm:cxn modelId="{1FD4EA84-0527-453D-8990-5555B3716918}" srcId="{27B6B9C6-E657-442B-B4EC-C27933447F86}" destId="{C65B469F-6591-407E-A56E-1F01DFA8BD8B}" srcOrd="0" destOrd="0" parTransId="{D913752D-619D-4729-BA84-DC990A99A288}" sibTransId="{9D31B77E-9F81-42FB-8D4D-F264BFB9E5D3}"/>
    <dgm:cxn modelId="{6C3CF888-09A4-4504-B3D9-493C9C9217B9}" type="presOf" srcId="{FBA46D6F-305D-4AAE-B68D-73B91D72FFE3}" destId="{5FF7A4A7-88BB-4E79-9688-A1E6A9717A1C}" srcOrd="1" destOrd="2" presId="urn:microsoft.com/office/officeart/2005/8/layout/vList4"/>
    <dgm:cxn modelId="{55007489-C96E-4493-9632-CE564EE9416A}" type="presOf" srcId="{0DC00948-EACA-488A-86B0-6E226EE2CCDD}" destId="{9BC74816-AA26-409B-AB55-11B08F5CBBDB}" srcOrd="0" destOrd="2" presId="urn:microsoft.com/office/officeart/2005/8/layout/vList4"/>
    <dgm:cxn modelId="{78F2118A-EB9F-49D7-8A41-C6A73429A1DA}" srcId="{27B6B9C6-E657-442B-B4EC-C27933447F86}" destId="{447BF39F-41C7-484A-B4A0-DBF6174B4D9C}" srcOrd="1" destOrd="0" parTransId="{92A0DF24-0C06-43B8-8EE5-FD3A38A95A2C}" sibTransId="{6242E02D-1DBC-463F-ADEC-2BD8AF93A1E0}"/>
    <dgm:cxn modelId="{064C338D-E510-4E01-8618-E4E49B86BDA1}" srcId="{A414963F-CEBA-494F-BEE6-307E3AF2F264}" destId="{F71C99C0-4F9E-407C-A7BD-594F654DE103}" srcOrd="1" destOrd="0" parTransId="{01F46A1E-C4E3-4BD1-B23F-F8C900A320DE}" sibTransId="{749FBEEA-54D4-4232-8707-E130B6FD7D85}"/>
    <dgm:cxn modelId="{4EADAC8D-FB53-4F77-A2CA-20C3734465BB}" type="presOf" srcId="{A08DA296-9838-4F5B-9CA8-1F5FA4ADC78E}" destId="{C74CA8EC-68EE-49AB-89F0-6ABDA540662F}" srcOrd="1" destOrd="3" presId="urn:microsoft.com/office/officeart/2005/8/layout/vList4"/>
    <dgm:cxn modelId="{B3745A91-BAC7-464E-AF80-176A488F7A84}" srcId="{DE0D766B-FB08-4E8E-B9D3-22DEB5351B68}" destId="{27B6B9C6-E657-442B-B4EC-C27933447F86}" srcOrd="1" destOrd="0" parTransId="{FD41DE81-1E37-44D3-9FF9-E1CB4713D923}" sibTransId="{6EB3CEAA-E5B7-47BE-B3B6-9C29CBDB0234}"/>
    <dgm:cxn modelId="{6648F295-62B8-49CC-B64F-68361C5D81D6}" type="presOf" srcId="{C11F86BC-57E6-4351-8665-8C33D0912E49}" destId="{9BC74816-AA26-409B-AB55-11B08F5CBBDB}" srcOrd="0" destOrd="1" presId="urn:microsoft.com/office/officeart/2005/8/layout/vList4"/>
    <dgm:cxn modelId="{99037096-7767-4B81-BFAC-5FBBF67CDD48}" srcId="{CA54AA1F-89F2-455C-91AC-DD535290AABD}" destId="{A08DA296-9838-4F5B-9CA8-1F5FA4ADC78E}" srcOrd="2" destOrd="0" parTransId="{8F9ABD8D-747A-4100-AF0D-AD13455E4F46}" sibTransId="{C1C1D1C1-5284-4DC1-8A4E-3F32A2893FC8}"/>
    <dgm:cxn modelId="{AA3DFF96-2992-4B3F-B7AF-2BFC3F497CED}" srcId="{32E080C6-2642-4F6D-89D1-A9A5A86D1ACC}" destId="{315C4C6E-E731-4768-A190-92EC9D750530}" srcOrd="4" destOrd="0" parTransId="{DD0B9CAF-9792-4D82-923C-FB988A3CC92D}" sibTransId="{BD07EFEF-2EA1-49DF-BC45-2CDEAFB7E855}"/>
    <dgm:cxn modelId="{51F99498-91B1-4F5F-BC94-770D12A68CD4}" type="presOf" srcId="{6E6E93B0-98F6-4920-BCC8-9C07CBEB9392}" destId="{9BC74816-AA26-409B-AB55-11B08F5CBBDB}" srcOrd="0" destOrd="0" presId="urn:microsoft.com/office/officeart/2005/8/layout/vList4"/>
    <dgm:cxn modelId="{24CE7D9E-782B-476D-AC1E-3965858FCB8B}" type="presOf" srcId="{27B6B9C6-E657-442B-B4EC-C27933447F86}" destId="{A3A965DD-23D8-442F-A8B1-3F3B1B69C819}" srcOrd="0" destOrd="0" presId="urn:microsoft.com/office/officeart/2005/8/layout/vList4"/>
    <dgm:cxn modelId="{588768A0-2C64-4814-B589-48E562FF715F}" type="presOf" srcId="{27B6B9C6-E657-442B-B4EC-C27933447F86}" destId="{28B775A4-210B-4A76-B050-9DC54CB23FC5}" srcOrd="1" destOrd="0" presId="urn:microsoft.com/office/officeart/2005/8/layout/vList4"/>
    <dgm:cxn modelId="{5C41C4A6-3E90-4D20-8D52-7B8DB4EE211B}" type="presOf" srcId="{365F8F86-5EBE-40F6-B829-25160F22DDCE}" destId="{C714E330-8B07-4ACB-B513-AD06D4DF7567}" srcOrd="1" destOrd="3" presId="urn:microsoft.com/office/officeart/2005/8/layout/vList4"/>
    <dgm:cxn modelId="{70C797A8-EB59-455C-B65C-3131E758C021}" type="presOf" srcId="{3105DDD3-73DA-41C5-BC29-F178F89107B8}" destId="{0179A7FB-8DC5-46C0-80F6-050151095898}" srcOrd="0" destOrd="3" presId="urn:microsoft.com/office/officeart/2005/8/layout/vList4"/>
    <dgm:cxn modelId="{DA9449B6-EC51-4677-B958-7958CFF592E6}" type="presOf" srcId="{CA54AA1F-89F2-455C-91AC-DD535290AABD}" destId="{EA1E59E7-8218-4AD9-933B-8F556EB496D6}" srcOrd="0" destOrd="0" presId="urn:microsoft.com/office/officeart/2005/8/layout/vList4"/>
    <dgm:cxn modelId="{82B6B3BC-5141-4269-B86D-7ED12D5B35A2}" srcId="{CA54AA1F-89F2-455C-91AC-DD535290AABD}" destId="{34DE1F41-EECA-409B-81CE-9CBCB392F25F}" srcOrd="1" destOrd="0" parTransId="{1C09AA64-FE0C-4F6C-B90B-9777845DBD14}" sibTransId="{39CF9812-FC4D-4B57-8CD6-7E74DC2D2461}"/>
    <dgm:cxn modelId="{3EF9F4BE-0966-4A1D-A593-DF5560BFBB97}" type="presOf" srcId="{CA54AA1F-89F2-455C-91AC-DD535290AABD}" destId="{C74CA8EC-68EE-49AB-89F0-6ABDA540662F}" srcOrd="1" destOrd="0" presId="urn:microsoft.com/office/officeart/2005/8/layout/vList4"/>
    <dgm:cxn modelId="{8E3ED2C0-8CD1-4EBD-AC96-D7F4640E7901}" type="presOf" srcId="{447BF39F-41C7-484A-B4A0-DBF6174B4D9C}" destId="{A3A965DD-23D8-442F-A8B1-3F3B1B69C819}" srcOrd="0" destOrd="2" presId="urn:microsoft.com/office/officeart/2005/8/layout/vList4"/>
    <dgm:cxn modelId="{299AFCC3-56E4-4E8C-8429-8E64782FE689}" type="presOf" srcId="{315C4C6E-E731-4768-A190-92EC9D750530}" destId="{5FF7A4A7-88BB-4E79-9688-A1E6A9717A1C}" srcOrd="1" destOrd="5" presId="urn:microsoft.com/office/officeart/2005/8/layout/vList4"/>
    <dgm:cxn modelId="{2C510CC7-D807-4D65-AB4A-60A91650D27C}" type="presOf" srcId="{FB3A0CEF-0B16-4FAB-B0EE-1BAB4EAE7077}" destId="{5FF7A4A7-88BB-4E79-9688-A1E6A9717A1C}" srcOrd="1" destOrd="4" presId="urn:microsoft.com/office/officeart/2005/8/layout/vList4"/>
    <dgm:cxn modelId="{7AFF52CB-19C5-40C9-9369-DCDF5AE83157}" type="presOf" srcId="{32E080C6-2642-4F6D-89D1-A9A5A86D1ACC}" destId="{5FF7A4A7-88BB-4E79-9688-A1E6A9717A1C}" srcOrd="1" destOrd="0" presId="urn:microsoft.com/office/officeart/2005/8/layout/vList4"/>
    <dgm:cxn modelId="{9A48C9CC-2E7B-4F9A-A930-7E9A09A04DC6}" type="presOf" srcId="{412FA5B1-0D16-4E93-87B1-2EB61CBAA746}" destId="{5FF7A4A7-88BB-4E79-9688-A1E6A9717A1C}" srcOrd="1" destOrd="1" presId="urn:microsoft.com/office/officeart/2005/8/layout/vList4"/>
    <dgm:cxn modelId="{B98008D3-47CF-4473-BF75-76878BB7E682}" srcId="{CA54AA1F-89F2-455C-91AC-DD535290AABD}" destId="{DCC339DA-6B7A-484D-8D39-2A0572C1EF0F}" srcOrd="0" destOrd="0" parTransId="{15C55089-0F26-4001-A30A-5D08AA02FE42}" sibTransId="{D5946BD0-5D26-4BAB-B839-511DC16CB1B7}"/>
    <dgm:cxn modelId="{144ADCD3-3B27-497A-AA66-1E3E6F137035}" type="presOf" srcId="{365F8F86-5EBE-40F6-B829-25160F22DDCE}" destId="{9BC74816-AA26-409B-AB55-11B08F5CBBDB}" srcOrd="0" destOrd="3" presId="urn:microsoft.com/office/officeart/2005/8/layout/vList4"/>
    <dgm:cxn modelId="{1DC566D7-DEF2-4E50-9D33-43C86ABDB818}" type="presOf" srcId="{32E080C6-2642-4F6D-89D1-A9A5A86D1ACC}" destId="{0179A7FB-8DC5-46C0-80F6-050151095898}" srcOrd="0" destOrd="0" presId="urn:microsoft.com/office/officeart/2005/8/layout/vList4"/>
    <dgm:cxn modelId="{7381B4E2-9626-4CE9-BA55-0E643BA334B1}" srcId="{DE0D766B-FB08-4E8E-B9D3-22DEB5351B68}" destId="{32E080C6-2642-4F6D-89D1-A9A5A86D1ACC}" srcOrd="4" destOrd="0" parTransId="{81F15DD8-D165-4477-A164-66AD61DBEA9D}" sibTransId="{21D9509A-314F-4881-AD26-18469EBFEF81}"/>
    <dgm:cxn modelId="{EE4090E6-7E5D-44EB-88D1-620DA49DDFE5}" type="presOf" srcId="{DCC339DA-6B7A-484D-8D39-2A0572C1EF0F}" destId="{EA1E59E7-8218-4AD9-933B-8F556EB496D6}" srcOrd="0" destOrd="1" presId="urn:microsoft.com/office/officeart/2005/8/layout/vList4"/>
    <dgm:cxn modelId="{CC89A7E6-DA31-411F-999C-E0B692786BE2}" type="presOf" srcId="{5283CC87-F106-4D19-B0B6-4E9BEF517C4B}" destId="{0179A7FB-8DC5-46C0-80F6-050151095898}" srcOrd="0" destOrd="6" presId="urn:microsoft.com/office/officeart/2005/8/layout/vList4"/>
    <dgm:cxn modelId="{21F98EE7-7AF5-4D33-84EA-86B15106814A}" srcId="{DE0D766B-FB08-4E8E-B9D3-22DEB5351B68}" destId="{CA54AA1F-89F2-455C-91AC-DD535290AABD}" srcOrd="3" destOrd="0" parTransId="{31846904-9CBC-484F-9420-9D3D955D6135}" sibTransId="{B26296F1-32F0-4999-B5D6-892BCC846F80}"/>
    <dgm:cxn modelId="{90FA95E7-EBCE-4D89-9F41-56D23FFCC4AE}" srcId="{6E6E93B0-98F6-4920-BCC8-9C07CBEB9392}" destId="{365F8F86-5EBE-40F6-B829-25160F22DDCE}" srcOrd="2" destOrd="0" parTransId="{5403100D-33E5-4CA8-ACCF-063BFFA88C9C}" sibTransId="{F835B5D4-5AC5-4BBC-9EB0-721DC51711C8}"/>
    <dgm:cxn modelId="{A023D5EB-C455-403C-AF6B-2F80BAC9DA7E}" srcId="{6E6E93B0-98F6-4920-BCC8-9C07CBEB9392}" destId="{0DC00948-EACA-488A-86B0-6E226EE2CCDD}" srcOrd="1" destOrd="0" parTransId="{30571732-0BE2-4C0C-8FDF-532A01A79250}" sibTransId="{910B1B35-1DDE-4BAD-AC4C-1D0BC64455B9}"/>
    <dgm:cxn modelId="{9ADAC4EC-1FF8-4A97-B7C0-45A9E663A54C}" type="presOf" srcId="{3105DDD3-73DA-41C5-BC29-F178F89107B8}" destId="{5FF7A4A7-88BB-4E79-9688-A1E6A9717A1C}" srcOrd="1" destOrd="3" presId="urn:microsoft.com/office/officeart/2005/8/layout/vList4"/>
    <dgm:cxn modelId="{FA6AD6ED-D9E2-4EB7-AB13-8F32FD7E1E6D}" srcId="{DE0D766B-FB08-4E8E-B9D3-22DEB5351B68}" destId="{6E6E93B0-98F6-4920-BCC8-9C07CBEB9392}" srcOrd="2" destOrd="0" parTransId="{6318ED73-D766-4D03-AA22-71A046424833}" sibTransId="{0A790CA7-F9A4-439F-94BD-DA86B391AFD3}"/>
    <dgm:cxn modelId="{2B1DF9F6-33D3-405E-A3BE-98EEDDE206E8}" type="presOf" srcId="{DE0D766B-FB08-4E8E-B9D3-22DEB5351B68}" destId="{12FD7D67-8E25-4943-BA09-EACFDFAAE9C4}" srcOrd="0" destOrd="0" presId="urn:microsoft.com/office/officeart/2005/8/layout/vList4"/>
    <dgm:cxn modelId="{594A7BF9-AE64-403D-9740-B58A09A66000}" type="presOf" srcId="{A414963F-CEBA-494F-BEE6-307E3AF2F264}" destId="{F9D7A435-47F2-4FBA-B59A-97890AB1DC28}" srcOrd="1" destOrd="0" presId="urn:microsoft.com/office/officeart/2005/8/layout/vList4"/>
    <dgm:cxn modelId="{70D76AB3-0346-42A8-82F5-B5F579D7E156}" type="presParOf" srcId="{12FD7D67-8E25-4943-BA09-EACFDFAAE9C4}" destId="{A43233B6-3EF4-4EF5-B275-C51E3C6B6588}" srcOrd="0" destOrd="0" presId="urn:microsoft.com/office/officeart/2005/8/layout/vList4"/>
    <dgm:cxn modelId="{D207D5D8-AE65-4965-AABA-BCEAE11CEF88}" type="presParOf" srcId="{A43233B6-3EF4-4EF5-B275-C51E3C6B6588}" destId="{9DEC4824-62CC-4BEA-94CA-5254F18ACBF4}" srcOrd="0" destOrd="0" presId="urn:microsoft.com/office/officeart/2005/8/layout/vList4"/>
    <dgm:cxn modelId="{8294B1B3-0621-46DD-ABAB-8B9A5E302DDF}" type="presParOf" srcId="{A43233B6-3EF4-4EF5-B275-C51E3C6B6588}" destId="{A31012F8-C227-46A0-B3E8-A9603E0CD155}" srcOrd="1" destOrd="0" presId="urn:microsoft.com/office/officeart/2005/8/layout/vList4"/>
    <dgm:cxn modelId="{386A7E56-82E9-4217-AC96-697806FF5B00}" type="presParOf" srcId="{A43233B6-3EF4-4EF5-B275-C51E3C6B6588}" destId="{F9D7A435-47F2-4FBA-B59A-97890AB1DC28}" srcOrd="2" destOrd="0" presId="urn:microsoft.com/office/officeart/2005/8/layout/vList4"/>
    <dgm:cxn modelId="{42484A90-32EA-4F36-8F8E-10BD8096BCCE}" type="presParOf" srcId="{12FD7D67-8E25-4943-BA09-EACFDFAAE9C4}" destId="{FCEF7592-0982-476A-827F-5E224A1F9FCD}" srcOrd="1" destOrd="0" presId="urn:microsoft.com/office/officeart/2005/8/layout/vList4"/>
    <dgm:cxn modelId="{DC62AB02-5897-485B-A45D-C7ECFF3CC691}" type="presParOf" srcId="{12FD7D67-8E25-4943-BA09-EACFDFAAE9C4}" destId="{5B199048-C7E2-400A-BD6D-7339015E37EA}" srcOrd="2" destOrd="0" presId="urn:microsoft.com/office/officeart/2005/8/layout/vList4"/>
    <dgm:cxn modelId="{BC25EE5A-D716-4448-B1BD-90A6BED73D02}" type="presParOf" srcId="{5B199048-C7E2-400A-BD6D-7339015E37EA}" destId="{A3A965DD-23D8-442F-A8B1-3F3B1B69C819}" srcOrd="0" destOrd="0" presId="urn:microsoft.com/office/officeart/2005/8/layout/vList4"/>
    <dgm:cxn modelId="{7FCCA7E3-AE78-4848-A3FF-F39CC45C5575}" type="presParOf" srcId="{5B199048-C7E2-400A-BD6D-7339015E37EA}" destId="{05586DC3-BB75-4425-9C61-A24B607D2B83}" srcOrd="1" destOrd="0" presId="urn:microsoft.com/office/officeart/2005/8/layout/vList4"/>
    <dgm:cxn modelId="{361FC9F7-E0DF-4102-A33A-DC85BFC1ABC5}" type="presParOf" srcId="{5B199048-C7E2-400A-BD6D-7339015E37EA}" destId="{28B775A4-210B-4A76-B050-9DC54CB23FC5}" srcOrd="2" destOrd="0" presId="urn:microsoft.com/office/officeart/2005/8/layout/vList4"/>
    <dgm:cxn modelId="{397EAB68-86AB-4DFE-A164-354AC477CD53}" type="presParOf" srcId="{12FD7D67-8E25-4943-BA09-EACFDFAAE9C4}" destId="{DD2C4DB1-7151-4DEA-B286-0B8E15586B83}" srcOrd="3" destOrd="0" presId="urn:microsoft.com/office/officeart/2005/8/layout/vList4"/>
    <dgm:cxn modelId="{B9DA3615-8287-4435-958B-51D315F599C1}" type="presParOf" srcId="{12FD7D67-8E25-4943-BA09-EACFDFAAE9C4}" destId="{CEF96BD8-2EA7-479A-9F9A-8889BC24D259}" srcOrd="4" destOrd="0" presId="urn:microsoft.com/office/officeart/2005/8/layout/vList4"/>
    <dgm:cxn modelId="{B1FBE150-EF0F-4934-823A-6979F2827DD6}" type="presParOf" srcId="{CEF96BD8-2EA7-479A-9F9A-8889BC24D259}" destId="{9BC74816-AA26-409B-AB55-11B08F5CBBDB}" srcOrd="0" destOrd="0" presId="urn:microsoft.com/office/officeart/2005/8/layout/vList4"/>
    <dgm:cxn modelId="{59B32346-C500-463C-AC39-B448FFF13C73}" type="presParOf" srcId="{CEF96BD8-2EA7-479A-9F9A-8889BC24D259}" destId="{662451FC-1A4C-48D3-AE57-B4F3E4FD4C7D}" srcOrd="1" destOrd="0" presId="urn:microsoft.com/office/officeart/2005/8/layout/vList4"/>
    <dgm:cxn modelId="{8E91CBE0-6D10-4192-AE46-2E4316A82A92}" type="presParOf" srcId="{CEF96BD8-2EA7-479A-9F9A-8889BC24D259}" destId="{C714E330-8B07-4ACB-B513-AD06D4DF7567}" srcOrd="2" destOrd="0" presId="urn:microsoft.com/office/officeart/2005/8/layout/vList4"/>
    <dgm:cxn modelId="{4E1803A5-9462-409B-853F-A21AF5134F07}" type="presParOf" srcId="{12FD7D67-8E25-4943-BA09-EACFDFAAE9C4}" destId="{F10C5B82-B56A-4B17-8D46-F2E13329A95D}" srcOrd="5" destOrd="0" presId="urn:microsoft.com/office/officeart/2005/8/layout/vList4"/>
    <dgm:cxn modelId="{37BC1B15-8C13-4F88-BF15-6EA6A1723B7F}" type="presParOf" srcId="{12FD7D67-8E25-4943-BA09-EACFDFAAE9C4}" destId="{C80DCB82-308B-4C80-A10C-B8382E21E7F7}" srcOrd="6" destOrd="0" presId="urn:microsoft.com/office/officeart/2005/8/layout/vList4"/>
    <dgm:cxn modelId="{86D85B70-512E-440B-87C8-2713A14F7675}" type="presParOf" srcId="{C80DCB82-308B-4C80-A10C-B8382E21E7F7}" destId="{EA1E59E7-8218-4AD9-933B-8F556EB496D6}" srcOrd="0" destOrd="0" presId="urn:microsoft.com/office/officeart/2005/8/layout/vList4"/>
    <dgm:cxn modelId="{71814556-A325-4E70-98C2-36F2034189DB}" type="presParOf" srcId="{C80DCB82-308B-4C80-A10C-B8382E21E7F7}" destId="{60A9DA37-987C-4773-BE4D-6767A7064F3E}" srcOrd="1" destOrd="0" presId="urn:microsoft.com/office/officeart/2005/8/layout/vList4"/>
    <dgm:cxn modelId="{F6A417FD-8E8A-48EB-AB66-FFACE5C5A54F}" type="presParOf" srcId="{C80DCB82-308B-4C80-A10C-B8382E21E7F7}" destId="{C74CA8EC-68EE-49AB-89F0-6ABDA540662F}" srcOrd="2" destOrd="0" presId="urn:microsoft.com/office/officeart/2005/8/layout/vList4"/>
    <dgm:cxn modelId="{6B52EDC4-D556-483B-93CC-9E79F844DD67}" type="presParOf" srcId="{12FD7D67-8E25-4943-BA09-EACFDFAAE9C4}" destId="{C9EE0B9B-89D7-41E9-B546-BA8451FA72B0}" srcOrd="7" destOrd="0" presId="urn:microsoft.com/office/officeart/2005/8/layout/vList4"/>
    <dgm:cxn modelId="{30AFCEA4-5672-40AB-B290-452A2BBB23F0}" type="presParOf" srcId="{12FD7D67-8E25-4943-BA09-EACFDFAAE9C4}" destId="{F632564E-031B-4505-9484-E198D1BBBB40}" srcOrd="8" destOrd="0" presId="urn:microsoft.com/office/officeart/2005/8/layout/vList4"/>
    <dgm:cxn modelId="{D95CFED3-310C-4869-A7A4-2007DA91AC98}" type="presParOf" srcId="{F632564E-031B-4505-9484-E198D1BBBB40}" destId="{0179A7FB-8DC5-46C0-80F6-050151095898}" srcOrd="0" destOrd="0" presId="urn:microsoft.com/office/officeart/2005/8/layout/vList4"/>
    <dgm:cxn modelId="{DAED691D-3C1A-4C5A-8729-700105B9C433}" type="presParOf" srcId="{F632564E-031B-4505-9484-E198D1BBBB40}" destId="{647A2E14-ED28-4858-AE94-6190288B8492}" srcOrd="1" destOrd="0" presId="urn:microsoft.com/office/officeart/2005/8/layout/vList4"/>
    <dgm:cxn modelId="{D6252304-FD0F-4641-85A9-C90F52B7319C}" type="presParOf" srcId="{F632564E-031B-4505-9484-E198D1BBBB40}" destId="{5FF7A4A7-88BB-4E79-9688-A1E6A9717A1C}" srcOrd="2" destOrd="0" presId="urn:microsoft.com/office/officeart/2005/8/layout/vList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EC4824-62CC-4BEA-94CA-5254F18ACBF4}">
      <dsp:nvSpPr>
        <dsp:cNvPr id="0" name=""/>
        <dsp:cNvSpPr/>
      </dsp:nvSpPr>
      <dsp:spPr>
        <a:xfrm>
          <a:off x="0" y="32344"/>
          <a:ext cx="6108700" cy="13521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AU" sz="1400" kern="1200">
              <a:latin typeface="Montserrat72" panose="00000400000000000000" pitchFamily="2" charset="0"/>
            </a:rPr>
            <a:t>Ensuring the state’s housing supply meets the current and projected needs of older Tasmanians</a:t>
          </a:r>
        </a:p>
        <a:p>
          <a:pPr marL="114300" lvl="1" indent="-114300" algn="l" defTabSz="533400">
            <a:lnSpc>
              <a:spcPct val="90000"/>
            </a:lnSpc>
            <a:spcBef>
              <a:spcPct val="0"/>
            </a:spcBef>
            <a:spcAft>
              <a:spcPct val="15000"/>
            </a:spcAft>
            <a:buChar char="•"/>
          </a:pPr>
          <a:r>
            <a:rPr lang="en-AU" sz="1200" i="0" kern="1200">
              <a:latin typeface="Arial Nova Light" panose="020B0304020202020204" pitchFamily="34" charset="0"/>
            </a:rPr>
            <a:t>Build enough social and affordable housing</a:t>
          </a:r>
        </a:p>
        <a:p>
          <a:pPr marL="114300" lvl="1" indent="-114300" algn="l" defTabSz="533400">
            <a:lnSpc>
              <a:spcPct val="90000"/>
            </a:lnSpc>
            <a:spcBef>
              <a:spcPct val="0"/>
            </a:spcBef>
            <a:spcAft>
              <a:spcPct val="15000"/>
            </a:spcAft>
            <a:buChar char="•"/>
          </a:pPr>
          <a:r>
            <a:rPr lang="en-AU" sz="1200" i="0" kern="1200">
              <a:latin typeface="Arial Nova Light" panose="020B0304020202020204" pitchFamily="34" charset="0"/>
            </a:rPr>
            <a:t>Innovate to enable alternative affordable housing models</a:t>
          </a:r>
        </a:p>
      </dsp:txBody>
      <dsp:txXfrm>
        <a:off x="1394984" y="32344"/>
        <a:ext cx="4713715" cy="1352190"/>
      </dsp:txXfrm>
    </dsp:sp>
    <dsp:sp modelId="{A31012F8-C227-46A0-B3E8-A9603E0CD155}">
      <dsp:nvSpPr>
        <dsp:cNvPr id="0" name=""/>
        <dsp:cNvSpPr/>
      </dsp:nvSpPr>
      <dsp:spPr>
        <a:xfrm>
          <a:off x="177147" y="286454"/>
          <a:ext cx="1213933" cy="850796"/>
        </a:xfrm>
        <a:prstGeom prst="roundRect">
          <a:avLst>
            <a:gd name="adj" fmla="val 10000"/>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10000" b="-10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A965DD-23D8-442F-A8B1-3F3B1B69C819}">
      <dsp:nvSpPr>
        <dsp:cNvPr id="0" name=""/>
        <dsp:cNvSpPr/>
      </dsp:nvSpPr>
      <dsp:spPr>
        <a:xfrm>
          <a:off x="0" y="1403505"/>
          <a:ext cx="6108700" cy="124034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Clr>
              <a:srgbClr val="FFC000"/>
            </a:buClr>
            <a:buFont typeface="Symbol" panose="05050102010706020507" pitchFamily="18" charset="2"/>
            <a:buNone/>
          </a:pPr>
          <a:r>
            <a:rPr lang="en-AU" sz="1400" kern="1200">
              <a:latin typeface="Montserrat72" panose="00000400000000000000" pitchFamily="2" charset="0"/>
            </a:rPr>
            <a:t>Reducing the need for older people to move by providing appropriate homes and supports for people to age in place in their communities</a:t>
          </a:r>
        </a:p>
        <a:p>
          <a:pPr marL="114300" lvl="1" indent="-114300" algn="l" defTabSz="533400">
            <a:lnSpc>
              <a:spcPct val="90000"/>
            </a:lnSpc>
            <a:spcBef>
              <a:spcPct val="0"/>
            </a:spcBef>
            <a:spcAft>
              <a:spcPct val="15000"/>
            </a:spcAft>
            <a:buChar char="•"/>
          </a:pPr>
          <a:r>
            <a:rPr lang="en-AU" sz="1200" kern="1200">
              <a:latin typeface="Arial Nova Light" panose="020B0304020202020204" pitchFamily="34" charset="0"/>
            </a:rPr>
            <a:t>Create age-friendly communities</a:t>
          </a:r>
        </a:p>
        <a:p>
          <a:pPr marL="114300" lvl="1" indent="-114300" algn="l" defTabSz="533400">
            <a:lnSpc>
              <a:spcPct val="90000"/>
            </a:lnSpc>
            <a:spcBef>
              <a:spcPct val="0"/>
            </a:spcBef>
            <a:spcAft>
              <a:spcPct val="15000"/>
            </a:spcAft>
            <a:buChar char="•"/>
          </a:pPr>
          <a:r>
            <a:rPr lang="en-AU" sz="1200" kern="1200">
              <a:latin typeface="Arial Nova Light" panose="020B0304020202020204" pitchFamily="34" charset="0"/>
            </a:rPr>
            <a:t>Accelerate retro-fitting of homes</a:t>
          </a:r>
        </a:p>
      </dsp:txBody>
      <dsp:txXfrm>
        <a:off x="1394984" y="1403505"/>
        <a:ext cx="4713715" cy="1240343"/>
      </dsp:txXfrm>
    </dsp:sp>
    <dsp:sp modelId="{05586DC3-BB75-4425-9C61-A24B607D2B83}">
      <dsp:nvSpPr>
        <dsp:cNvPr id="0" name=""/>
        <dsp:cNvSpPr/>
      </dsp:nvSpPr>
      <dsp:spPr>
        <a:xfrm>
          <a:off x="173244" y="1645803"/>
          <a:ext cx="1221740" cy="784894"/>
        </a:xfrm>
        <a:prstGeom prst="roundRect">
          <a:avLst>
            <a:gd name="adj" fmla="val 10000"/>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t="-15000" b="-1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BC74816-AA26-409B-AB55-11B08F5CBBDB}">
      <dsp:nvSpPr>
        <dsp:cNvPr id="0" name=""/>
        <dsp:cNvSpPr/>
      </dsp:nvSpPr>
      <dsp:spPr>
        <a:xfrm>
          <a:off x="0" y="2668224"/>
          <a:ext cx="6108700" cy="11605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AU" sz="1400" kern="1200">
              <a:latin typeface="Montserrat72" panose="00000400000000000000" pitchFamily="2" charset="0"/>
            </a:rPr>
            <a:t>Increasing housing security for older renters</a:t>
          </a:r>
        </a:p>
        <a:p>
          <a:pPr marL="114300" lvl="1" indent="-114300" algn="l" defTabSz="533400">
            <a:lnSpc>
              <a:spcPct val="90000"/>
            </a:lnSpc>
            <a:spcBef>
              <a:spcPct val="0"/>
            </a:spcBef>
            <a:spcAft>
              <a:spcPct val="15000"/>
            </a:spcAft>
            <a:buChar char="•"/>
          </a:pPr>
          <a:r>
            <a:rPr lang="en-AU" sz="1200" kern="1200">
              <a:latin typeface="Arial Nova Light" panose="020B0304020202020204" pitchFamily="34" charset="0"/>
            </a:rPr>
            <a:t>Amend the </a:t>
          </a:r>
          <a:r>
            <a:rPr lang="en-AU" sz="1200" i="1" kern="1200">
              <a:latin typeface="Arial Nova Light" panose="020B0304020202020204" pitchFamily="34" charset="0"/>
            </a:rPr>
            <a:t>Residential Tenancy Act </a:t>
          </a:r>
          <a:r>
            <a:rPr lang="en-AU" sz="1200" i="0" kern="1200">
              <a:latin typeface="Arial Nova Light" panose="020B0304020202020204" pitchFamily="34" charset="0"/>
            </a:rPr>
            <a:t>to better protect renters</a:t>
          </a:r>
          <a:endParaRPr lang="en-AU" sz="1200" kern="1200">
            <a:latin typeface="Arial Nova Light" panose="020B0304020202020204" pitchFamily="34" charset="0"/>
          </a:endParaRPr>
        </a:p>
        <a:p>
          <a:pPr marL="114300" lvl="1" indent="-114300" algn="l" defTabSz="533400">
            <a:lnSpc>
              <a:spcPct val="90000"/>
            </a:lnSpc>
            <a:spcBef>
              <a:spcPct val="0"/>
            </a:spcBef>
            <a:spcAft>
              <a:spcPct val="15000"/>
            </a:spcAft>
            <a:buChar char="•"/>
          </a:pPr>
          <a:r>
            <a:rPr lang="en-AU" sz="1200" kern="1200">
              <a:latin typeface="Arial Nova Light" panose="020B0304020202020204" pitchFamily="34" charset="0"/>
            </a:rPr>
            <a:t>Create an independent intermediary between renters and landlords</a:t>
          </a:r>
        </a:p>
        <a:p>
          <a:pPr marL="114300" lvl="1" indent="-114300" algn="l" defTabSz="533400">
            <a:lnSpc>
              <a:spcPct val="90000"/>
            </a:lnSpc>
            <a:spcBef>
              <a:spcPct val="0"/>
            </a:spcBef>
            <a:spcAft>
              <a:spcPct val="15000"/>
            </a:spcAft>
            <a:buChar char="•"/>
          </a:pPr>
          <a:r>
            <a:rPr lang="en-AU" sz="1200" i="0" kern="1200">
              <a:latin typeface="Arial Nova Light" panose="020B0304020202020204" pitchFamily="34" charset="0"/>
            </a:rPr>
            <a:t>Expand support provided to renters by the Tenants' Union of Tasmania</a:t>
          </a:r>
        </a:p>
      </dsp:txBody>
      <dsp:txXfrm>
        <a:off x="1394984" y="2668224"/>
        <a:ext cx="4713715" cy="1160599"/>
      </dsp:txXfrm>
    </dsp:sp>
    <dsp:sp modelId="{662451FC-1A4C-48D3-AE57-B4F3E4FD4C7D}">
      <dsp:nvSpPr>
        <dsp:cNvPr id="0" name=""/>
        <dsp:cNvSpPr/>
      </dsp:nvSpPr>
      <dsp:spPr>
        <a:xfrm>
          <a:off x="173244" y="2850460"/>
          <a:ext cx="1221740" cy="802717"/>
        </a:xfrm>
        <a:prstGeom prst="roundRect">
          <a:avLst>
            <a:gd name="adj" fmla="val 10000"/>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t="-9000" b="-9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A1E59E7-8218-4AD9-933B-8F556EB496D6}">
      <dsp:nvSpPr>
        <dsp:cNvPr id="0" name=""/>
        <dsp:cNvSpPr/>
      </dsp:nvSpPr>
      <dsp:spPr>
        <a:xfrm>
          <a:off x="0" y="3856317"/>
          <a:ext cx="6108700" cy="12048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Clr>
              <a:srgbClr val="FFC000"/>
            </a:buClr>
            <a:buFont typeface="Symbol" panose="05050102010706020507" pitchFamily="18" charset="2"/>
            <a:buNone/>
          </a:pPr>
          <a:r>
            <a:rPr lang="en-AU" sz="1400" kern="1200">
              <a:latin typeface="Montserrat72" panose="00000400000000000000" pitchFamily="2" charset="0"/>
            </a:rPr>
            <a:t>Providing specific supports to assist older Tasmanians navigating the property market</a:t>
          </a:r>
        </a:p>
        <a:p>
          <a:pPr marL="114300" lvl="1" indent="-114300" algn="l" defTabSz="533400">
            <a:lnSpc>
              <a:spcPct val="90000"/>
            </a:lnSpc>
            <a:spcBef>
              <a:spcPct val="0"/>
            </a:spcBef>
            <a:spcAft>
              <a:spcPct val="15000"/>
            </a:spcAft>
            <a:buChar char="•"/>
          </a:pPr>
          <a:r>
            <a:rPr lang="en-AU" sz="1200" i="0" kern="1200">
              <a:latin typeface="Arial Nova Light" panose="020B0304020202020204" pitchFamily="34" charset="0"/>
            </a:rPr>
            <a:t>Assist older people with moving</a:t>
          </a:r>
        </a:p>
        <a:p>
          <a:pPr marL="114300" lvl="1" indent="-114300" algn="l" defTabSz="533400">
            <a:lnSpc>
              <a:spcPct val="90000"/>
            </a:lnSpc>
            <a:spcBef>
              <a:spcPct val="0"/>
            </a:spcBef>
            <a:spcAft>
              <a:spcPct val="15000"/>
            </a:spcAft>
            <a:buChar char="•"/>
          </a:pPr>
          <a:r>
            <a:rPr lang="en-AU" sz="1200" kern="1200">
              <a:latin typeface="Arial Nova Light" panose="020B0304020202020204" pitchFamily="34" charset="0"/>
            </a:rPr>
            <a:t>Fund additional support services to prevent digital exclusion</a:t>
          </a:r>
        </a:p>
        <a:p>
          <a:pPr marL="114300" lvl="1" indent="-114300" algn="l" defTabSz="533400">
            <a:lnSpc>
              <a:spcPct val="90000"/>
            </a:lnSpc>
            <a:spcBef>
              <a:spcPct val="0"/>
            </a:spcBef>
            <a:spcAft>
              <a:spcPct val="15000"/>
            </a:spcAft>
            <a:buChar char="•"/>
          </a:pPr>
          <a:r>
            <a:rPr lang="en-AU" sz="1200" kern="1200">
              <a:latin typeface="Arial Nova Light" panose="020B0304020202020204" pitchFamily="34" charset="0"/>
            </a:rPr>
            <a:t>Fund appropriate supports for people living with hoarding</a:t>
          </a:r>
        </a:p>
      </dsp:txBody>
      <dsp:txXfrm>
        <a:off x="1394984" y="3856317"/>
        <a:ext cx="4713715" cy="1204880"/>
      </dsp:txXfrm>
    </dsp:sp>
    <dsp:sp modelId="{60A9DA37-987C-4773-BE4D-6767A7064F3E}">
      <dsp:nvSpPr>
        <dsp:cNvPr id="0" name=""/>
        <dsp:cNvSpPr/>
      </dsp:nvSpPr>
      <dsp:spPr>
        <a:xfrm>
          <a:off x="173244" y="3947132"/>
          <a:ext cx="1221740" cy="1026521"/>
        </a:xfrm>
        <a:prstGeom prst="roundRect">
          <a:avLst>
            <a:gd name="adj" fmla="val 10000"/>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l="-3000" r="-3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179A7FB-8DC5-46C0-80F6-050151095898}">
      <dsp:nvSpPr>
        <dsp:cNvPr id="0" name=""/>
        <dsp:cNvSpPr/>
      </dsp:nvSpPr>
      <dsp:spPr>
        <a:xfrm>
          <a:off x="0" y="5085972"/>
          <a:ext cx="6108700" cy="269239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Clr>
              <a:srgbClr val="FFC000"/>
            </a:buClr>
            <a:buFont typeface="Symbol" panose="05050102010706020507" pitchFamily="18" charset="2"/>
            <a:buNone/>
          </a:pPr>
          <a:r>
            <a:rPr lang="en-AU" sz="1400" kern="1200">
              <a:latin typeface="Montserrat72" panose="00000400000000000000" pitchFamily="2" charset="0"/>
            </a:rPr>
            <a:t>Improving housing security and equity for people at higher risk</a:t>
          </a:r>
        </a:p>
        <a:p>
          <a:pPr marL="114300" lvl="1" indent="-114300" algn="l" defTabSz="533400">
            <a:lnSpc>
              <a:spcPct val="90000"/>
            </a:lnSpc>
            <a:spcBef>
              <a:spcPct val="0"/>
            </a:spcBef>
            <a:spcAft>
              <a:spcPct val="15000"/>
            </a:spcAft>
            <a:buClr>
              <a:srgbClr val="FFC000"/>
            </a:buClr>
            <a:buFont typeface="Symbol" panose="05050102010706020507" pitchFamily="18" charset="2"/>
            <a:buChar char=""/>
          </a:pPr>
          <a:r>
            <a:rPr lang="en-AU" sz="1200" i="0" kern="1200">
              <a:latin typeface="Arial Nova Light" panose="020B0304020202020204" pitchFamily="34" charset="0"/>
            </a:rPr>
            <a:t>Deliver targeted increases to Commonwealth Rent Assistance</a:t>
          </a:r>
        </a:p>
        <a:p>
          <a:pPr marL="114300" lvl="1" indent="-114300" algn="l" defTabSz="533400">
            <a:lnSpc>
              <a:spcPct val="90000"/>
            </a:lnSpc>
            <a:spcBef>
              <a:spcPct val="0"/>
            </a:spcBef>
            <a:spcAft>
              <a:spcPct val="15000"/>
            </a:spcAft>
            <a:buClr>
              <a:srgbClr val="FFC000"/>
            </a:buClr>
            <a:buFont typeface="Symbol" panose="05050102010706020507" pitchFamily="18" charset="2"/>
            <a:buChar char=""/>
          </a:pPr>
          <a:r>
            <a:rPr lang="en-AU" sz="1200" i="0" kern="1200">
              <a:latin typeface="Arial Nova Light" panose="020B0304020202020204" pitchFamily="34" charset="0"/>
            </a:rPr>
            <a:t>Lower the pension age &amp; provide fair share of social housing for Aboriginal Tasmanians</a:t>
          </a:r>
        </a:p>
        <a:p>
          <a:pPr marL="114300" lvl="1" indent="-114300" algn="l" defTabSz="533400">
            <a:lnSpc>
              <a:spcPct val="90000"/>
            </a:lnSpc>
            <a:spcBef>
              <a:spcPct val="0"/>
            </a:spcBef>
            <a:spcAft>
              <a:spcPct val="15000"/>
            </a:spcAft>
            <a:buChar char="•"/>
          </a:pPr>
          <a:r>
            <a:rPr lang="en-AU" sz="1200" i="0" kern="1200">
              <a:latin typeface="Arial Nova Light" panose="020B0304020202020204" pitchFamily="34" charset="0"/>
            </a:rPr>
            <a:t>Resource effective responses to elder abuse</a:t>
          </a:r>
        </a:p>
        <a:p>
          <a:pPr marL="114300" lvl="1" indent="-114300" algn="l" defTabSz="533400">
            <a:lnSpc>
              <a:spcPct val="90000"/>
            </a:lnSpc>
            <a:spcBef>
              <a:spcPct val="0"/>
            </a:spcBef>
            <a:spcAft>
              <a:spcPct val="15000"/>
            </a:spcAft>
            <a:buChar char="•"/>
          </a:pPr>
          <a:r>
            <a:rPr lang="en-AU" sz="1200" i="0" kern="1200">
              <a:latin typeface="Arial Nova Light" panose="020B0304020202020204" pitchFamily="34" charset="0"/>
            </a:rPr>
            <a:t>Provide specific supports for older women and prioritise them for housing</a:t>
          </a:r>
        </a:p>
        <a:p>
          <a:pPr marL="114300" lvl="1" indent="-114300" algn="l" defTabSz="533400">
            <a:lnSpc>
              <a:spcPct val="90000"/>
            </a:lnSpc>
            <a:spcBef>
              <a:spcPct val="0"/>
            </a:spcBef>
            <a:spcAft>
              <a:spcPct val="15000"/>
            </a:spcAft>
            <a:buChar char="•"/>
          </a:pPr>
          <a:r>
            <a:rPr lang="en-AU" sz="1200" i="0" kern="1200">
              <a:latin typeface="Arial Nova Light" panose="020B0304020202020204" pitchFamily="34" charset="0"/>
            </a:rPr>
            <a:t>Make superannuation fairer &amp; facilitate fairer property settlements under family law</a:t>
          </a:r>
        </a:p>
        <a:p>
          <a:pPr marL="114300" lvl="1" indent="-114300" algn="l" defTabSz="533400">
            <a:lnSpc>
              <a:spcPct val="90000"/>
            </a:lnSpc>
            <a:spcBef>
              <a:spcPct val="0"/>
            </a:spcBef>
            <a:spcAft>
              <a:spcPct val="15000"/>
            </a:spcAft>
            <a:buChar char="•"/>
          </a:pPr>
          <a:r>
            <a:rPr lang="en-AU" sz="1200" i="0" kern="1200">
              <a:latin typeface="Arial Nova Light" panose="020B0304020202020204" pitchFamily="34" charset="0"/>
            </a:rPr>
            <a:t>Deliver Respectful Relationships Education in all Tasmanian schools</a:t>
          </a:r>
        </a:p>
      </dsp:txBody>
      <dsp:txXfrm>
        <a:off x="1394984" y="5085972"/>
        <a:ext cx="4713715" cy="2692392"/>
      </dsp:txXfrm>
    </dsp:sp>
    <dsp:sp modelId="{647A2E14-ED28-4858-AE94-6190288B8492}">
      <dsp:nvSpPr>
        <dsp:cNvPr id="0" name=""/>
        <dsp:cNvSpPr/>
      </dsp:nvSpPr>
      <dsp:spPr>
        <a:xfrm>
          <a:off x="173244" y="5874667"/>
          <a:ext cx="1221740" cy="983654"/>
        </a:xfrm>
        <a:prstGeom prst="roundRect">
          <a:avLst>
            <a:gd name="adj" fmla="val 10000"/>
          </a:avLst>
        </a:prstGeom>
        <a:blipFill>
          <a:blip xmlns:r="http://schemas.openxmlformats.org/officeDocument/2006/relationships" r:embed="rId5" cstate="print">
            <a:extLst>
              <a:ext uri="{28A0092B-C50C-407E-A947-70E740481C1C}">
                <a14:useLocalDpi xmlns:a14="http://schemas.microsoft.com/office/drawing/2010/main" val="0"/>
              </a:ext>
            </a:extLst>
          </a:blip>
          <a:srcRect/>
          <a:stretch>
            <a:fillRect l="-1000" r="-1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F5B17-7091-4FDD-863C-94C47E90F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4922</Words>
  <Characters>28062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Bennett</dc:creator>
  <cp:keywords/>
  <dc:description/>
  <cp:lastModifiedBy>Selina Claxton</cp:lastModifiedBy>
  <cp:revision>3</cp:revision>
  <cp:lastPrinted>2024-05-19T23:44:00Z</cp:lastPrinted>
  <dcterms:created xsi:type="dcterms:W3CDTF">2024-06-24T05:26:00Z</dcterms:created>
  <dcterms:modified xsi:type="dcterms:W3CDTF">2024-06-24T05:32:00Z</dcterms:modified>
</cp:coreProperties>
</file>