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5299B" w14:textId="4F73905A" w:rsidR="008E5242" w:rsidRPr="001952AB" w:rsidRDefault="008E5242" w:rsidP="00D34837">
      <w:pPr>
        <w:pStyle w:val="Title"/>
      </w:pPr>
      <w:bookmarkStart w:id="0" w:name="_Hlk179542086"/>
      <w:r w:rsidRPr="001952AB">
        <w:t>Stretched Too Far:</w:t>
      </w:r>
    </w:p>
    <w:p w14:paraId="0A19F34F" w14:textId="77777777" w:rsidR="008E5242" w:rsidRDefault="008E5242" w:rsidP="00D34837"/>
    <w:p w14:paraId="0AF52C3D" w14:textId="7D7A03C3" w:rsidR="001952AB" w:rsidRDefault="008E5242" w:rsidP="00D34837">
      <w:pPr>
        <w:pStyle w:val="Subtitle"/>
      </w:pPr>
      <w:r w:rsidRPr="001952AB">
        <w:t>Children and families surviving the cost of living crisis in Tasmania</w:t>
      </w:r>
    </w:p>
    <w:p w14:paraId="112CA6C9" w14:textId="77777777" w:rsidR="00167E8A" w:rsidRDefault="00167E8A" w:rsidP="00D34837">
      <w:pPr>
        <w:pStyle w:val="Subtitle"/>
      </w:pPr>
    </w:p>
    <w:p w14:paraId="20EB88FE" w14:textId="4CEF3E0F" w:rsidR="001952AB" w:rsidRDefault="001952AB" w:rsidP="00D34837">
      <w:pPr>
        <w:pStyle w:val="Subtitle"/>
      </w:pPr>
      <w:r>
        <w:t>Kristy Cope</w:t>
      </w:r>
    </w:p>
    <w:p w14:paraId="219ED31B" w14:textId="3B5FE47D" w:rsidR="001952AB" w:rsidRPr="001952AB" w:rsidRDefault="001952AB" w:rsidP="00D34837">
      <w:pPr>
        <w:pStyle w:val="Subtitle"/>
      </w:pPr>
      <w:r>
        <w:t>October 2024</w:t>
      </w:r>
    </w:p>
    <w:bookmarkEnd w:id="0"/>
    <w:p w14:paraId="74665986" w14:textId="6CE24FA8" w:rsidR="008E5242" w:rsidRDefault="008E5242" w:rsidP="00D34837">
      <w:pPr>
        <w:rPr>
          <w:sz w:val="66"/>
        </w:rPr>
      </w:pPr>
    </w:p>
    <w:p w14:paraId="15856218" w14:textId="77777777" w:rsidR="008E5242" w:rsidRDefault="008E5242">
      <w:pPr>
        <w:spacing w:line="408" w:lineRule="exact"/>
        <w:rPr>
          <w:sz w:val="32"/>
        </w:rPr>
        <w:sectPr w:rsidR="008E5242" w:rsidSect="001952AB">
          <w:footerReference w:type="even" r:id="rId7"/>
          <w:footerReference w:type="default" r:id="rId8"/>
          <w:pgSz w:w="11906" w:h="16838"/>
          <w:pgMar w:top="1440" w:right="1440" w:bottom="1440" w:left="1440" w:header="708" w:footer="708" w:gutter="0"/>
          <w:cols w:space="708"/>
          <w:docGrid w:linePitch="360"/>
        </w:sectPr>
      </w:pPr>
    </w:p>
    <w:p w14:paraId="3910E24D" w14:textId="77777777" w:rsidR="008E5242" w:rsidRDefault="008E5242" w:rsidP="001952AB">
      <w:pPr>
        <w:rPr>
          <w:b/>
          <w:color w:val="1598CB"/>
          <w:sz w:val="48"/>
          <w:szCs w:val="48"/>
        </w:rPr>
      </w:pPr>
      <w:r>
        <w:rPr>
          <w:b/>
          <w:color w:val="1598CB"/>
          <w:sz w:val="48"/>
          <w:szCs w:val="48"/>
        </w:rPr>
        <w:lastRenderedPageBreak/>
        <w:t xml:space="preserve">Acknowledgement of Country </w:t>
      </w:r>
    </w:p>
    <w:p w14:paraId="57C6648F" w14:textId="77777777" w:rsidR="008E5242" w:rsidRPr="00E91773" w:rsidRDefault="008E5242" w:rsidP="001952AB">
      <w:pPr>
        <w:rPr>
          <w:rFonts w:ascii="Avenir Next LT Pro" w:hAnsi="Avenir Next LT Pro"/>
          <w:b/>
          <w:color w:val="575F61"/>
          <w:lang w:val="en-GB"/>
        </w:rPr>
      </w:pPr>
      <w:r w:rsidRPr="00E91773">
        <w:rPr>
          <w:rFonts w:ascii="Avenir Next LT Pro" w:hAnsi="Avenir Next LT Pro"/>
          <w:b/>
          <w:color w:val="575F61"/>
          <w:lang w:val="en-GB"/>
        </w:rPr>
        <w:t>Anglicare Tasmania acknowledges and pays respect to the Tasmanian Aboriginal community as the traditional and original owners and continuing custodians of this land, lutruwita, on which this project has taken place. We acknowledge Elders past and present, and Aboriginal people who have participated in and are connected with this research.</w:t>
      </w:r>
    </w:p>
    <w:p w14:paraId="710CB1D1" w14:textId="77777777" w:rsidR="008E5242" w:rsidRDefault="008E5242" w:rsidP="001952AB"/>
    <w:p w14:paraId="0F0E8009" w14:textId="77777777" w:rsidR="008E5242" w:rsidRDefault="008E5242" w:rsidP="001952AB">
      <w:pPr>
        <w:pStyle w:val="Heading1"/>
      </w:pPr>
      <w:bookmarkStart w:id="1" w:name="_Toc179814509"/>
      <w:r>
        <w:t>Acknowledgements</w:t>
      </w:r>
      <w:bookmarkEnd w:id="1"/>
      <w:r>
        <w:t xml:space="preserve"> </w:t>
      </w:r>
    </w:p>
    <w:p w14:paraId="3A529C55" w14:textId="77777777" w:rsidR="008E5242" w:rsidRPr="00E91773" w:rsidRDefault="008E5242" w:rsidP="001952AB">
      <w:pPr>
        <w:rPr>
          <w:rFonts w:ascii="Avenir Next LT Pro" w:hAnsi="Avenir Next LT Pro"/>
          <w:color w:val="575F61"/>
          <w:lang w:val="en-GB"/>
        </w:rPr>
      </w:pPr>
      <w:r w:rsidRPr="00E91773">
        <w:rPr>
          <w:rFonts w:ascii="Avenir Next LT Pro" w:hAnsi="Avenir Next LT Pro"/>
          <w:color w:val="575F61"/>
          <w:lang w:val="en-GB"/>
        </w:rPr>
        <w:t>Anglicare acknowledges the many people and organisations who contributed to this project.</w:t>
      </w:r>
    </w:p>
    <w:p w14:paraId="0E44322A" w14:textId="77777777" w:rsidR="008E5242" w:rsidRDefault="008E5242" w:rsidP="001952AB">
      <w:pPr>
        <w:rPr>
          <w:rFonts w:ascii="Avenir Next LT Pro" w:hAnsi="Avenir Next LT Pro"/>
          <w:color w:val="575F61"/>
          <w:lang w:val="en-GB"/>
        </w:rPr>
      </w:pPr>
      <w:r w:rsidRPr="00E91773">
        <w:rPr>
          <w:rFonts w:ascii="Avenir Next LT Pro" w:hAnsi="Avenir Next LT Pro"/>
          <w:color w:val="575F61"/>
          <w:lang w:val="en-GB"/>
        </w:rPr>
        <w:t xml:space="preserve">Thank you to the Anglicare staff in the Hobart, Glenorchy, Sorell, Launceston, Devonport and Burnie offices who </w:t>
      </w:r>
      <w:r>
        <w:rPr>
          <w:rFonts w:ascii="Avenir Next LT Pro" w:hAnsi="Avenir Next LT Pro"/>
          <w:color w:val="575F61"/>
          <w:lang w:val="en-GB"/>
        </w:rPr>
        <w:t>shared</w:t>
      </w:r>
      <w:r w:rsidRPr="00E91773">
        <w:rPr>
          <w:rFonts w:ascii="Avenir Next LT Pro" w:hAnsi="Avenir Next LT Pro"/>
          <w:color w:val="575F61"/>
          <w:lang w:val="en-GB"/>
        </w:rPr>
        <w:t xml:space="preserve"> their insights </w:t>
      </w:r>
      <w:r>
        <w:rPr>
          <w:rFonts w:ascii="Avenir Next LT Pro" w:hAnsi="Avenir Next LT Pro"/>
          <w:color w:val="575F61"/>
          <w:lang w:val="en-GB"/>
        </w:rPr>
        <w:t>about the harmful effects the cost of living crisis is having on Tasmanian families.</w:t>
      </w:r>
    </w:p>
    <w:p w14:paraId="69451B18" w14:textId="77777777" w:rsidR="008E5242" w:rsidRDefault="008E5242">
      <w:pPr>
        <w:spacing w:before="0" w:after="0"/>
        <w:rPr>
          <w:rFonts w:ascii="Avenir Next LT Pro" w:hAnsi="Avenir Next LT Pro"/>
          <w:color w:val="575F61"/>
          <w:lang w:val="en-GB"/>
        </w:rPr>
      </w:pPr>
      <w:r>
        <w:rPr>
          <w:rFonts w:ascii="Avenir Next LT Pro" w:hAnsi="Avenir Next LT Pro"/>
          <w:color w:val="575F61"/>
          <w:lang w:val="en-GB"/>
        </w:rPr>
        <w:br w:type="page"/>
      </w:r>
    </w:p>
    <w:p w14:paraId="1B2D5D82" w14:textId="77777777" w:rsidR="008E5242" w:rsidRDefault="008E5242" w:rsidP="001952AB">
      <w:pPr>
        <w:pStyle w:val="Heading1"/>
      </w:pPr>
      <w:bookmarkStart w:id="2" w:name="_Toc179814510"/>
      <w:r>
        <w:lastRenderedPageBreak/>
        <w:t>About Anglicare Tasmania</w:t>
      </w:r>
      <w:bookmarkEnd w:id="2"/>
      <w:r>
        <w:t xml:space="preserve"> </w:t>
      </w:r>
    </w:p>
    <w:p w14:paraId="36690C62" w14:textId="77777777" w:rsidR="008E5242" w:rsidRPr="00E91773" w:rsidRDefault="008E5242" w:rsidP="001952AB">
      <w:pPr>
        <w:rPr>
          <w:rFonts w:ascii="Avenir Next LT Pro" w:hAnsi="Avenir Next LT Pro"/>
          <w:color w:val="575F61"/>
          <w:lang w:val="en-GB"/>
        </w:rPr>
      </w:pPr>
      <w:r w:rsidRPr="00E91773">
        <w:rPr>
          <w:rFonts w:ascii="Avenir Next LT Pro" w:hAnsi="Avenir Next LT Pro"/>
          <w:color w:val="575F61"/>
          <w:lang w:val="en-GB"/>
        </w:rPr>
        <w:t xml:space="preserve">Anglicare, in response to the Christian faith, strives to achieve social justice and to provide the opportunity for people in need to reach fullness of life. </w:t>
      </w:r>
    </w:p>
    <w:p w14:paraId="770CE25E" w14:textId="77777777" w:rsidR="008E5242" w:rsidRPr="00E91773" w:rsidRDefault="008E5242" w:rsidP="001952AB">
      <w:pPr>
        <w:rPr>
          <w:rFonts w:ascii="Avenir Next LT Pro" w:hAnsi="Avenir Next LT Pro"/>
          <w:color w:val="575F61"/>
          <w:lang w:val="en-GB"/>
        </w:rPr>
      </w:pPr>
      <w:r w:rsidRPr="00E91773">
        <w:rPr>
          <w:rFonts w:ascii="Avenir Next LT Pro" w:hAnsi="Avenir Next LT Pro"/>
          <w:color w:val="575F61"/>
          <w:lang w:val="en-GB"/>
        </w:rPr>
        <w:t xml:space="preserve">Our values: </w:t>
      </w:r>
    </w:p>
    <w:p w14:paraId="44551706" w14:textId="77777777" w:rsidR="008E5242" w:rsidRPr="00E91773" w:rsidRDefault="008E5242" w:rsidP="001952AB">
      <w:pPr>
        <w:rPr>
          <w:rFonts w:ascii="Avenir Next LT Pro" w:hAnsi="Avenir Next LT Pro"/>
          <w:color w:val="575F61"/>
          <w:lang w:val="en-GB"/>
        </w:rPr>
      </w:pPr>
      <w:r w:rsidRPr="00E91773">
        <w:rPr>
          <w:rFonts w:ascii="Avenir Next LT Pro" w:hAnsi="Avenir Next LT Pro"/>
          <w:b/>
          <w:color w:val="575F61"/>
          <w:lang w:val="en-GB"/>
        </w:rPr>
        <w:t>Hope</w:t>
      </w:r>
      <w:r w:rsidRPr="00E91773">
        <w:rPr>
          <w:rFonts w:ascii="Avenir Next LT Pro" w:hAnsi="Avenir Next LT Pro"/>
          <w:color w:val="575F61"/>
          <w:lang w:val="en-GB"/>
        </w:rPr>
        <w:t xml:space="preserve">: Confidently reaching for fullness of life. </w:t>
      </w:r>
    </w:p>
    <w:p w14:paraId="0F612A28" w14:textId="77777777" w:rsidR="008E5242" w:rsidRPr="00E91773" w:rsidRDefault="008E5242" w:rsidP="001952AB">
      <w:pPr>
        <w:rPr>
          <w:rFonts w:ascii="Avenir Next LT Pro" w:hAnsi="Avenir Next LT Pro"/>
          <w:color w:val="575F61"/>
          <w:lang w:val="en-GB"/>
        </w:rPr>
      </w:pPr>
      <w:r w:rsidRPr="00E91773">
        <w:rPr>
          <w:rFonts w:ascii="Avenir Next LT Pro" w:hAnsi="Avenir Next LT Pro"/>
          <w:b/>
          <w:color w:val="575F61"/>
          <w:lang w:val="en-GB"/>
        </w:rPr>
        <w:t>Compassion</w:t>
      </w:r>
      <w:r w:rsidRPr="00E91773">
        <w:rPr>
          <w:rFonts w:ascii="Avenir Next LT Pro" w:hAnsi="Avenir Next LT Pro"/>
          <w:color w:val="575F61"/>
          <w:lang w:val="en-GB"/>
        </w:rPr>
        <w:t xml:space="preserve">: Showing empathy and care for those in need. </w:t>
      </w:r>
    </w:p>
    <w:p w14:paraId="1D9B065E" w14:textId="77777777" w:rsidR="008E5242" w:rsidRPr="00E91773" w:rsidRDefault="008E5242" w:rsidP="001952AB">
      <w:pPr>
        <w:rPr>
          <w:rFonts w:ascii="Avenir Next LT Pro" w:hAnsi="Avenir Next LT Pro"/>
          <w:color w:val="575F61"/>
          <w:lang w:val="en-GB"/>
        </w:rPr>
      </w:pPr>
      <w:r w:rsidRPr="00E91773">
        <w:rPr>
          <w:rFonts w:ascii="Avenir Next LT Pro" w:hAnsi="Avenir Next LT Pro"/>
          <w:b/>
          <w:color w:val="575F61"/>
          <w:lang w:val="en-GB"/>
        </w:rPr>
        <w:t>Justice</w:t>
      </w:r>
      <w:r w:rsidRPr="00E91773">
        <w:rPr>
          <w:rFonts w:ascii="Avenir Next LT Pro" w:hAnsi="Avenir Next LT Pro"/>
          <w:color w:val="575F61"/>
          <w:lang w:val="en-GB"/>
        </w:rPr>
        <w:t xml:space="preserve">: Promoting the fair distribution of resources and opportunities. </w:t>
      </w:r>
    </w:p>
    <w:p w14:paraId="5F5002B6" w14:textId="77777777" w:rsidR="008E5242" w:rsidRPr="00E91773" w:rsidRDefault="008E5242" w:rsidP="001952AB">
      <w:pPr>
        <w:rPr>
          <w:rFonts w:ascii="Avenir Next LT Pro" w:hAnsi="Avenir Next LT Pro"/>
          <w:color w:val="575F61"/>
          <w:lang w:val="en-GB"/>
        </w:rPr>
      </w:pPr>
      <w:r w:rsidRPr="00E91773">
        <w:rPr>
          <w:rFonts w:ascii="Avenir Next LT Pro" w:hAnsi="Avenir Next LT Pro"/>
          <w:b/>
          <w:color w:val="575F61"/>
          <w:lang w:val="en-GB"/>
        </w:rPr>
        <w:t>Respect</w:t>
      </w:r>
      <w:r w:rsidRPr="00E91773">
        <w:rPr>
          <w:rFonts w:ascii="Avenir Next LT Pro" w:hAnsi="Avenir Next LT Pro"/>
          <w:color w:val="575F61"/>
          <w:lang w:val="en-GB"/>
        </w:rPr>
        <w:t>: Recognising the inherent value and dignity of every person.</w:t>
      </w:r>
    </w:p>
    <w:p w14:paraId="1B84F3A9" w14:textId="77777777" w:rsidR="008E5242" w:rsidRDefault="008E5242" w:rsidP="001952AB"/>
    <w:p w14:paraId="56845151" w14:textId="77777777" w:rsidR="008E5242" w:rsidRDefault="008E5242" w:rsidP="001952AB">
      <w:pPr>
        <w:pStyle w:val="Heading1"/>
      </w:pPr>
      <w:bookmarkStart w:id="3" w:name="_Toc179814511"/>
      <w:r>
        <w:t>Anglicare Tasmania’s Social Action and Research Centre</w:t>
      </w:r>
      <w:bookmarkEnd w:id="3"/>
      <w:r>
        <w:t xml:space="preserve"> </w:t>
      </w:r>
    </w:p>
    <w:p w14:paraId="2D306FBC" w14:textId="77777777" w:rsidR="008E5242" w:rsidRPr="00E91773" w:rsidRDefault="008E5242" w:rsidP="001952AB">
      <w:pPr>
        <w:rPr>
          <w:rFonts w:ascii="Avenir Next LT Pro" w:hAnsi="Avenir Next LT Pro"/>
          <w:color w:val="575F61"/>
          <w:lang w:val="en-GB"/>
        </w:rPr>
      </w:pPr>
      <w:r w:rsidRPr="00E91773">
        <w:rPr>
          <w:rFonts w:ascii="Avenir Next LT Pro" w:hAnsi="Avenir Next LT Pro"/>
          <w:color w:val="575F61"/>
          <w:lang w:val="en-GB"/>
        </w:rPr>
        <w:t xml:space="preserve">The Social Action and Research Centre investigates how and why Tasmanians are affected by poverty and inequality. We use what we learn to advocate for changes that improve people’s lives. </w:t>
      </w:r>
    </w:p>
    <w:p w14:paraId="363B5AEF" w14:textId="77777777" w:rsidR="008E5242" w:rsidRPr="00E91773" w:rsidRDefault="008E5242" w:rsidP="001952AB">
      <w:pPr>
        <w:rPr>
          <w:rFonts w:ascii="Avenir Next LT Pro" w:hAnsi="Avenir Next LT Pro"/>
          <w:color w:val="575F61"/>
          <w:lang w:val="en-GB"/>
        </w:rPr>
      </w:pPr>
      <w:r w:rsidRPr="00E91773">
        <w:rPr>
          <w:rFonts w:ascii="Avenir Next LT Pro" w:hAnsi="Avenir Next LT Pro"/>
          <w:color w:val="575F61"/>
          <w:lang w:val="en-GB"/>
        </w:rPr>
        <w:t xml:space="preserve">Our qualitative research centres on the lived experience of Tasmanians. It often features the voices of people who use Anglicare services and our frontline workers. </w:t>
      </w:r>
    </w:p>
    <w:p w14:paraId="1E1C6249" w14:textId="77777777" w:rsidR="008E5242" w:rsidRPr="00E91773" w:rsidRDefault="008E5242" w:rsidP="001952AB">
      <w:pPr>
        <w:rPr>
          <w:rFonts w:ascii="Avenir Next LT Pro" w:hAnsi="Avenir Next LT Pro"/>
          <w:color w:val="575F61"/>
          <w:lang w:val="en-GB"/>
        </w:rPr>
      </w:pPr>
      <w:r w:rsidRPr="00E91773">
        <w:rPr>
          <w:rFonts w:ascii="Avenir Next LT Pro" w:hAnsi="Avenir Next LT Pro"/>
          <w:color w:val="575F61"/>
          <w:lang w:val="en-GB"/>
        </w:rPr>
        <w:t xml:space="preserve">Our quantitative research uses data to demonstrate social trends. </w:t>
      </w:r>
    </w:p>
    <w:p w14:paraId="41F34DBB" w14:textId="77777777" w:rsidR="008E5242" w:rsidRPr="00E91773" w:rsidRDefault="008E5242" w:rsidP="001952AB">
      <w:pPr>
        <w:rPr>
          <w:rFonts w:ascii="Avenir Next LT Pro" w:hAnsi="Avenir Next LT Pro"/>
          <w:color w:val="575F61"/>
          <w:lang w:val="en-GB"/>
        </w:rPr>
      </w:pPr>
      <w:r w:rsidRPr="00E91773">
        <w:rPr>
          <w:rFonts w:ascii="Avenir Next LT Pro" w:hAnsi="Avenir Next LT Pro"/>
          <w:color w:val="575F61"/>
          <w:lang w:val="en-GB"/>
        </w:rPr>
        <w:t>We brief government and stakeholders on our research and create opportunities for networking and collaboration.</w:t>
      </w:r>
    </w:p>
    <w:p w14:paraId="2DF9D627" w14:textId="77777777" w:rsidR="008E5242" w:rsidRDefault="008E5242">
      <w:pPr>
        <w:spacing w:before="0" w:after="0"/>
        <w:rPr>
          <w:rFonts w:ascii="Avenir Next Demi Bold" w:eastAsia="AvenirNextLTPro-Demi" w:hAnsi="Avenir Next Demi Bold" w:cs="AvenirNextLTPro-Demi"/>
          <w:b/>
          <w:bCs/>
          <w:color w:val="1598CB"/>
          <w:sz w:val="48"/>
          <w:szCs w:val="48"/>
        </w:rPr>
      </w:pPr>
      <w:r>
        <w:br w:type="page"/>
      </w:r>
    </w:p>
    <w:sdt>
      <w:sdtPr>
        <w:rPr>
          <w:rFonts w:ascii="Avenir Next" w:eastAsia="AvenirNext LT Pro Bold" w:hAnsi="Avenir Next" w:cs="AvenirNext LT Pro Bold"/>
          <w:b w:val="0"/>
          <w:bCs w:val="0"/>
          <w:color w:val="auto"/>
          <w:sz w:val="24"/>
          <w:szCs w:val="22"/>
        </w:rPr>
        <w:id w:val="-685822830"/>
        <w:docPartObj>
          <w:docPartGallery w:val="Table of Contents"/>
          <w:docPartUnique/>
        </w:docPartObj>
      </w:sdtPr>
      <w:sdtEndPr>
        <w:rPr>
          <w:rFonts w:ascii="Avenir Next LT Pro" w:hAnsi="Avenir Next LT Pro"/>
          <w:color w:val="575F61"/>
          <w:lang w:val="en-GB"/>
        </w:rPr>
      </w:sdtEndPr>
      <w:sdtContent>
        <w:p w14:paraId="64995A20" w14:textId="77777777" w:rsidR="008E5242" w:rsidRDefault="008E5242" w:rsidP="001952AB">
          <w:pPr>
            <w:pStyle w:val="TOCHeading"/>
          </w:pPr>
          <w:r w:rsidRPr="007C6CA2">
            <w:rPr>
              <w:rFonts w:eastAsia="AvenirNext LT Pro Bold"/>
            </w:rPr>
            <w:t>Contents</w:t>
          </w:r>
        </w:p>
        <w:p w14:paraId="6A237429" w14:textId="77777777" w:rsidR="008E5242" w:rsidRDefault="008E5242">
          <w:pPr>
            <w:pStyle w:val="TOC1"/>
            <w:tabs>
              <w:tab w:val="right" w:leader="dot" w:pos="9940"/>
            </w:tabs>
            <w:rPr>
              <w:rFonts w:eastAsiaTheme="minorEastAsia" w:cstheme="minorBidi"/>
              <w:b w:val="0"/>
              <w:bCs w:val="0"/>
              <w:noProof/>
              <w:sz w:val="22"/>
              <w:szCs w:val="22"/>
              <w:lang w:val="en-AU" w:eastAsia="en-AU"/>
            </w:rPr>
          </w:pPr>
          <w:r w:rsidRPr="007C6CA2">
            <w:rPr>
              <w:rFonts w:ascii="Avenir Next LT Pro" w:hAnsi="Avenir Next LT Pro" w:cs="AvenirNext LT Pro Bold"/>
              <w:b w:val="0"/>
              <w:bCs w:val="0"/>
              <w:color w:val="575F61"/>
              <w:sz w:val="24"/>
              <w:szCs w:val="22"/>
              <w:lang w:val="en-GB"/>
            </w:rPr>
            <w:fldChar w:fldCharType="begin"/>
          </w:r>
          <w:r w:rsidRPr="007C6CA2">
            <w:rPr>
              <w:rFonts w:ascii="Avenir Next LT Pro" w:hAnsi="Avenir Next LT Pro" w:cs="AvenirNext LT Pro Bold"/>
              <w:b w:val="0"/>
              <w:bCs w:val="0"/>
              <w:color w:val="575F61"/>
              <w:sz w:val="24"/>
              <w:szCs w:val="22"/>
              <w:lang w:val="en-GB"/>
            </w:rPr>
            <w:instrText xml:space="preserve"> TOC \o "1-2" \h \z \u </w:instrText>
          </w:r>
          <w:r w:rsidRPr="007C6CA2">
            <w:rPr>
              <w:rFonts w:ascii="Avenir Next LT Pro" w:hAnsi="Avenir Next LT Pro" w:cs="AvenirNext LT Pro Bold"/>
              <w:b w:val="0"/>
              <w:bCs w:val="0"/>
              <w:color w:val="575F61"/>
              <w:sz w:val="24"/>
              <w:szCs w:val="22"/>
              <w:lang w:val="en-GB"/>
            </w:rPr>
            <w:fldChar w:fldCharType="separate"/>
          </w:r>
          <w:hyperlink w:anchor="_Toc179814509" w:history="1">
            <w:r w:rsidRPr="00C35ECE">
              <w:rPr>
                <w:rStyle w:val="Hyperlink"/>
                <w:noProof/>
              </w:rPr>
              <w:t>Acknowledgements</w:t>
            </w:r>
            <w:r>
              <w:rPr>
                <w:noProof/>
                <w:webHidden/>
              </w:rPr>
              <w:tab/>
            </w:r>
            <w:r>
              <w:rPr>
                <w:noProof/>
                <w:webHidden/>
              </w:rPr>
              <w:fldChar w:fldCharType="begin"/>
            </w:r>
            <w:r>
              <w:rPr>
                <w:noProof/>
                <w:webHidden/>
              </w:rPr>
              <w:instrText xml:space="preserve"> PAGEREF _Toc179814509 \h </w:instrText>
            </w:r>
            <w:r>
              <w:rPr>
                <w:noProof/>
                <w:webHidden/>
              </w:rPr>
            </w:r>
            <w:r>
              <w:rPr>
                <w:noProof/>
                <w:webHidden/>
              </w:rPr>
              <w:fldChar w:fldCharType="separate"/>
            </w:r>
            <w:r>
              <w:rPr>
                <w:noProof/>
                <w:webHidden/>
              </w:rPr>
              <w:t>2</w:t>
            </w:r>
            <w:r>
              <w:rPr>
                <w:noProof/>
                <w:webHidden/>
              </w:rPr>
              <w:fldChar w:fldCharType="end"/>
            </w:r>
          </w:hyperlink>
        </w:p>
        <w:p w14:paraId="6D2C305E" w14:textId="77777777" w:rsidR="008E5242" w:rsidRDefault="007E6107">
          <w:pPr>
            <w:pStyle w:val="TOC1"/>
            <w:tabs>
              <w:tab w:val="right" w:leader="dot" w:pos="9940"/>
            </w:tabs>
            <w:rPr>
              <w:rFonts w:eastAsiaTheme="minorEastAsia" w:cstheme="minorBidi"/>
              <w:b w:val="0"/>
              <w:bCs w:val="0"/>
              <w:noProof/>
              <w:sz w:val="22"/>
              <w:szCs w:val="22"/>
              <w:lang w:val="en-AU" w:eastAsia="en-AU"/>
            </w:rPr>
          </w:pPr>
          <w:hyperlink w:anchor="_Toc179814510" w:history="1">
            <w:r w:rsidR="008E5242" w:rsidRPr="00C35ECE">
              <w:rPr>
                <w:rStyle w:val="Hyperlink"/>
                <w:noProof/>
              </w:rPr>
              <w:t>About Anglicare Tasmania</w:t>
            </w:r>
            <w:r w:rsidR="008E5242">
              <w:rPr>
                <w:noProof/>
                <w:webHidden/>
              </w:rPr>
              <w:tab/>
            </w:r>
            <w:r w:rsidR="008E5242">
              <w:rPr>
                <w:noProof/>
                <w:webHidden/>
              </w:rPr>
              <w:fldChar w:fldCharType="begin"/>
            </w:r>
            <w:r w:rsidR="008E5242">
              <w:rPr>
                <w:noProof/>
                <w:webHidden/>
              </w:rPr>
              <w:instrText xml:space="preserve"> PAGEREF _Toc179814510 \h </w:instrText>
            </w:r>
            <w:r w:rsidR="008E5242">
              <w:rPr>
                <w:noProof/>
                <w:webHidden/>
              </w:rPr>
            </w:r>
            <w:r w:rsidR="008E5242">
              <w:rPr>
                <w:noProof/>
                <w:webHidden/>
              </w:rPr>
              <w:fldChar w:fldCharType="separate"/>
            </w:r>
            <w:r w:rsidR="008E5242">
              <w:rPr>
                <w:noProof/>
                <w:webHidden/>
              </w:rPr>
              <w:t>3</w:t>
            </w:r>
            <w:r w:rsidR="008E5242">
              <w:rPr>
                <w:noProof/>
                <w:webHidden/>
              </w:rPr>
              <w:fldChar w:fldCharType="end"/>
            </w:r>
          </w:hyperlink>
        </w:p>
        <w:p w14:paraId="5348806E" w14:textId="77777777" w:rsidR="008E5242" w:rsidRDefault="007E6107">
          <w:pPr>
            <w:pStyle w:val="TOC1"/>
            <w:tabs>
              <w:tab w:val="right" w:leader="dot" w:pos="9940"/>
            </w:tabs>
            <w:rPr>
              <w:rFonts w:eastAsiaTheme="minorEastAsia" w:cstheme="minorBidi"/>
              <w:b w:val="0"/>
              <w:bCs w:val="0"/>
              <w:noProof/>
              <w:sz w:val="22"/>
              <w:szCs w:val="22"/>
              <w:lang w:val="en-AU" w:eastAsia="en-AU"/>
            </w:rPr>
          </w:pPr>
          <w:hyperlink w:anchor="_Toc179814511" w:history="1">
            <w:r w:rsidR="008E5242" w:rsidRPr="00C35ECE">
              <w:rPr>
                <w:rStyle w:val="Hyperlink"/>
                <w:noProof/>
              </w:rPr>
              <w:t>Anglicare Tasmania’s Social Action and Research Centre</w:t>
            </w:r>
            <w:r w:rsidR="008E5242">
              <w:rPr>
                <w:noProof/>
                <w:webHidden/>
              </w:rPr>
              <w:tab/>
            </w:r>
            <w:r w:rsidR="008E5242">
              <w:rPr>
                <w:noProof/>
                <w:webHidden/>
              </w:rPr>
              <w:fldChar w:fldCharType="begin"/>
            </w:r>
            <w:r w:rsidR="008E5242">
              <w:rPr>
                <w:noProof/>
                <w:webHidden/>
              </w:rPr>
              <w:instrText xml:space="preserve"> PAGEREF _Toc179814511 \h </w:instrText>
            </w:r>
            <w:r w:rsidR="008E5242">
              <w:rPr>
                <w:noProof/>
                <w:webHidden/>
              </w:rPr>
            </w:r>
            <w:r w:rsidR="008E5242">
              <w:rPr>
                <w:noProof/>
                <w:webHidden/>
              </w:rPr>
              <w:fldChar w:fldCharType="separate"/>
            </w:r>
            <w:r w:rsidR="008E5242">
              <w:rPr>
                <w:noProof/>
                <w:webHidden/>
              </w:rPr>
              <w:t>3</w:t>
            </w:r>
            <w:r w:rsidR="008E5242">
              <w:rPr>
                <w:noProof/>
                <w:webHidden/>
              </w:rPr>
              <w:fldChar w:fldCharType="end"/>
            </w:r>
          </w:hyperlink>
        </w:p>
        <w:p w14:paraId="1F73E696" w14:textId="77777777" w:rsidR="008E5242" w:rsidRDefault="007E6107">
          <w:pPr>
            <w:pStyle w:val="TOC1"/>
            <w:tabs>
              <w:tab w:val="right" w:leader="dot" w:pos="9940"/>
            </w:tabs>
            <w:rPr>
              <w:rFonts w:eastAsiaTheme="minorEastAsia" w:cstheme="minorBidi"/>
              <w:b w:val="0"/>
              <w:bCs w:val="0"/>
              <w:noProof/>
              <w:sz w:val="22"/>
              <w:szCs w:val="22"/>
              <w:lang w:val="en-AU" w:eastAsia="en-AU"/>
            </w:rPr>
          </w:pPr>
          <w:hyperlink w:anchor="_Toc179814512" w:history="1">
            <w:r w:rsidR="008E5242" w:rsidRPr="00C35ECE">
              <w:rPr>
                <w:rStyle w:val="Hyperlink"/>
                <w:noProof/>
              </w:rPr>
              <w:t>Why do this research?</w:t>
            </w:r>
            <w:r w:rsidR="008E5242">
              <w:rPr>
                <w:noProof/>
                <w:webHidden/>
              </w:rPr>
              <w:tab/>
            </w:r>
            <w:r w:rsidR="008E5242">
              <w:rPr>
                <w:noProof/>
                <w:webHidden/>
              </w:rPr>
              <w:fldChar w:fldCharType="begin"/>
            </w:r>
            <w:r w:rsidR="008E5242">
              <w:rPr>
                <w:noProof/>
                <w:webHidden/>
              </w:rPr>
              <w:instrText xml:space="preserve"> PAGEREF _Toc179814512 \h </w:instrText>
            </w:r>
            <w:r w:rsidR="008E5242">
              <w:rPr>
                <w:noProof/>
                <w:webHidden/>
              </w:rPr>
            </w:r>
            <w:r w:rsidR="008E5242">
              <w:rPr>
                <w:noProof/>
                <w:webHidden/>
              </w:rPr>
              <w:fldChar w:fldCharType="separate"/>
            </w:r>
            <w:r w:rsidR="008E5242">
              <w:rPr>
                <w:noProof/>
                <w:webHidden/>
              </w:rPr>
              <w:t>5</w:t>
            </w:r>
            <w:r w:rsidR="008E5242">
              <w:rPr>
                <w:noProof/>
                <w:webHidden/>
              </w:rPr>
              <w:fldChar w:fldCharType="end"/>
            </w:r>
          </w:hyperlink>
        </w:p>
        <w:p w14:paraId="3C61CE2D" w14:textId="77777777" w:rsidR="008E5242" w:rsidRDefault="007E6107">
          <w:pPr>
            <w:pStyle w:val="TOC1"/>
            <w:tabs>
              <w:tab w:val="right" w:leader="dot" w:pos="9940"/>
            </w:tabs>
            <w:rPr>
              <w:rFonts w:eastAsiaTheme="minorEastAsia" w:cstheme="minorBidi"/>
              <w:b w:val="0"/>
              <w:bCs w:val="0"/>
              <w:noProof/>
              <w:sz w:val="22"/>
              <w:szCs w:val="22"/>
              <w:lang w:val="en-AU" w:eastAsia="en-AU"/>
            </w:rPr>
          </w:pPr>
          <w:hyperlink w:anchor="_Toc179814513" w:history="1">
            <w:r w:rsidR="008E5242" w:rsidRPr="00C35ECE">
              <w:rPr>
                <w:rStyle w:val="Hyperlink"/>
                <w:noProof/>
              </w:rPr>
              <w:t>How did we do this research?</w:t>
            </w:r>
            <w:r w:rsidR="008E5242">
              <w:rPr>
                <w:noProof/>
                <w:webHidden/>
              </w:rPr>
              <w:tab/>
            </w:r>
            <w:r w:rsidR="008E5242">
              <w:rPr>
                <w:noProof/>
                <w:webHidden/>
              </w:rPr>
              <w:fldChar w:fldCharType="begin"/>
            </w:r>
            <w:r w:rsidR="008E5242">
              <w:rPr>
                <w:noProof/>
                <w:webHidden/>
              </w:rPr>
              <w:instrText xml:space="preserve"> PAGEREF _Toc179814513 \h </w:instrText>
            </w:r>
            <w:r w:rsidR="008E5242">
              <w:rPr>
                <w:noProof/>
                <w:webHidden/>
              </w:rPr>
            </w:r>
            <w:r w:rsidR="008E5242">
              <w:rPr>
                <w:noProof/>
                <w:webHidden/>
              </w:rPr>
              <w:fldChar w:fldCharType="separate"/>
            </w:r>
            <w:r w:rsidR="008E5242">
              <w:rPr>
                <w:noProof/>
                <w:webHidden/>
              </w:rPr>
              <w:t>5</w:t>
            </w:r>
            <w:r w:rsidR="008E5242">
              <w:rPr>
                <w:noProof/>
                <w:webHidden/>
              </w:rPr>
              <w:fldChar w:fldCharType="end"/>
            </w:r>
          </w:hyperlink>
        </w:p>
        <w:p w14:paraId="0F2F6B58" w14:textId="77777777" w:rsidR="008E5242" w:rsidRDefault="007E6107">
          <w:pPr>
            <w:pStyle w:val="TOC2"/>
            <w:tabs>
              <w:tab w:val="right" w:leader="dot" w:pos="9940"/>
            </w:tabs>
            <w:rPr>
              <w:rFonts w:eastAsiaTheme="minorEastAsia" w:cstheme="minorBidi"/>
              <w:i w:val="0"/>
              <w:iCs w:val="0"/>
              <w:noProof/>
              <w:sz w:val="22"/>
              <w:szCs w:val="22"/>
              <w:lang w:val="en-AU" w:eastAsia="en-AU"/>
            </w:rPr>
          </w:pPr>
          <w:hyperlink w:anchor="_Toc179814514" w:history="1">
            <w:r w:rsidR="008E5242" w:rsidRPr="00C35ECE">
              <w:rPr>
                <w:rStyle w:val="Hyperlink"/>
                <w:noProof/>
              </w:rPr>
              <w:t>Quantitative and qualitative data</w:t>
            </w:r>
            <w:r w:rsidR="008E5242">
              <w:rPr>
                <w:noProof/>
                <w:webHidden/>
              </w:rPr>
              <w:tab/>
            </w:r>
            <w:r w:rsidR="008E5242">
              <w:rPr>
                <w:noProof/>
                <w:webHidden/>
              </w:rPr>
              <w:fldChar w:fldCharType="begin"/>
            </w:r>
            <w:r w:rsidR="008E5242">
              <w:rPr>
                <w:noProof/>
                <w:webHidden/>
              </w:rPr>
              <w:instrText xml:space="preserve"> PAGEREF _Toc179814514 \h </w:instrText>
            </w:r>
            <w:r w:rsidR="008E5242">
              <w:rPr>
                <w:noProof/>
                <w:webHidden/>
              </w:rPr>
            </w:r>
            <w:r w:rsidR="008E5242">
              <w:rPr>
                <w:noProof/>
                <w:webHidden/>
              </w:rPr>
              <w:fldChar w:fldCharType="separate"/>
            </w:r>
            <w:r w:rsidR="008E5242">
              <w:rPr>
                <w:noProof/>
                <w:webHidden/>
              </w:rPr>
              <w:t>5</w:t>
            </w:r>
            <w:r w:rsidR="008E5242">
              <w:rPr>
                <w:noProof/>
                <w:webHidden/>
              </w:rPr>
              <w:fldChar w:fldCharType="end"/>
            </w:r>
          </w:hyperlink>
        </w:p>
        <w:p w14:paraId="2935BE07" w14:textId="77777777" w:rsidR="008E5242" w:rsidRDefault="007E6107">
          <w:pPr>
            <w:pStyle w:val="TOC2"/>
            <w:tabs>
              <w:tab w:val="right" w:leader="dot" w:pos="9940"/>
            </w:tabs>
            <w:rPr>
              <w:rFonts w:eastAsiaTheme="minorEastAsia" w:cstheme="minorBidi"/>
              <w:i w:val="0"/>
              <w:iCs w:val="0"/>
              <w:noProof/>
              <w:sz w:val="22"/>
              <w:szCs w:val="22"/>
              <w:lang w:val="en-AU" w:eastAsia="en-AU"/>
            </w:rPr>
          </w:pPr>
          <w:hyperlink w:anchor="_Toc179814515" w:history="1">
            <w:r w:rsidR="008E5242" w:rsidRPr="00C35ECE">
              <w:rPr>
                <w:rStyle w:val="Hyperlink"/>
                <w:noProof/>
              </w:rPr>
              <w:t>Literature review</w:t>
            </w:r>
            <w:r w:rsidR="008E5242">
              <w:rPr>
                <w:noProof/>
                <w:webHidden/>
              </w:rPr>
              <w:tab/>
            </w:r>
            <w:r w:rsidR="008E5242">
              <w:rPr>
                <w:noProof/>
                <w:webHidden/>
              </w:rPr>
              <w:fldChar w:fldCharType="begin"/>
            </w:r>
            <w:r w:rsidR="008E5242">
              <w:rPr>
                <w:noProof/>
                <w:webHidden/>
              </w:rPr>
              <w:instrText xml:space="preserve"> PAGEREF _Toc179814515 \h </w:instrText>
            </w:r>
            <w:r w:rsidR="008E5242">
              <w:rPr>
                <w:noProof/>
                <w:webHidden/>
              </w:rPr>
            </w:r>
            <w:r w:rsidR="008E5242">
              <w:rPr>
                <w:noProof/>
                <w:webHidden/>
              </w:rPr>
              <w:fldChar w:fldCharType="separate"/>
            </w:r>
            <w:r w:rsidR="008E5242">
              <w:rPr>
                <w:noProof/>
                <w:webHidden/>
              </w:rPr>
              <w:t>5</w:t>
            </w:r>
            <w:r w:rsidR="008E5242">
              <w:rPr>
                <w:noProof/>
                <w:webHidden/>
              </w:rPr>
              <w:fldChar w:fldCharType="end"/>
            </w:r>
          </w:hyperlink>
        </w:p>
        <w:p w14:paraId="0DC7C8B8" w14:textId="77777777" w:rsidR="008E5242" w:rsidRDefault="007E6107">
          <w:pPr>
            <w:pStyle w:val="TOC1"/>
            <w:tabs>
              <w:tab w:val="right" w:leader="dot" w:pos="9940"/>
            </w:tabs>
            <w:rPr>
              <w:rFonts w:eastAsiaTheme="minorEastAsia" w:cstheme="minorBidi"/>
              <w:b w:val="0"/>
              <w:bCs w:val="0"/>
              <w:noProof/>
              <w:sz w:val="22"/>
              <w:szCs w:val="22"/>
              <w:lang w:val="en-AU" w:eastAsia="en-AU"/>
            </w:rPr>
          </w:pPr>
          <w:hyperlink w:anchor="_Toc179814516" w:history="1">
            <w:r w:rsidR="008E5242" w:rsidRPr="00C35ECE">
              <w:rPr>
                <w:rStyle w:val="Hyperlink"/>
                <w:noProof/>
              </w:rPr>
              <w:t>Terminology</w:t>
            </w:r>
            <w:r w:rsidR="008E5242">
              <w:rPr>
                <w:noProof/>
                <w:webHidden/>
              </w:rPr>
              <w:tab/>
            </w:r>
            <w:r w:rsidR="008E5242">
              <w:rPr>
                <w:noProof/>
                <w:webHidden/>
              </w:rPr>
              <w:fldChar w:fldCharType="begin"/>
            </w:r>
            <w:r w:rsidR="008E5242">
              <w:rPr>
                <w:noProof/>
                <w:webHidden/>
              </w:rPr>
              <w:instrText xml:space="preserve"> PAGEREF _Toc179814516 \h </w:instrText>
            </w:r>
            <w:r w:rsidR="008E5242">
              <w:rPr>
                <w:noProof/>
                <w:webHidden/>
              </w:rPr>
            </w:r>
            <w:r w:rsidR="008E5242">
              <w:rPr>
                <w:noProof/>
                <w:webHidden/>
              </w:rPr>
              <w:fldChar w:fldCharType="separate"/>
            </w:r>
            <w:r w:rsidR="008E5242">
              <w:rPr>
                <w:noProof/>
                <w:webHidden/>
              </w:rPr>
              <w:t>6</w:t>
            </w:r>
            <w:r w:rsidR="008E5242">
              <w:rPr>
                <w:noProof/>
                <w:webHidden/>
              </w:rPr>
              <w:fldChar w:fldCharType="end"/>
            </w:r>
          </w:hyperlink>
        </w:p>
        <w:p w14:paraId="446BFAD5" w14:textId="77777777" w:rsidR="008E5242" w:rsidRDefault="007E6107">
          <w:pPr>
            <w:pStyle w:val="TOC1"/>
            <w:tabs>
              <w:tab w:val="right" w:leader="dot" w:pos="9940"/>
            </w:tabs>
            <w:rPr>
              <w:rFonts w:eastAsiaTheme="minorEastAsia" w:cstheme="minorBidi"/>
              <w:b w:val="0"/>
              <w:bCs w:val="0"/>
              <w:noProof/>
              <w:sz w:val="22"/>
              <w:szCs w:val="22"/>
              <w:lang w:val="en-AU" w:eastAsia="en-AU"/>
            </w:rPr>
          </w:pPr>
          <w:hyperlink w:anchor="_Toc179814517" w:history="1">
            <w:r w:rsidR="008E5242" w:rsidRPr="00C35ECE">
              <w:rPr>
                <w:rStyle w:val="Hyperlink"/>
                <w:noProof/>
              </w:rPr>
              <w:t>Executive summary</w:t>
            </w:r>
            <w:r w:rsidR="008E5242">
              <w:rPr>
                <w:noProof/>
                <w:webHidden/>
              </w:rPr>
              <w:tab/>
            </w:r>
            <w:r w:rsidR="008E5242">
              <w:rPr>
                <w:noProof/>
                <w:webHidden/>
              </w:rPr>
              <w:fldChar w:fldCharType="begin"/>
            </w:r>
            <w:r w:rsidR="008E5242">
              <w:rPr>
                <w:noProof/>
                <w:webHidden/>
              </w:rPr>
              <w:instrText xml:space="preserve"> PAGEREF _Toc179814517 \h </w:instrText>
            </w:r>
            <w:r w:rsidR="008E5242">
              <w:rPr>
                <w:noProof/>
                <w:webHidden/>
              </w:rPr>
            </w:r>
            <w:r w:rsidR="008E5242">
              <w:rPr>
                <w:noProof/>
                <w:webHidden/>
              </w:rPr>
              <w:fldChar w:fldCharType="separate"/>
            </w:r>
            <w:r w:rsidR="008E5242">
              <w:rPr>
                <w:noProof/>
                <w:webHidden/>
              </w:rPr>
              <w:t>7</w:t>
            </w:r>
            <w:r w:rsidR="008E5242">
              <w:rPr>
                <w:noProof/>
                <w:webHidden/>
              </w:rPr>
              <w:fldChar w:fldCharType="end"/>
            </w:r>
          </w:hyperlink>
        </w:p>
        <w:p w14:paraId="7D829BDC" w14:textId="77777777" w:rsidR="008E5242" w:rsidRDefault="007E6107">
          <w:pPr>
            <w:pStyle w:val="TOC2"/>
            <w:tabs>
              <w:tab w:val="right" w:leader="dot" w:pos="9940"/>
            </w:tabs>
            <w:rPr>
              <w:rFonts w:eastAsiaTheme="minorEastAsia" w:cstheme="minorBidi"/>
              <w:i w:val="0"/>
              <w:iCs w:val="0"/>
              <w:noProof/>
              <w:sz w:val="22"/>
              <w:szCs w:val="22"/>
              <w:lang w:val="en-AU" w:eastAsia="en-AU"/>
            </w:rPr>
          </w:pPr>
          <w:hyperlink w:anchor="_Toc179814518" w:history="1">
            <w:r w:rsidR="008E5242" w:rsidRPr="00C35ECE">
              <w:rPr>
                <w:rStyle w:val="Hyperlink"/>
                <w:noProof/>
                <w:lang w:val="en-GB"/>
              </w:rPr>
              <w:t>Findings</w:t>
            </w:r>
            <w:r w:rsidR="008E5242">
              <w:rPr>
                <w:noProof/>
                <w:webHidden/>
              </w:rPr>
              <w:tab/>
            </w:r>
            <w:r w:rsidR="008E5242">
              <w:rPr>
                <w:noProof/>
                <w:webHidden/>
              </w:rPr>
              <w:fldChar w:fldCharType="begin"/>
            </w:r>
            <w:r w:rsidR="008E5242">
              <w:rPr>
                <w:noProof/>
                <w:webHidden/>
              </w:rPr>
              <w:instrText xml:space="preserve"> PAGEREF _Toc179814518 \h </w:instrText>
            </w:r>
            <w:r w:rsidR="008E5242">
              <w:rPr>
                <w:noProof/>
                <w:webHidden/>
              </w:rPr>
            </w:r>
            <w:r w:rsidR="008E5242">
              <w:rPr>
                <w:noProof/>
                <w:webHidden/>
              </w:rPr>
              <w:fldChar w:fldCharType="separate"/>
            </w:r>
            <w:r w:rsidR="008E5242">
              <w:rPr>
                <w:noProof/>
                <w:webHidden/>
              </w:rPr>
              <w:t>7</w:t>
            </w:r>
            <w:r w:rsidR="008E5242">
              <w:rPr>
                <w:noProof/>
                <w:webHidden/>
              </w:rPr>
              <w:fldChar w:fldCharType="end"/>
            </w:r>
          </w:hyperlink>
        </w:p>
        <w:p w14:paraId="16A24900" w14:textId="77777777" w:rsidR="008E5242" w:rsidRDefault="007E6107">
          <w:pPr>
            <w:pStyle w:val="TOC2"/>
            <w:tabs>
              <w:tab w:val="right" w:leader="dot" w:pos="9940"/>
            </w:tabs>
            <w:rPr>
              <w:rFonts w:eastAsiaTheme="minorEastAsia" w:cstheme="minorBidi"/>
              <w:i w:val="0"/>
              <w:iCs w:val="0"/>
              <w:noProof/>
              <w:sz w:val="22"/>
              <w:szCs w:val="22"/>
              <w:lang w:val="en-AU" w:eastAsia="en-AU"/>
            </w:rPr>
          </w:pPr>
          <w:hyperlink w:anchor="_Toc179814519" w:history="1">
            <w:r w:rsidR="008E5242" w:rsidRPr="00C35ECE">
              <w:rPr>
                <w:rStyle w:val="Hyperlink"/>
                <w:noProof/>
                <w:lang w:val="en-GB"/>
              </w:rPr>
              <w:t>Recommendations</w:t>
            </w:r>
            <w:r w:rsidR="008E5242">
              <w:rPr>
                <w:noProof/>
                <w:webHidden/>
              </w:rPr>
              <w:tab/>
            </w:r>
            <w:r w:rsidR="008E5242">
              <w:rPr>
                <w:noProof/>
                <w:webHidden/>
              </w:rPr>
              <w:fldChar w:fldCharType="begin"/>
            </w:r>
            <w:r w:rsidR="008E5242">
              <w:rPr>
                <w:noProof/>
                <w:webHidden/>
              </w:rPr>
              <w:instrText xml:space="preserve"> PAGEREF _Toc179814519 \h </w:instrText>
            </w:r>
            <w:r w:rsidR="008E5242">
              <w:rPr>
                <w:noProof/>
                <w:webHidden/>
              </w:rPr>
            </w:r>
            <w:r w:rsidR="008E5242">
              <w:rPr>
                <w:noProof/>
                <w:webHidden/>
              </w:rPr>
              <w:fldChar w:fldCharType="separate"/>
            </w:r>
            <w:r w:rsidR="008E5242">
              <w:rPr>
                <w:noProof/>
                <w:webHidden/>
              </w:rPr>
              <w:t>8</w:t>
            </w:r>
            <w:r w:rsidR="008E5242">
              <w:rPr>
                <w:noProof/>
                <w:webHidden/>
              </w:rPr>
              <w:fldChar w:fldCharType="end"/>
            </w:r>
          </w:hyperlink>
        </w:p>
        <w:p w14:paraId="6AD74510" w14:textId="77777777" w:rsidR="008E5242" w:rsidRDefault="007E6107">
          <w:pPr>
            <w:pStyle w:val="TOC1"/>
            <w:tabs>
              <w:tab w:val="right" w:leader="dot" w:pos="9940"/>
            </w:tabs>
            <w:rPr>
              <w:rFonts w:eastAsiaTheme="minorEastAsia" w:cstheme="minorBidi"/>
              <w:b w:val="0"/>
              <w:bCs w:val="0"/>
              <w:noProof/>
              <w:sz w:val="22"/>
              <w:szCs w:val="22"/>
              <w:lang w:val="en-AU" w:eastAsia="en-AU"/>
            </w:rPr>
          </w:pPr>
          <w:hyperlink w:anchor="_Toc179814520" w:history="1">
            <w:r w:rsidR="008E5242" w:rsidRPr="00C35ECE">
              <w:rPr>
                <w:rStyle w:val="Hyperlink"/>
                <w:noProof/>
              </w:rPr>
              <w:t>What do we mean by the cost of living crisis?</w:t>
            </w:r>
            <w:r w:rsidR="008E5242">
              <w:rPr>
                <w:noProof/>
                <w:webHidden/>
              </w:rPr>
              <w:tab/>
            </w:r>
            <w:r w:rsidR="008E5242">
              <w:rPr>
                <w:noProof/>
                <w:webHidden/>
              </w:rPr>
              <w:fldChar w:fldCharType="begin"/>
            </w:r>
            <w:r w:rsidR="008E5242">
              <w:rPr>
                <w:noProof/>
                <w:webHidden/>
              </w:rPr>
              <w:instrText xml:space="preserve"> PAGEREF _Toc179814520 \h </w:instrText>
            </w:r>
            <w:r w:rsidR="008E5242">
              <w:rPr>
                <w:noProof/>
                <w:webHidden/>
              </w:rPr>
            </w:r>
            <w:r w:rsidR="008E5242">
              <w:rPr>
                <w:noProof/>
                <w:webHidden/>
              </w:rPr>
              <w:fldChar w:fldCharType="separate"/>
            </w:r>
            <w:r w:rsidR="008E5242">
              <w:rPr>
                <w:noProof/>
                <w:webHidden/>
              </w:rPr>
              <w:t>10</w:t>
            </w:r>
            <w:r w:rsidR="008E5242">
              <w:rPr>
                <w:noProof/>
                <w:webHidden/>
              </w:rPr>
              <w:fldChar w:fldCharType="end"/>
            </w:r>
          </w:hyperlink>
        </w:p>
        <w:p w14:paraId="5F815C44" w14:textId="77777777" w:rsidR="008E5242" w:rsidRDefault="007E6107">
          <w:pPr>
            <w:pStyle w:val="TOC2"/>
            <w:tabs>
              <w:tab w:val="right" w:leader="dot" w:pos="9940"/>
            </w:tabs>
            <w:rPr>
              <w:rFonts w:eastAsiaTheme="minorEastAsia" w:cstheme="minorBidi"/>
              <w:i w:val="0"/>
              <w:iCs w:val="0"/>
              <w:noProof/>
              <w:sz w:val="22"/>
              <w:szCs w:val="22"/>
              <w:lang w:val="en-AU" w:eastAsia="en-AU"/>
            </w:rPr>
          </w:pPr>
          <w:hyperlink w:anchor="_Toc179814521" w:history="1">
            <w:r w:rsidR="008E5242" w:rsidRPr="00C35ECE">
              <w:rPr>
                <w:rStyle w:val="Hyperlink"/>
                <w:noProof/>
                <w:lang w:val="en-GB"/>
              </w:rPr>
              <w:t>Why has the cost of living increased?</w:t>
            </w:r>
            <w:r w:rsidR="008E5242">
              <w:rPr>
                <w:noProof/>
                <w:webHidden/>
              </w:rPr>
              <w:tab/>
            </w:r>
            <w:r w:rsidR="008E5242">
              <w:rPr>
                <w:noProof/>
                <w:webHidden/>
              </w:rPr>
              <w:fldChar w:fldCharType="begin"/>
            </w:r>
            <w:r w:rsidR="008E5242">
              <w:rPr>
                <w:noProof/>
                <w:webHidden/>
              </w:rPr>
              <w:instrText xml:space="preserve"> PAGEREF _Toc179814521 \h </w:instrText>
            </w:r>
            <w:r w:rsidR="008E5242">
              <w:rPr>
                <w:noProof/>
                <w:webHidden/>
              </w:rPr>
            </w:r>
            <w:r w:rsidR="008E5242">
              <w:rPr>
                <w:noProof/>
                <w:webHidden/>
              </w:rPr>
              <w:fldChar w:fldCharType="separate"/>
            </w:r>
            <w:r w:rsidR="008E5242">
              <w:rPr>
                <w:noProof/>
                <w:webHidden/>
              </w:rPr>
              <w:t>11</w:t>
            </w:r>
            <w:r w:rsidR="008E5242">
              <w:rPr>
                <w:noProof/>
                <w:webHidden/>
              </w:rPr>
              <w:fldChar w:fldCharType="end"/>
            </w:r>
          </w:hyperlink>
        </w:p>
        <w:p w14:paraId="00BD7473" w14:textId="77777777" w:rsidR="008E5242" w:rsidRDefault="007E6107">
          <w:pPr>
            <w:pStyle w:val="TOC2"/>
            <w:tabs>
              <w:tab w:val="right" w:leader="dot" w:pos="9940"/>
            </w:tabs>
            <w:rPr>
              <w:rFonts w:eastAsiaTheme="minorEastAsia" w:cstheme="minorBidi"/>
              <w:i w:val="0"/>
              <w:iCs w:val="0"/>
              <w:noProof/>
              <w:sz w:val="22"/>
              <w:szCs w:val="22"/>
              <w:lang w:val="en-AU" w:eastAsia="en-AU"/>
            </w:rPr>
          </w:pPr>
          <w:hyperlink w:anchor="_Toc179814522" w:history="1">
            <w:r w:rsidR="008E5242" w:rsidRPr="00C35ECE">
              <w:rPr>
                <w:rStyle w:val="Hyperlink"/>
                <w:noProof/>
                <w:lang w:val="en-GB"/>
              </w:rPr>
              <w:t>How the cost of living pressure impacts families</w:t>
            </w:r>
            <w:r w:rsidR="008E5242">
              <w:rPr>
                <w:noProof/>
                <w:webHidden/>
              </w:rPr>
              <w:tab/>
            </w:r>
            <w:r w:rsidR="008E5242">
              <w:rPr>
                <w:noProof/>
                <w:webHidden/>
              </w:rPr>
              <w:fldChar w:fldCharType="begin"/>
            </w:r>
            <w:r w:rsidR="008E5242">
              <w:rPr>
                <w:noProof/>
                <w:webHidden/>
              </w:rPr>
              <w:instrText xml:space="preserve"> PAGEREF _Toc179814522 \h </w:instrText>
            </w:r>
            <w:r w:rsidR="008E5242">
              <w:rPr>
                <w:noProof/>
                <w:webHidden/>
              </w:rPr>
            </w:r>
            <w:r w:rsidR="008E5242">
              <w:rPr>
                <w:noProof/>
                <w:webHidden/>
              </w:rPr>
              <w:fldChar w:fldCharType="separate"/>
            </w:r>
            <w:r w:rsidR="008E5242">
              <w:rPr>
                <w:noProof/>
                <w:webHidden/>
              </w:rPr>
              <w:t>12</w:t>
            </w:r>
            <w:r w:rsidR="008E5242">
              <w:rPr>
                <w:noProof/>
                <w:webHidden/>
              </w:rPr>
              <w:fldChar w:fldCharType="end"/>
            </w:r>
          </w:hyperlink>
        </w:p>
        <w:p w14:paraId="7F2907C9" w14:textId="77777777" w:rsidR="008E5242" w:rsidRDefault="007E6107">
          <w:pPr>
            <w:pStyle w:val="TOC1"/>
            <w:tabs>
              <w:tab w:val="right" w:leader="dot" w:pos="9940"/>
            </w:tabs>
            <w:rPr>
              <w:rFonts w:eastAsiaTheme="minorEastAsia" w:cstheme="minorBidi"/>
              <w:b w:val="0"/>
              <w:bCs w:val="0"/>
              <w:noProof/>
              <w:sz w:val="22"/>
              <w:szCs w:val="22"/>
              <w:lang w:val="en-AU" w:eastAsia="en-AU"/>
            </w:rPr>
          </w:pPr>
          <w:hyperlink w:anchor="_Toc179814523" w:history="1">
            <w:r w:rsidR="008E5242" w:rsidRPr="00C35ECE">
              <w:rPr>
                <w:rStyle w:val="Hyperlink"/>
                <w:noProof/>
              </w:rPr>
              <w:t>Who we spoke to and what we learnt</w:t>
            </w:r>
            <w:r w:rsidR="008E5242">
              <w:rPr>
                <w:noProof/>
                <w:webHidden/>
              </w:rPr>
              <w:tab/>
            </w:r>
            <w:r w:rsidR="008E5242">
              <w:rPr>
                <w:noProof/>
                <w:webHidden/>
              </w:rPr>
              <w:fldChar w:fldCharType="begin"/>
            </w:r>
            <w:r w:rsidR="008E5242">
              <w:rPr>
                <w:noProof/>
                <w:webHidden/>
              </w:rPr>
              <w:instrText xml:space="preserve"> PAGEREF _Toc179814523 \h </w:instrText>
            </w:r>
            <w:r w:rsidR="008E5242">
              <w:rPr>
                <w:noProof/>
                <w:webHidden/>
              </w:rPr>
            </w:r>
            <w:r w:rsidR="008E5242">
              <w:rPr>
                <w:noProof/>
                <w:webHidden/>
              </w:rPr>
              <w:fldChar w:fldCharType="separate"/>
            </w:r>
            <w:r w:rsidR="008E5242">
              <w:rPr>
                <w:noProof/>
                <w:webHidden/>
              </w:rPr>
              <w:t>14</w:t>
            </w:r>
            <w:r w:rsidR="008E5242">
              <w:rPr>
                <w:noProof/>
                <w:webHidden/>
              </w:rPr>
              <w:fldChar w:fldCharType="end"/>
            </w:r>
          </w:hyperlink>
        </w:p>
        <w:p w14:paraId="641CAA12" w14:textId="77777777" w:rsidR="008E5242" w:rsidRDefault="007E6107">
          <w:pPr>
            <w:pStyle w:val="TOC1"/>
            <w:tabs>
              <w:tab w:val="right" w:leader="dot" w:pos="9940"/>
            </w:tabs>
            <w:rPr>
              <w:rFonts w:eastAsiaTheme="minorEastAsia" w:cstheme="minorBidi"/>
              <w:b w:val="0"/>
              <w:bCs w:val="0"/>
              <w:noProof/>
              <w:sz w:val="22"/>
              <w:szCs w:val="22"/>
              <w:lang w:val="en-AU" w:eastAsia="en-AU"/>
            </w:rPr>
          </w:pPr>
          <w:hyperlink w:anchor="_Toc179814524" w:history="1">
            <w:r w:rsidR="008E5242" w:rsidRPr="00C35ECE">
              <w:rPr>
                <w:rStyle w:val="Hyperlink"/>
                <w:noProof/>
                <w:lang w:val="en-GB"/>
              </w:rPr>
              <w:t>Families accessing Financial Counselling in July 2024</w:t>
            </w:r>
            <w:r w:rsidR="008E5242">
              <w:rPr>
                <w:noProof/>
                <w:webHidden/>
              </w:rPr>
              <w:tab/>
            </w:r>
            <w:r w:rsidR="008E5242">
              <w:rPr>
                <w:noProof/>
                <w:webHidden/>
              </w:rPr>
              <w:fldChar w:fldCharType="begin"/>
            </w:r>
            <w:r w:rsidR="008E5242">
              <w:rPr>
                <w:noProof/>
                <w:webHidden/>
              </w:rPr>
              <w:instrText xml:space="preserve"> PAGEREF _Toc179814524 \h </w:instrText>
            </w:r>
            <w:r w:rsidR="008E5242">
              <w:rPr>
                <w:noProof/>
                <w:webHidden/>
              </w:rPr>
            </w:r>
            <w:r w:rsidR="008E5242">
              <w:rPr>
                <w:noProof/>
                <w:webHidden/>
              </w:rPr>
              <w:fldChar w:fldCharType="separate"/>
            </w:r>
            <w:r w:rsidR="008E5242">
              <w:rPr>
                <w:noProof/>
                <w:webHidden/>
              </w:rPr>
              <w:t>15</w:t>
            </w:r>
            <w:r w:rsidR="008E5242">
              <w:rPr>
                <w:noProof/>
                <w:webHidden/>
              </w:rPr>
              <w:fldChar w:fldCharType="end"/>
            </w:r>
          </w:hyperlink>
        </w:p>
        <w:p w14:paraId="3AB56A41" w14:textId="77777777" w:rsidR="008E5242" w:rsidRDefault="007E6107">
          <w:pPr>
            <w:pStyle w:val="TOC1"/>
            <w:tabs>
              <w:tab w:val="right" w:leader="dot" w:pos="9940"/>
            </w:tabs>
            <w:rPr>
              <w:rFonts w:eastAsiaTheme="minorEastAsia" w:cstheme="minorBidi"/>
              <w:b w:val="0"/>
              <w:bCs w:val="0"/>
              <w:noProof/>
              <w:sz w:val="22"/>
              <w:szCs w:val="22"/>
              <w:lang w:val="en-AU" w:eastAsia="en-AU"/>
            </w:rPr>
          </w:pPr>
          <w:hyperlink w:anchor="_Toc179814525" w:history="1">
            <w:r w:rsidR="008E5242" w:rsidRPr="00C35ECE">
              <w:rPr>
                <w:rStyle w:val="Hyperlink"/>
                <w:noProof/>
              </w:rPr>
              <w:t>Findings</w:t>
            </w:r>
            <w:r w:rsidR="008E5242">
              <w:rPr>
                <w:noProof/>
                <w:webHidden/>
              </w:rPr>
              <w:tab/>
            </w:r>
            <w:r w:rsidR="008E5242">
              <w:rPr>
                <w:noProof/>
                <w:webHidden/>
              </w:rPr>
              <w:fldChar w:fldCharType="begin"/>
            </w:r>
            <w:r w:rsidR="008E5242">
              <w:rPr>
                <w:noProof/>
                <w:webHidden/>
              </w:rPr>
              <w:instrText xml:space="preserve"> PAGEREF _Toc179814525 \h </w:instrText>
            </w:r>
            <w:r w:rsidR="008E5242">
              <w:rPr>
                <w:noProof/>
                <w:webHidden/>
              </w:rPr>
            </w:r>
            <w:r w:rsidR="008E5242">
              <w:rPr>
                <w:noProof/>
                <w:webHidden/>
              </w:rPr>
              <w:fldChar w:fldCharType="separate"/>
            </w:r>
            <w:r w:rsidR="008E5242">
              <w:rPr>
                <w:noProof/>
                <w:webHidden/>
              </w:rPr>
              <w:t>16</w:t>
            </w:r>
            <w:r w:rsidR="008E5242">
              <w:rPr>
                <w:noProof/>
                <w:webHidden/>
              </w:rPr>
              <w:fldChar w:fldCharType="end"/>
            </w:r>
          </w:hyperlink>
        </w:p>
        <w:p w14:paraId="5CBA00CD" w14:textId="77777777" w:rsidR="008E5242" w:rsidRDefault="007E6107">
          <w:pPr>
            <w:pStyle w:val="TOC2"/>
            <w:tabs>
              <w:tab w:val="right" w:leader="dot" w:pos="9940"/>
            </w:tabs>
            <w:rPr>
              <w:rFonts w:eastAsiaTheme="minorEastAsia" w:cstheme="minorBidi"/>
              <w:i w:val="0"/>
              <w:iCs w:val="0"/>
              <w:noProof/>
              <w:sz w:val="22"/>
              <w:szCs w:val="22"/>
              <w:lang w:val="en-AU" w:eastAsia="en-AU"/>
            </w:rPr>
          </w:pPr>
          <w:hyperlink w:anchor="_Toc179814526" w:history="1">
            <w:r w:rsidR="008E5242" w:rsidRPr="00C35ECE">
              <w:rPr>
                <w:rStyle w:val="Hyperlink"/>
                <w:noProof/>
              </w:rPr>
              <w:t>Families in financial stress</w:t>
            </w:r>
            <w:r w:rsidR="008E5242">
              <w:rPr>
                <w:noProof/>
                <w:webHidden/>
              </w:rPr>
              <w:tab/>
            </w:r>
            <w:r w:rsidR="008E5242">
              <w:rPr>
                <w:noProof/>
                <w:webHidden/>
              </w:rPr>
              <w:fldChar w:fldCharType="begin"/>
            </w:r>
            <w:r w:rsidR="008E5242">
              <w:rPr>
                <w:noProof/>
                <w:webHidden/>
              </w:rPr>
              <w:instrText xml:space="preserve"> PAGEREF _Toc179814526 \h </w:instrText>
            </w:r>
            <w:r w:rsidR="008E5242">
              <w:rPr>
                <w:noProof/>
                <w:webHidden/>
              </w:rPr>
            </w:r>
            <w:r w:rsidR="008E5242">
              <w:rPr>
                <w:noProof/>
                <w:webHidden/>
              </w:rPr>
              <w:fldChar w:fldCharType="separate"/>
            </w:r>
            <w:r w:rsidR="008E5242">
              <w:rPr>
                <w:noProof/>
                <w:webHidden/>
              </w:rPr>
              <w:t>16</w:t>
            </w:r>
            <w:r w:rsidR="008E5242">
              <w:rPr>
                <w:noProof/>
                <w:webHidden/>
              </w:rPr>
              <w:fldChar w:fldCharType="end"/>
            </w:r>
          </w:hyperlink>
        </w:p>
        <w:p w14:paraId="66BD935C" w14:textId="77777777" w:rsidR="008E5242" w:rsidRDefault="007E6107">
          <w:pPr>
            <w:pStyle w:val="TOC2"/>
            <w:tabs>
              <w:tab w:val="right" w:leader="dot" w:pos="9940"/>
            </w:tabs>
            <w:rPr>
              <w:rFonts w:eastAsiaTheme="minorEastAsia" w:cstheme="minorBidi"/>
              <w:i w:val="0"/>
              <w:iCs w:val="0"/>
              <w:noProof/>
              <w:sz w:val="22"/>
              <w:szCs w:val="22"/>
              <w:lang w:val="en-AU" w:eastAsia="en-AU"/>
            </w:rPr>
          </w:pPr>
          <w:hyperlink w:anchor="_Toc179814527" w:history="1">
            <w:r w:rsidR="008E5242" w:rsidRPr="00C35ECE">
              <w:rPr>
                <w:rStyle w:val="Hyperlink"/>
                <w:noProof/>
              </w:rPr>
              <w:t>Domestic and family violence</w:t>
            </w:r>
            <w:r w:rsidR="008E5242">
              <w:rPr>
                <w:noProof/>
                <w:webHidden/>
              </w:rPr>
              <w:tab/>
            </w:r>
            <w:r w:rsidR="008E5242">
              <w:rPr>
                <w:noProof/>
                <w:webHidden/>
              </w:rPr>
              <w:fldChar w:fldCharType="begin"/>
            </w:r>
            <w:r w:rsidR="008E5242">
              <w:rPr>
                <w:noProof/>
                <w:webHidden/>
              </w:rPr>
              <w:instrText xml:space="preserve"> PAGEREF _Toc179814527 \h </w:instrText>
            </w:r>
            <w:r w:rsidR="008E5242">
              <w:rPr>
                <w:noProof/>
                <w:webHidden/>
              </w:rPr>
            </w:r>
            <w:r w:rsidR="008E5242">
              <w:rPr>
                <w:noProof/>
                <w:webHidden/>
              </w:rPr>
              <w:fldChar w:fldCharType="separate"/>
            </w:r>
            <w:r w:rsidR="008E5242">
              <w:rPr>
                <w:noProof/>
                <w:webHidden/>
              </w:rPr>
              <w:t>17</w:t>
            </w:r>
            <w:r w:rsidR="008E5242">
              <w:rPr>
                <w:noProof/>
                <w:webHidden/>
              </w:rPr>
              <w:fldChar w:fldCharType="end"/>
            </w:r>
          </w:hyperlink>
        </w:p>
        <w:p w14:paraId="11CB16ED" w14:textId="77777777" w:rsidR="008E5242" w:rsidRDefault="007E6107">
          <w:pPr>
            <w:pStyle w:val="TOC1"/>
            <w:tabs>
              <w:tab w:val="right" w:leader="dot" w:pos="9940"/>
            </w:tabs>
            <w:rPr>
              <w:rFonts w:eastAsiaTheme="minorEastAsia" w:cstheme="minorBidi"/>
              <w:b w:val="0"/>
              <w:bCs w:val="0"/>
              <w:noProof/>
              <w:sz w:val="22"/>
              <w:szCs w:val="22"/>
              <w:lang w:val="en-AU" w:eastAsia="en-AU"/>
            </w:rPr>
          </w:pPr>
          <w:hyperlink w:anchor="_Toc179814528" w:history="1">
            <w:r w:rsidR="008E5242" w:rsidRPr="00C35ECE">
              <w:rPr>
                <w:rStyle w:val="Hyperlink"/>
                <w:noProof/>
              </w:rPr>
              <w:t>Affording the basics</w:t>
            </w:r>
            <w:r w:rsidR="008E5242">
              <w:rPr>
                <w:noProof/>
                <w:webHidden/>
              </w:rPr>
              <w:tab/>
            </w:r>
            <w:r w:rsidR="008E5242">
              <w:rPr>
                <w:noProof/>
                <w:webHidden/>
              </w:rPr>
              <w:fldChar w:fldCharType="begin"/>
            </w:r>
            <w:r w:rsidR="008E5242">
              <w:rPr>
                <w:noProof/>
                <w:webHidden/>
              </w:rPr>
              <w:instrText xml:space="preserve"> PAGEREF _Toc179814528 \h </w:instrText>
            </w:r>
            <w:r w:rsidR="008E5242">
              <w:rPr>
                <w:noProof/>
                <w:webHidden/>
              </w:rPr>
            </w:r>
            <w:r w:rsidR="008E5242">
              <w:rPr>
                <w:noProof/>
                <w:webHidden/>
              </w:rPr>
              <w:fldChar w:fldCharType="separate"/>
            </w:r>
            <w:r w:rsidR="008E5242">
              <w:rPr>
                <w:noProof/>
                <w:webHidden/>
              </w:rPr>
              <w:t>19</w:t>
            </w:r>
            <w:r w:rsidR="008E5242">
              <w:rPr>
                <w:noProof/>
                <w:webHidden/>
              </w:rPr>
              <w:fldChar w:fldCharType="end"/>
            </w:r>
          </w:hyperlink>
        </w:p>
        <w:p w14:paraId="373B4828" w14:textId="77777777" w:rsidR="008E5242" w:rsidRDefault="007E6107">
          <w:pPr>
            <w:pStyle w:val="TOC2"/>
            <w:tabs>
              <w:tab w:val="right" w:leader="dot" w:pos="9940"/>
            </w:tabs>
            <w:rPr>
              <w:rFonts w:eastAsiaTheme="minorEastAsia" w:cstheme="minorBidi"/>
              <w:i w:val="0"/>
              <w:iCs w:val="0"/>
              <w:noProof/>
              <w:sz w:val="22"/>
              <w:szCs w:val="22"/>
              <w:lang w:val="en-AU" w:eastAsia="en-AU"/>
            </w:rPr>
          </w:pPr>
          <w:hyperlink w:anchor="_Toc179814529" w:history="1">
            <w:r w:rsidR="008E5242" w:rsidRPr="00C35ECE">
              <w:rPr>
                <w:rStyle w:val="Hyperlink"/>
                <w:noProof/>
              </w:rPr>
              <w:t>Suitable and secure housing</w:t>
            </w:r>
            <w:r w:rsidR="008E5242">
              <w:rPr>
                <w:noProof/>
                <w:webHidden/>
              </w:rPr>
              <w:tab/>
            </w:r>
            <w:r w:rsidR="008E5242">
              <w:rPr>
                <w:noProof/>
                <w:webHidden/>
              </w:rPr>
              <w:fldChar w:fldCharType="begin"/>
            </w:r>
            <w:r w:rsidR="008E5242">
              <w:rPr>
                <w:noProof/>
                <w:webHidden/>
              </w:rPr>
              <w:instrText xml:space="preserve"> PAGEREF _Toc179814529 \h </w:instrText>
            </w:r>
            <w:r w:rsidR="008E5242">
              <w:rPr>
                <w:noProof/>
                <w:webHidden/>
              </w:rPr>
            </w:r>
            <w:r w:rsidR="008E5242">
              <w:rPr>
                <w:noProof/>
                <w:webHidden/>
              </w:rPr>
              <w:fldChar w:fldCharType="separate"/>
            </w:r>
            <w:r w:rsidR="008E5242">
              <w:rPr>
                <w:noProof/>
                <w:webHidden/>
              </w:rPr>
              <w:t>19</w:t>
            </w:r>
            <w:r w:rsidR="008E5242">
              <w:rPr>
                <w:noProof/>
                <w:webHidden/>
              </w:rPr>
              <w:fldChar w:fldCharType="end"/>
            </w:r>
          </w:hyperlink>
        </w:p>
        <w:p w14:paraId="784BFA00" w14:textId="77777777" w:rsidR="008E5242" w:rsidRDefault="007E6107">
          <w:pPr>
            <w:pStyle w:val="TOC2"/>
            <w:tabs>
              <w:tab w:val="right" w:leader="dot" w:pos="9940"/>
            </w:tabs>
            <w:rPr>
              <w:rFonts w:eastAsiaTheme="minorEastAsia" w:cstheme="minorBidi"/>
              <w:i w:val="0"/>
              <w:iCs w:val="0"/>
              <w:noProof/>
              <w:sz w:val="22"/>
              <w:szCs w:val="22"/>
              <w:lang w:val="en-AU" w:eastAsia="en-AU"/>
            </w:rPr>
          </w:pPr>
          <w:hyperlink w:anchor="_Toc179814530" w:history="1">
            <w:r w:rsidR="008E5242" w:rsidRPr="00C35ECE">
              <w:rPr>
                <w:rStyle w:val="Hyperlink"/>
                <w:noProof/>
              </w:rPr>
              <w:t>Adequate and nutritious food</w:t>
            </w:r>
            <w:r w:rsidR="008E5242">
              <w:rPr>
                <w:noProof/>
                <w:webHidden/>
              </w:rPr>
              <w:tab/>
            </w:r>
            <w:r w:rsidR="008E5242">
              <w:rPr>
                <w:noProof/>
                <w:webHidden/>
              </w:rPr>
              <w:fldChar w:fldCharType="begin"/>
            </w:r>
            <w:r w:rsidR="008E5242">
              <w:rPr>
                <w:noProof/>
                <w:webHidden/>
              </w:rPr>
              <w:instrText xml:space="preserve"> PAGEREF _Toc179814530 \h </w:instrText>
            </w:r>
            <w:r w:rsidR="008E5242">
              <w:rPr>
                <w:noProof/>
                <w:webHidden/>
              </w:rPr>
            </w:r>
            <w:r w:rsidR="008E5242">
              <w:rPr>
                <w:noProof/>
                <w:webHidden/>
              </w:rPr>
              <w:fldChar w:fldCharType="separate"/>
            </w:r>
            <w:r w:rsidR="008E5242">
              <w:rPr>
                <w:noProof/>
                <w:webHidden/>
              </w:rPr>
              <w:t>25</w:t>
            </w:r>
            <w:r w:rsidR="008E5242">
              <w:rPr>
                <w:noProof/>
                <w:webHidden/>
              </w:rPr>
              <w:fldChar w:fldCharType="end"/>
            </w:r>
          </w:hyperlink>
        </w:p>
        <w:p w14:paraId="15C2B92E" w14:textId="77777777" w:rsidR="008E5242" w:rsidRDefault="007E6107">
          <w:pPr>
            <w:pStyle w:val="TOC2"/>
            <w:tabs>
              <w:tab w:val="right" w:leader="dot" w:pos="9940"/>
            </w:tabs>
            <w:rPr>
              <w:rFonts w:eastAsiaTheme="minorEastAsia" w:cstheme="minorBidi"/>
              <w:i w:val="0"/>
              <w:iCs w:val="0"/>
              <w:noProof/>
              <w:sz w:val="22"/>
              <w:szCs w:val="22"/>
              <w:lang w:val="en-AU" w:eastAsia="en-AU"/>
            </w:rPr>
          </w:pPr>
          <w:hyperlink w:anchor="_Toc179814531" w:history="1">
            <w:r w:rsidR="008E5242" w:rsidRPr="00C35ECE">
              <w:rPr>
                <w:rStyle w:val="Hyperlink"/>
                <w:noProof/>
                <w:shd w:val="clear" w:color="auto" w:fill="FFFFFF"/>
              </w:rPr>
              <w:t>Access to medical services</w:t>
            </w:r>
            <w:r w:rsidR="008E5242">
              <w:rPr>
                <w:noProof/>
                <w:webHidden/>
              </w:rPr>
              <w:tab/>
            </w:r>
            <w:r w:rsidR="008E5242">
              <w:rPr>
                <w:noProof/>
                <w:webHidden/>
              </w:rPr>
              <w:fldChar w:fldCharType="begin"/>
            </w:r>
            <w:r w:rsidR="008E5242">
              <w:rPr>
                <w:noProof/>
                <w:webHidden/>
              </w:rPr>
              <w:instrText xml:space="preserve"> PAGEREF _Toc179814531 \h </w:instrText>
            </w:r>
            <w:r w:rsidR="008E5242">
              <w:rPr>
                <w:noProof/>
                <w:webHidden/>
              </w:rPr>
            </w:r>
            <w:r w:rsidR="008E5242">
              <w:rPr>
                <w:noProof/>
                <w:webHidden/>
              </w:rPr>
              <w:fldChar w:fldCharType="separate"/>
            </w:r>
            <w:r w:rsidR="008E5242">
              <w:rPr>
                <w:noProof/>
                <w:webHidden/>
              </w:rPr>
              <w:t>30</w:t>
            </w:r>
            <w:r w:rsidR="008E5242">
              <w:rPr>
                <w:noProof/>
                <w:webHidden/>
              </w:rPr>
              <w:fldChar w:fldCharType="end"/>
            </w:r>
          </w:hyperlink>
        </w:p>
        <w:p w14:paraId="6A46D1D4" w14:textId="77777777" w:rsidR="008E5242" w:rsidRDefault="007E6107">
          <w:pPr>
            <w:pStyle w:val="TOC1"/>
            <w:tabs>
              <w:tab w:val="right" w:leader="dot" w:pos="9940"/>
            </w:tabs>
            <w:rPr>
              <w:rFonts w:eastAsiaTheme="minorEastAsia" w:cstheme="minorBidi"/>
              <w:b w:val="0"/>
              <w:bCs w:val="0"/>
              <w:noProof/>
              <w:sz w:val="22"/>
              <w:szCs w:val="22"/>
              <w:lang w:val="en-AU" w:eastAsia="en-AU"/>
            </w:rPr>
          </w:pPr>
          <w:hyperlink w:anchor="_Toc179814532" w:history="1">
            <w:r w:rsidR="008E5242" w:rsidRPr="00C35ECE">
              <w:rPr>
                <w:rStyle w:val="Hyperlink"/>
                <w:noProof/>
              </w:rPr>
              <w:t>Conclusion and recommendations</w:t>
            </w:r>
            <w:r w:rsidR="008E5242">
              <w:rPr>
                <w:noProof/>
                <w:webHidden/>
              </w:rPr>
              <w:tab/>
            </w:r>
            <w:r w:rsidR="008E5242">
              <w:rPr>
                <w:noProof/>
                <w:webHidden/>
              </w:rPr>
              <w:fldChar w:fldCharType="begin"/>
            </w:r>
            <w:r w:rsidR="008E5242">
              <w:rPr>
                <w:noProof/>
                <w:webHidden/>
              </w:rPr>
              <w:instrText xml:space="preserve"> PAGEREF _Toc179814532 \h </w:instrText>
            </w:r>
            <w:r w:rsidR="008E5242">
              <w:rPr>
                <w:noProof/>
                <w:webHidden/>
              </w:rPr>
            </w:r>
            <w:r w:rsidR="008E5242">
              <w:rPr>
                <w:noProof/>
                <w:webHidden/>
              </w:rPr>
              <w:fldChar w:fldCharType="separate"/>
            </w:r>
            <w:r w:rsidR="008E5242">
              <w:rPr>
                <w:noProof/>
                <w:webHidden/>
              </w:rPr>
              <w:t>35</w:t>
            </w:r>
            <w:r w:rsidR="008E5242">
              <w:rPr>
                <w:noProof/>
                <w:webHidden/>
              </w:rPr>
              <w:fldChar w:fldCharType="end"/>
            </w:r>
          </w:hyperlink>
        </w:p>
        <w:p w14:paraId="39ECB418" w14:textId="77777777" w:rsidR="008E5242" w:rsidRPr="007C6CA2" w:rsidRDefault="008E5242">
          <w:pPr>
            <w:rPr>
              <w:rFonts w:ascii="Avenir Next LT Pro" w:hAnsi="Avenir Next LT Pro"/>
              <w:color w:val="575F61"/>
              <w:lang w:val="en-GB"/>
            </w:rPr>
          </w:pPr>
          <w:r w:rsidRPr="007C6CA2">
            <w:rPr>
              <w:rFonts w:ascii="Avenir Next LT Pro" w:hAnsi="Avenir Next LT Pro"/>
              <w:color w:val="575F61"/>
              <w:lang w:val="en-GB"/>
            </w:rPr>
            <w:fldChar w:fldCharType="end"/>
          </w:r>
        </w:p>
      </w:sdtContent>
    </w:sdt>
    <w:p w14:paraId="48C5BCC8" w14:textId="77777777" w:rsidR="008E5242" w:rsidRPr="007C6CA2" w:rsidRDefault="008E5242">
      <w:pPr>
        <w:spacing w:before="0" w:after="0"/>
        <w:rPr>
          <w:rFonts w:ascii="Avenir Next LT Pro" w:hAnsi="Avenir Next LT Pro"/>
          <w:color w:val="575F61"/>
          <w:lang w:val="en-GB"/>
        </w:rPr>
      </w:pPr>
      <w:r w:rsidRPr="007C6CA2">
        <w:rPr>
          <w:rFonts w:ascii="Avenir Next LT Pro" w:hAnsi="Avenir Next LT Pro"/>
          <w:color w:val="575F61"/>
          <w:lang w:val="en-GB"/>
        </w:rPr>
        <w:br w:type="page"/>
      </w:r>
    </w:p>
    <w:p w14:paraId="64E82A1B" w14:textId="77777777" w:rsidR="008E5242" w:rsidRDefault="008E5242" w:rsidP="001952AB">
      <w:pPr>
        <w:pStyle w:val="Heading1"/>
      </w:pPr>
      <w:bookmarkStart w:id="4" w:name="_Toc179814512"/>
      <w:r>
        <w:lastRenderedPageBreak/>
        <w:t>Why do this research?</w:t>
      </w:r>
      <w:bookmarkEnd w:id="4"/>
      <w:r>
        <w:t xml:space="preserve"> </w:t>
      </w:r>
    </w:p>
    <w:p w14:paraId="39A44BC4" w14:textId="77777777" w:rsidR="008E5242" w:rsidRPr="00E91773" w:rsidRDefault="008E5242" w:rsidP="001952AB">
      <w:pPr>
        <w:rPr>
          <w:rFonts w:ascii="Avenir Next LT Pro" w:hAnsi="Avenir Next LT Pro"/>
          <w:color w:val="575F61"/>
          <w:lang w:val="en-GB"/>
        </w:rPr>
      </w:pPr>
      <w:r>
        <w:rPr>
          <w:rFonts w:ascii="Avenir Next LT Pro" w:hAnsi="Avenir Next LT Pro"/>
          <w:color w:val="575F61"/>
          <w:lang w:val="en-GB"/>
        </w:rPr>
        <w:t>C</w:t>
      </w:r>
      <w:r w:rsidRPr="00E91773">
        <w:rPr>
          <w:rFonts w:ascii="Avenir Next LT Pro" w:hAnsi="Avenir Next LT Pro"/>
          <w:color w:val="575F61"/>
          <w:lang w:val="en-GB"/>
        </w:rPr>
        <w:t>ost of living pressures faced by Australian</w:t>
      </w:r>
      <w:r>
        <w:rPr>
          <w:rFonts w:ascii="Avenir Next LT Pro" w:hAnsi="Avenir Next LT Pro"/>
          <w:color w:val="575F61"/>
          <w:lang w:val="en-GB"/>
        </w:rPr>
        <w:t>s</w:t>
      </w:r>
      <w:r w:rsidRPr="00E91773">
        <w:rPr>
          <w:rFonts w:ascii="Avenir Next LT Pro" w:hAnsi="Avenir Next LT Pro"/>
          <w:color w:val="575F61"/>
          <w:lang w:val="en-GB"/>
        </w:rPr>
        <w:t xml:space="preserve"> continue</w:t>
      </w:r>
      <w:r>
        <w:rPr>
          <w:rFonts w:ascii="Avenir Next LT Pro" w:hAnsi="Avenir Next LT Pro"/>
          <w:color w:val="575F61"/>
          <w:lang w:val="en-GB"/>
        </w:rPr>
        <w:t xml:space="preserve"> to rise</w:t>
      </w:r>
      <w:r w:rsidRPr="00E91773">
        <w:rPr>
          <w:rFonts w:ascii="Avenir Next LT Pro" w:hAnsi="Avenir Next LT Pro"/>
          <w:color w:val="575F61"/>
          <w:lang w:val="en-GB"/>
        </w:rPr>
        <w:t xml:space="preserve">, </w:t>
      </w:r>
      <w:r>
        <w:rPr>
          <w:rFonts w:ascii="Avenir Next LT Pro" w:hAnsi="Avenir Next LT Pro"/>
          <w:color w:val="575F61"/>
          <w:lang w:val="en-GB"/>
        </w:rPr>
        <w:t>and as a result there are Tasmanian</w:t>
      </w:r>
      <w:r w:rsidRPr="00E91773">
        <w:rPr>
          <w:rFonts w:ascii="Avenir Next LT Pro" w:hAnsi="Avenir Next LT Pro"/>
          <w:color w:val="575F61"/>
          <w:lang w:val="en-GB"/>
        </w:rPr>
        <w:t xml:space="preserve"> </w:t>
      </w:r>
      <w:r>
        <w:rPr>
          <w:rFonts w:ascii="Avenir Next LT Pro" w:hAnsi="Avenir Next LT Pro"/>
          <w:color w:val="575F61"/>
          <w:lang w:val="en-GB"/>
        </w:rPr>
        <w:t>families experiencing</w:t>
      </w:r>
      <w:r w:rsidRPr="00E91773">
        <w:rPr>
          <w:rFonts w:ascii="Avenir Next LT Pro" w:hAnsi="Avenir Next LT Pro"/>
          <w:color w:val="575F61"/>
          <w:lang w:val="en-GB"/>
        </w:rPr>
        <w:t xml:space="preserve"> </w:t>
      </w:r>
      <w:r>
        <w:rPr>
          <w:rFonts w:ascii="Avenir Next LT Pro" w:hAnsi="Avenir Next LT Pro"/>
          <w:color w:val="575F61"/>
          <w:lang w:val="en-GB"/>
        </w:rPr>
        <w:t xml:space="preserve">new or deepening </w:t>
      </w:r>
      <w:r w:rsidRPr="00E91773">
        <w:rPr>
          <w:rFonts w:ascii="Avenir Next LT Pro" w:hAnsi="Avenir Next LT Pro"/>
          <w:color w:val="575F61"/>
          <w:lang w:val="en-GB"/>
        </w:rPr>
        <w:t>financial hardship.</w:t>
      </w:r>
      <w:r>
        <w:rPr>
          <w:rFonts w:ascii="Avenir Next LT Pro" w:hAnsi="Avenir Next LT Pro"/>
          <w:color w:val="575F61"/>
          <w:lang w:val="en-GB"/>
        </w:rPr>
        <w:t xml:space="preserve"> </w:t>
      </w:r>
      <w:r w:rsidRPr="00E91773">
        <w:rPr>
          <w:rFonts w:ascii="Avenir Next LT Pro" w:hAnsi="Avenir Next LT Pro"/>
          <w:color w:val="575F61"/>
          <w:lang w:val="en-GB"/>
        </w:rPr>
        <w:t>With the cost of food, electricity</w:t>
      </w:r>
      <w:r>
        <w:rPr>
          <w:rFonts w:ascii="Avenir Next LT Pro" w:hAnsi="Avenir Next LT Pro"/>
          <w:color w:val="575F61"/>
          <w:lang w:val="en-GB"/>
        </w:rPr>
        <w:t xml:space="preserve"> and housing</w:t>
      </w:r>
      <w:r w:rsidRPr="00E91773">
        <w:rPr>
          <w:rFonts w:ascii="Avenir Next LT Pro" w:hAnsi="Avenir Next LT Pro"/>
          <w:color w:val="575F61"/>
          <w:lang w:val="en-GB"/>
        </w:rPr>
        <w:t xml:space="preserve"> climbing faster than wages and income support payments</w:t>
      </w:r>
      <w:r>
        <w:rPr>
          <w:rFonts w:ascii="Avenir Next LT Pro" w:hAnsi="Avenir Next LT Pro"/>
          <w:color w:val="575F61"/>
          <w:lang w:val="en-GB"/>
        </w:rPr>
        <w:t>,</w:t>
      </w:r>
      <w:r w:rsidRPr="00E91773">
        <w:rPr>
          <w:rFonts w:ascii="Avenir Next LT Pro" w:hAnsi="Avenir Next LT Pro"/>
          <w:color w:val="575F61"/>
          <w:lang w:val="en-GB"/>
        </w:rPr>
        <w:t xml:space="preserve"> many are struggling to make ends meet.</w:t>
      </w:r>
    </w:p>
    <w:p w14:paraId="6EFB5EA4" w14:textId="77777777" w:rsidR="008E5242" w:rsidRDefault="008E5242" w:rsidP="001952AB"/>
    <w:p w14:paraId="3C6A9B83" w14:textId="77777777" w:rsidR="008E5242" w:rsidRDefault="008E5242" w:rsidP="001952AB">
      <w:pPr>
        <w:pStyle w:val="Heading1"/>
      </w:pPr>
      <w:bookmarkStart w:id="5" w:name="_Toc179814513"/>
      <w:r>
        <w:t>How did we do this research?</w:t>
      </w:r>
      <w:bookmarkEnd w:id="5"/>
      <w:r>
        <w:t xml:space="preserve"> </w:t>
      </w:r>
    </w:p>
    <w:p w14:paraId="60DCB3A6" w14:textId="68CD5B76" w:rsidR="008E5242" w:rsidRPr="00E91773" w:rsidRDefault="008E5242" w:rsidP="001952AB">
      <w:pPr>
        <w:rPr>
          <w:rFonts w:ascii="Avenir Next LT Pro" w:hAnsi="Avenir Next LT Pro"/>
          <w:color w:val="575F61"/>
          <w:lang w:val="en-GB"/>
        </w:rPr>
      </w:pPr>
      <w:r w:rsidRPr="00E91773">
        <w:rPr>
          <w:rFonts w:ascii="Avenir Next LT Pro" w:hAnsi="Avenir Next LT Pro"/>
          <w:color w:val="575F61"/>
          <w:lang w:val="en-GB"/>
        </w:rPr>
        <w:t>This research aimed to answer three questions</w:t>
      </w:r>
      <w:r w:rsidR="001952AB">
        <w:rPr>
          <w:rFonts w:ascii="Avenir Next LT Pro" w:hAnsi="Avenir Next LT Pro"/>
          <w:color w:val="575F61"/>
          <w:lang w:val="en-GB"/>
        </w:rPr>
        <w:t>.</w:t>
      </w:r>
      <w:r w:rsidRPr="00E91773">
        <w:rPr>
          <w:rFonts w:ascii="Avenir Next LT Pro" w:hAnsi="Avenir Next LT Pro"/>
          <w:color w:val="575F61"/>
          <w:lang w:val="en-GB"/>
        </w:rPr>
        <w:t xml:space="preserve"> </w:t>
      </w:r>
    </w:p>
    <w:p w14:paraId="0DE4D6F4" w14:textId="77777777" w:rsidR="008E5242" w:rsidRPr="005A4881" w:rsidRDefault="008E5242" w:rsidP="001952AB">
      <w:pPr>
        <w:pStyle w:val="Bullets"/>
        <w:rPr>
          <w:lang w:val="en-GB"/>
        </w:rPr>
      </w:pPr>
      <w:r w:rsidRPr="005A4881">
        <w:rPr>
          <w:lang w:val="en-GB"/>
        </w:rPr>
        <w:t xml:space="preserve">What has changed </w:t>
      </w:r>
      <w:r>
        <w:rPr>
          <w:lang w:val="en-GB"/>
        </w:rPr>
        <w:t xml:space="preserve">for </w:t>
      </w:r>
      <w:r w:rsidRPr="005A4881">
        <w:rPr>
          <w:lang w:val="en-GB"/>
        </w:rPr>
        <w:t>families as a result of</w:t>
      </w:r>
      <w:r>
        <w:rPr>
          <w:lang w:val="en-GB"/>
        </w:rPr>
        <w:t xml:space="preserve"> the</w:t>
      </w:r>
      <w:r w:rsidRPr="005A4881">
        <w:rPr>
          <w:lang w:val="en-GB"/>
        </w:rPr>
        <w:t xml:space="preserve"> </w:t>
      </w:r>
      <w:r>
        <w:rPr>
          <w:lang w:val="en-GB"/>
        </w:rPr>
        <w:t>increasing</w:t>
      </w:r>
      <w:r w:rsidRPr="005A4881">
        <w:rPr>
          <w:lang w:val="en-GB"/>
        </w:rPr>
        <w:t xml:space="preserve"> cost</w:t>
      </w:r>
      <w:r>
        <w:rPr>
          <w:lang w:val="en-GB"/>
        </w:rPr>
        <w:t>s</w:t>
      </w:r>
      <w:r w:rsidRPr="005A4881">
        <w:rPr>
          <w:lang w:val="en-GB"/>
        </w:rPr>
        <w:t xml:space="preserve"> of living? </w:t>
      </w:r>
    </w:p>
    <w:p w14:paraId="1F16F47B" w14:textId="77777777" w:rsidR="008E5242" w:rsidRPr="005A4881" w:rsidRDefault="008E5242" w:rsidP="001952AB">
      <w:pPr>
        <w:pStyle w:val="Bullets"/>
        <w:rPr>
          <w:lang w:val="en-GB"/>
        </w:rPr>
      </w:pPr>
      <w:r w:rsidRPr="005A4881">
        <w:rPr>
          <w:lang w:val="en-GB"/>
        </w:rPr>
        <w:t xml:space="preserve">How have families been managing cost of living </w:t>
      </w:r>
      <w:r>
        <w:rPr>
          <w:lang w:val="en-GB"/>
        </w:rPr>
        <w:t>pressures in 2024</w:t>
      </w:r>
      <w:r w:rsidRPr="005A4881">
        <w:rPr>
          <w:lang w:val="en-GB"/>
        </w:rPr>
        <w:t xml:space="preserve">? </w:t>
      </w:r>
    </w:p>
    <w:p w14:paraId="4EADE21B" w14:textId="77777777" w:rsidR="008E5242" w:rsidRPr="005A4881" w:rsidRDefault="008E5242" w:rsidP="001952AB">
      <w:pPr>
        <w:pStyle w:val="Bullets"/>
        <w:rPr>
          <w:lang w:val="en-GB"/>
        </w:rPr>
      </w:pPr>
      <w:r w:rsidRPr="005A4881">
        <w:rPr>
          <w:lang w:val="en-GB"/>
        </w:rPr>
        <w:t xml:space="preserve">What impact </w:t>
      </w:r>
      <w:r>
        <w:rPr>
          <w:lang w:val="en-GB"/>
        </w:rPr>
        <w:t xml:space="preserve">are </w:t>
      </w:r>
      <w:r w:rsidRPr="005A4881">
        <w:rPr>
          <w:lang w:val="en-GB"/>
        </w:rPr>
        <w:t xml:space="preserve">cost of living </w:t>
      </w:r>
      <w:r>
        <w:rPr>
          <w:lang w:val="en-GB"/>
        </w:rPr>
        <w:t>pressures</w:t>
      </w:r>
      <w:r w:rsidRPr="005A4881">
        <w:rPr>
          <w:lang w:val="en-GB"/>
        </w:rPr>
        <w:t xml:space="preserve"> hav</w:t>
      </w:r>
      <w:r>
        <w:rPr>
          <w:lang w:val="en-GB"/>
        </w:rPr>
        <w:t>ing</w:t>
      </w:r>
      <w:r w:rsidRPr="005A4881">
        <w:rPr>
          <w:lang w:val="en-GB"/>
        </w:rPr>
        <w:t xml:space="preserve"> on children?</w:t>
      </w:r>
    </w:p>
    <w:p w14:paraId="7FC81453" w14:textId="77777777" w:rsidR="008E5242" w:rsidRPr="00E91773" w:rsidRDefault="008E5242" w:rsidP="001952AB">
      <w:pPr>
        <w:rPr>
          <w:rFonts w:ascii="Avenir Next LT Pro" w:hAnsi="Avenir Next LT Pro"/>
          <w:color w:val="575F61"/>
          <w:lang w:val="en-GB"/>
        </w:rPr>
      </w:pPr>
      <w:r w:rsidRPr="00E91773">
        <w:rPr>
          <w:rFonts w:ascii="Avenir Next LT Pro" w:hAnsi="Avenir Next LT Pro"/>
          <w:color w:val="575F61"/>
          <w:lang w:val="en-GB"/>
        </w:rPr>
        <w:t>To answer these questions, the following research tasks were completed:</w:t>
      </w:r>
    </w:p>
    <w:p w14:paraId="39C0B149" w14:textId="77777777" w:rsidR="008E5242" w:rsidRPr="00DC71F0" w:rsidRDefault="008E5242" w:rsidP="001952AB">
      <w:pPr>
        <w:pStyle w:val="Heading2"/>
      </w:pPr>
      <w:bookmarkStart w:id="6" w:name="_Toc179814514"/>
      <w:r w:rsidRPr="00DC71F0">
        <w:t xml:space="preserve">Quantitative and </w:t>
      </w:r>
      <w:r>
        <w:t>q</w:t>
      </w:r>
      <w:r w:rsidRPr="00DC71F0">
        <w:t xml:space="preserve">ualitative </w:t>
      </w:r>
      <w:r>
        <w:t>d</w:t>
      </w:r>
      <w:r w:rsidRPr="00DC71F0">
        <w:t>ata</w:t>
      </w:r>
      <w:bookmarkEnd w:id="6"/>
      <w:r w:rsidRPr="00DC71F0">
        <w:t xml:space="preserve"> </w:t>
      </w:r>
    </w:p>
    <w:p w14:paraId="305DFE2F" w14:textId="77777777" w:rsidR="008E5242" w:rsidRPr="005A4881" w:rsidRDefault="008E5242" w:rsidP="00867219">
      <w:pPr>
        <w:pStyle w:val="ListParagraph"/>
      </w:pPr>
      <w:r w:rsidRPr="005A4881">
        <w:t>Trend analysis of service use data for Anglicare Financial Counselling from July 2022 – June 2024</w:t>
      </w:r>
      <w:r>
        <w:t>.</w:t>
      </w:r>
      <w:r w:rsidRPr="005A4881">
        <w:t xml:space="preserve"> </w:t>
      </w:r>
    </w:p>
    <w:p w14:paraId="20ED218D" w14:textId="77777777" w:rsidR="008E5242" w:rsidRPr="005A4881" w:rsidRDefault="008E5242" w:rsidP="00867219">
      <w:pPr>
        <w:pStyle w:val="ListParagraph"/>
      </w:pPr>
      <w:r w:rsidRPr="005A4881">
        <w:t>Content analysis and thematic review of de</w:t>
      </w:r>
      <w:r>
        <w:t>-</w:t>
      </w:r>
      <w:r w:rsidRPr="005A4881">
        <w:t>identified case notes from clients who attended Anglicare’s Financial Counselling in July 2024</w:t>
      </w:r>
      <w:r>
        <w:t>.</w:t>
      </w:r>
    </w:p>
    <w:p w14:paraId="442CD4D8" w14:textId="77777777" w:rsidR="008E5242" w:rsidRPr="005A4881" w:rsidRDefault="008E5242" w:rsidP="00867219">
      <w:pPr>
        <w:pStyle w:val="ListParagraph"/>
      </w:pPr>
      <w:r w:rsidRPr="005A4881">
        <w:t>Group discussion interviews conducted with Anglicare Child</w:t>
      </w:r>
      <w:r>
        <w:t>, Youth</w:t>
      </w:r>
      <w:r w:rsidRPr="005A4881">
        <w:t xml:space="preserve"> and Family Services staff to explore what impact the cost of living was having on the children and families they work with</w:t>
      </w:r>
      <w:r>
        <w:t>.</w:t>
      </w:r>
      <w:r w:rsidRPr="005A4881">
        <w:t xml:space="preserve"> </w:t>
      </w:r>
    </w:p>
    <w:p w14:paraId="06EE4C45" w14:textId="77777777" w:rsidR="008E5242" w:rsidRPr="005A4881" w:rsidRDefault="008E5242" w:rsidP="00867219">
      <w:pPr>
        <w:pStyle w:val="ListParagraph"/>
      </w:pPr>
      <w:r w:rsidRPr="005A4881">
        <w:t xml:space="preserve">Group discussion interviews conducted with Anglicare Financial Counselling staff to explore what can be done to ease the pressures of the cost of living crisis for families </w:t>
      </w:r>
    </w:p>
    <w:p w14:paraId="7EF0B8D2" w14:textId="199FF301" w:rsidR="008E5242" w:rsidRPr="00DC71F0" w:rsidRDefault="008E5242" w:rsidP="001952AB">
      <w:pPr>
        <w:pStyle w:val="Heading2"/>
      </w:pPr>
      <w:bookmarkStart w:id="7" w:name="_Toc179814515"/>
      <w:r w:rsidRPr="00DC71F0">
        <w:t xml:space="preserve">Literature </w:t>
      </w:r>
      <w:r>
        <w:t>r</w:t>
      </w:r>
      <w:r w:rsidRPr="00DC71F0">
        <w:t>eview</w:t>
      </w:r>
      <w:bookmarkEnd w:id="7"/>
      <w:r>
        <w:t xml:space="preserve"> </w:t>
      </w:r>
    </w:p>
    <w:p w14:paraId="73EF549C" w14:textId="77777777" w:rsidR="008E5242" w:rsidRPr="005A4881" w:rsidRDefault="008E5242" w:rsidP="00867219">
      <w:pPr>
        <w:pStyle w:val="ListParagraph"/>
      </w:pPr>
      <w:r w:rsidRPr="00D142E9">
        <w:t>Review</w:t>
      </w:r>
      <w:r w:rsidRPr="005A4881">
        <w:t xml:space="preserve"> of relevant literature on the impact of financial stress on children and families, with a focus on effects on child development</w:t>
      </w:r>
      <w:r>
        <w:t>.</w:t>
      </w:r>
    </w:p>
    <w:p w14:paraId="3F8DDC7C" w14:textId="77777777" w:rsidR="008E5242" w:rsidRPr="00DC71F0" w:rsidRDefault="008E5242" w:rsidP="001952AB">
      <w:pPr>
        <w:pStyle w:val="Bullets"/>
        <w:rPr>
          <w:lang w:val="en-GB"/>
        </w:rPr>
      </w:pPr>
      <w:r w:rsidRPr="00DC71F0">
        <w:rPr>
          <w:lang w:val="en-GB"/>
        </w:rPr>
        <w:br w:type="page"/>
      </w:r>
    </w:p>
    <w:p w14:paraId="4050459B" w14:textId="77777777" w:rsidR="008E5242" w:rsidRPr="00E64141" w:rsidRDefault="008E5242" w:rsidP="001952AB">
      <w:pPr>
        <w:pStyle w:val="Heading1"/>
      </w:pPr>
      <w:bookmarkStart w:id="8" w:name="_Toc179814516"/>
      <w:bookmarkStart w:id="9" w:name="_Hlk179289401"/>
      <w:r>
        <w:lastRenderedPageBreak/>
        <w:t>Terminology</w:t>
      </w:r>
      <w:bookmarkEnd w:id="8"/>
      <w:r>
        <w:t xml:space="preserve"> </w:t>
      </w:r>
    </w:p>
    <w:p w14:paraId="628B2CDD" w14:textId="77777777" w:rsidR="008E5242" w:rsidRPr="005A4881" w:rsidRDefault="008E5242" w:rsidP="00867219">
      <w:pPr>
        <w:pStyle w:val="ListParagraph"/>
      </w:pPr>
      <w:r w:rsidRPr="005A4881">
        <w:rPr>
          <w:b/>
        </w:rPr>
        <w:t>Financial stress</w:t>
      </w:r>
      <w:r w:rsidRPr="005A4881">
        <w:t xml:space="preserve"> is any stress individuals feel as a result of a financial situation </w:t>
      </w:r>
      <w:r>
        <w:rPr>
          <w:noProof/>
        </w:rPr>
        <w:t>(Healthdirect 2023)</w:t>
      </w:r>
      <w:r w:rsidRPr="005A4881">
        <w:t xml:space="preserve">. </w:t>
      </w:r>
    </w:p>
    <w:p w14:paraId="10450729" w14:textId="77777777" w:rsidR="008E5242" w:rsidRPr="005A4881" w:rsidRDefault="008E5242" w:rsidP="00867219">
      <w:pPr>
        <w:pStyle w:val="ListParagraph"/>
        <w:rPr>
          <w:rFonts w:eastAsia="Times New Roman" w:cs="Times New Roman"/>
          <w:szCs w:val="24"/>
          <w:lang w:eastAsia="en-AU"/>
        </w:rPr>
      </w:pPr>
      <w:r w:rsidRPr="005A4881">
        <w:rPr>
          <w:b/>
          <w:bCs/>
        </w:rPr>
        <w:t>Financial vulnerability</w:t>
      </w:r>
      <w:r w:rsidRPr="005A4881">
        <w:t xml:space="preserve"> occurs when individuals </w:t>
      </w:r>
      <w:r>
        <w:t>can</w:t>
      </w:r>
      <w:r w:rsidRPr="005A4881">
        <w:t xml:space="preserve">not or </w:t>
      </w:r>
      <w:r>
        <w:t>can</w:t>
      </w:r>
      <w:r w:rsidRPr="005A4881">
        <w:t xml:space="preserve"> just barely mak</w:t>
      </w:r>
      <w:r>
        <w:t>e</w:t>
      </w:r>
      <w:r w:rsidRPr="005A4881">
        <w:t xml:space="preserve"> ends meet </w:t>
      </w:r>
      <w:r>
        <w:rPr>
          <w:noProof/>
        </w:rPr>
        <w:t>(University of Melbourne 2020)</w:t>
      </w:r>
      <w:r w:rsidRPr="005A4881">
        <w:t>.</w:t>
      </w:r>
      <w:r>
        <w:t xml:space="preserve"> </w:t>
      </w:r>
      <w:r w:rsidRPr="005A4881">
        <w:t xml:space="preserve">It is important to remember that vulnerability may not be experienced all of the time, and that anyone can become vulnerable at any time </w:t>
      </w:r>
      <w:r>
        <w:rPr>
          <w:noProof/>
        </w:rPr>
        <w:t>(AFSA 2022)</w:t>
      </w:r>
      <w:r w:rsidRPr="005A4881">
        <w:t>.</w:t>
      </w:r>
      <w:r>
        <w:t xml:space="preserve"> </w:t>
      </w:r>
    </w:p>
    <w:p w14:paraId="43306073" w14:textId="77777777" w:rsidR="008E5242" w:rsidRPr="005A4881" w:rsidRDefault="008E5242" w:rsidP="00867219">
      <w:pPr>
        <w:pStyle w:val="ListParagraph"/>
      </w:pPr>
      <w:r w:rsidRPr="005A4881">
        <w:rPr>
          <w:b/>
        </w:rPr>
        <w:t>Financial hardship</w:t>
      </w:r>
      <w:r w:rsidRPr="005A4881">
        <w:t xml:space="preserve"> occurs when individuals have difficulty paying bills, repayments on loans or other debts on time </w:t>
      </w:r>
      <w:r>
        <w:rPr>
          <w:noProof/>
        </w:rPr>
        <w:t>(NDH n.d.)</w:t>
      </w:r>
      <w:r>
        <w:t>.</w:t>
      </w:r>
      <w:r w:rsidRPr="005A4881">
        <w:t xml:space="preserve"> </w:t>
      </w:r>
    </w:p>
    <w:p w14:paraId="11B43934" w14:textId="77777777" w:rsidR="001952AB" w:rsidRDefault="008E5242" w:rsidP="00867219">
      <w:pPr>
        <w:pStyle w:val="ListParagraph"/>
      </w:pPr>
      <w:r w:rsidRPr="005A4881">
        <w:t xml:space="preserve">A broad definition of </w:t>
      </w:r>
      <w:r w:rsidRPr="001952AB">
        <w:rPr>
          <w:b/>
        </w:rPr>
        <w:t>family</w:t>
      </w:r>
      <w:r w:rsidRPr="005A4881">
        <w:t xml:space="preserve"> is used in this report to reflect the many different experiences Australians have of family, and this include</w:t>
      </w:r>
      <w:r>
        <w:t>s</w:t>
      </w:r>
      <w:r w:rsidRPr="005A4881">
        <w:t xml:space="preserve"> those in caregiver relationships such as: </w:t>
      </w:r>
    </w:p>
    <w:p w14:paraId="4E6E2C8C" w14:textId="723B4A52" w:rsidR="008E5242" w:rsidRPr="005A4881" w:rsidRDefault="001952AB" w:rsidP="00867219">
      <w:pPr>
        <w:pStyle w:val="ListParagraph"/>
      </w:pPr>
      <w:r>
        <w:t>p</w:t>
      </w:r>
      <w:r w:rsidR="008E5242" w:rsidRPr="005A4881">
        <w:t xml:space="preserve">arents and children </w:t>
      </w:r>
    </w:p>
    <w:p w14:paraId="73AFD8DD" w14:textId="5CE3C993" w:rsidR="008E5242" w:rsidRPr="005A4881" w:rsidRDefault="001952AB" w:rsidP="00867219">
      <w:pPr>
        <w:pStyle w:val="ListParagraph"/>
      </w:pPr>
      <w:r>
        <w:t>g</w:t>
      </w:r>
      <w:r w:rsidR="008E5242" w:rsidRPr="005A4881">
        <w:t xml:space="preserve">randparents and grandchildren </w:t>
      </w:r>
    </w:p>
    <w:p w14:paraId="3C1F9D9B" w14:textId="35404BE1" w:rsidR="008E5242" w:rsidRPr="005A4881" w:rsidRDefault="001952AB" w:rsidP="00867219">
      <w:pPr>
        <w:pStyle w:val="ListParagraph"/>
      </w:pPr>
      <w:r>
        <w:t>c</w:t>
      </w:r>
      <w:r w:rsidR="008E5242" w:rsidRPr="005A4881">
        <w:t xml:space="preserve">hosen family, including close friends </w:t>
      </w:r>
    </w:p>
    <w:p w14:paraId="23EE1EF3" w14:textId="1CE4182D" w:rsidR="008E5242" w:rsidRPr="005A4881" w:rsidRDefault="001952AB" w:rsidP="00867219">
      <w:pPr>
        <w:pStyle w:val="ListParagraph"/>
      </w:pPr>
      <w:r>
        <w:t>b</w:t>
      </w:r>
      <w:r w:rsidR="008E5242" w:rsidRPr="005A4881">
        <w:t xml:space="preserve">lended or step families </w:t>
      </w:r>
    </w:p>
    <w:p w14:paraId="01260960" w14:textId="55941E7D" w:rsidR="008E5242" w:rsidRPr="005A4881" w:rsidRDefault="001952AB" w:rsidP="00867219">
      <w:pPr>
        <w:pStyle w:val="ListParagraph"/>
      </w:pPr>
      <w:r>
        <w:t>f</w:t>
      </w:r>
      <w:r w:rsidR="008E5242" w:rsidRPr="005A4881">
        <w:t xml:space="preserve">oster families </w:t>
      </w:r>
    </w:p>
    <w:p w14:paraId="2B426B16" w14:textId="15AE7A70" w:rsidR="008E5242" w:rsidRPr="005A4881" w:rsidRDefault="001952AB" w:rsidP="00867219">
      <w:pPr>
        <w:pStyle w:val="ListParagraph"/>
      </w:pPr>
      <w:r>
        <w:t>g</w:t>
      </w:r>
      <w:r w:rsidR="008E5242" w:rsidRPr="005A4881">
        <w:t xml:space="preserve">uardians or other important caretakers </w:t>
      </w:r>
      <w:r w:rsidR="008E5242">
        <w:rPr>
          <w:noProof/>
        </w:rPr>
        <w:t>(Budinski and Gahan 2023)</w:t>
      </w:r>
      <w:r>
        <w:rPr>
          <w:noProof/>
        </w:rPr>
        <w:t>.</w:t>
      </w:r>
    </w:p>
    <w:p w14:paraId="2A48A115" w14:textId="721E5E83" w:rsidR="008E5242" w:rsidRPr="005A4881" w:rsidRDefault="008E5242" w:rsidP="00867219">
      <w:pPr>
        <w:pStyle w:val="ListParagraph"/>
      </w:pPr>
      <w:r w:rsidRPr="005A4881">
        <w:rPr>
          <w:b/>
        </w:rPr>
        <w:t>Poverty</w:t>
      </w:r>
      <w:r w:rsidRPr="005A4881">
        <w:t xml:space="preserve"> means that a household has inadequate income relative to their needs</w:t>
      </w:r>
      <w:r>
        <w:t>.</w:t>
      </w:r>
      <w:r w:rsidRPr="005A4881">
        <w:t xml:space="preserve"> </w:t>
      </w:r>
      <w:r>
        <w:t>I</w:t>
      </w:r>
      <w:r w:rsidRPr="005A4881">
        <w:t xml:space="preserve">n this report </w:t>
      </w:r>
      <w:r>
        <w:t xml:space="preserve">it </w:t>
      </w:r>
      <w:r w:rsidRPr="005A4881">
        <w:t>is defined as households with income below</w:t>
      </w:r>
      <w:r>
        <w:t xml:space="preserve"> the</w:t>
      </w:r>
      <w:r w:rsidRPr="005A4881">
        <w:t xml:space="preserve"> </w:t>
      </w:r>
      <w:hyperlink r:id="rId9" w:history="1">
        <w:r w:rsidRPr="001952AB">
          <w:rPr>
            <w:color w:val="4472C4" w:themeColor="accent1"/>
            <w:u w:val="single"/>
          </w:rPr>
          <w:t>Henderson poverty line</w:t>
        </w:r>
      </w:hyperlink>
      <w:r w:rsidRPr="001952AB">
        <w:t xml:space="preserve"> </w:t>
      </w:r>
      <w:r>
        <w:rPr>
          <w:noProof/>
        </w:rPr>
        <w:t>(University of Melbourne 2024)</w:t>
      </w:r>
      <w:r w:rsidRPr="005A4881">
        <w:t>.</w:t>
      </w:r>
      <w:r>
        <w:t xml:space="preserve">  </w:t>
      </w:r>
    </w:p>
    <w:p w14:paraId="7F845CED" w14:textId="77777777" w:rsidR="001952AB" w:rsidRPr="001952AB" w:rsidRDefault="008E5242" w:rsidP="00867219">
      <w:pPr>
        <w:pStyle w:val="ListParagraph"/>
        <w:rPr>
          <w:rFonts w:eastAsiaTheme="minorHAnsi"/>
        </w:rPr>
      </w:pPr>
      <w:r w:rsidRPr="005A4881">
        <w:t xml:space="preserve">In this report, </w:t>
      </w:r>
      <w:r w:rsidRPr="001952AB">
        <w:rPr>
          <w:b/>
          <w:bCs/>
        </w:rPr>
        <w:t>material basics</w:t>
      </w:r>
      <w:r w:rsidRPr="005A4881">
        <w:t xml:space="preserve"> mean</w:t>
      </w:r>
      <w:r>
        <w:t>s</w:t>
      </w:r>
      <w:r w:rsidRPr="005A4881">
        <w:t xml:space="preserve"> the essential goods and services needed to live a full and dignified life across six domains as set out in </w:t>
      </w:r>
      <w:r>
        <w:t xml:space="preserve">The </w:t>
      </w:r>
      <w:r w:rsidRPr="005A4881">
        <w:t>Nest</w:t>
      </w:r>
      <w:r>
        <w:t>, the wellbeing framework developed by the Australian Research Alliance for Children and Youth (ARACY)</w:t>
      </w:r>
      <w:r w:rsidRPr="005A4881">
        <w:t xml:space="preserve">: </w:t>
      </w:r>
    </w:p>
    <w:p w14:paraId="343198D7" w14:textId="341B1215" w:rsidR="008E5242" w:rsidRPr="001952AB" w:rsidRDefault="001952AB" w:rsidP="00867219">
      <w:pPr>
        <w:pStyle w:val="ListParagraph"/>
        <w:rPr>
          <w:rFonts w:eastAsiaTheme="minorHAnsi"/>
        </w:rPr>
      </w:pPr>
      <w:r>
        <w:t>s</w:t>
      </w:r>
      <w:r w:rsidR="008E5242" w:rsidRPr="005A4881">
        <w:t xml:space="preserve">uitable and secure housing </w:t>
      </w:r>
    </w:p>
    <w:p w14:paraId="6DC1478B" w14:textId="219EA5ED" w:rsidR="008E5242" w:rsidRPr="005A4881" w:rsidRDefault="001952AB" w:rsidP="00867219">
      <w:pPr>
        <w:pStyle w:val="ListParagraph"/>
        <w:rPr>
          <w:rFonts w:eastAsia="Times New Roman"/>
          <w:lang w:eastAsia="en-AU"/>
        </w:rPr>
      </w:pPr>
      <w:r>
        <w:t>a</w:t>
      </w:r>
      <w:r w:rsidR="008E5242" w:rsidRPr="005A4881">
        <w:t xml:space="preserve">dequate and nutritious food </w:t>
      </w:r>
    </w:p>
    <w:p w14:paraId="2AE29EBA" w14:textId="46030C20" w:rsidR="008E5242" w:rsidRPr="005A4881" w:rsidRDefault="001952AB" w:rsidP="00867219">
      <w:pPr>
        <w:pStyle w:val="ListParagraph"/>
      </w:pPr>
      <w:r>
        <w:t>a</w:t>
      </w:r>
      <w:r w:rsidR="008E5242" w:rsidRPr="005A4881">
        <w:t xml:space="preserve">ppropriate clothing </w:t>
      </w:r>
    </w:p>
    <w:p w14:paraId="52F00988" w14:textId="38E49F52" w:rsidR="008E5242" w:rsidRPr="005A4881" w:rsidRDefault="001952AB" w:rsidP="00867219">
      <w:pPr>
        <w:pStyle w:val="ListParagraph"/>
      </w:pPr>
      <w:r>
        <w:t>c</w:t>
      </w:r>
      <w:r w:rsidR="008E5242" w:rsidRPr="005A4881">
        <w:t xml:space="preserve">lean water and air </w:t>
      </w:r>
    </w:p>
    <w:p w14:paraId="5DAA7694" w14:textId="43038FAE" w:rsidR="008E5242" w:rsidRPr="005A4881" w:rsidRDefault="001952AB" w:rsidP="00867219">
      <w:pPr>
        <w:pStyle w:val="ListParagraph"/>
      </w:pPr>
      <w:r>
        <w:t>a</w:t>
      </w:r>
      <w:r w:rsidR="008E5242" w:rsidRPr="005A4881">
        <w:t xml:space="preserve">ccess to transportation, services and nature </w:t>
      </w:r>
    </w:p>
    <w:p w14:paraId="6C0BA4BA" w14:textId="2E0CEC6A" w:rsidR="001952AB" w:rsidRDefault="001952AB" w:rsidP="00867219">
      <w:pPr>
        <w:pStyle w:val="ListParagraph"/>
      </w:pPr>
      <w:r>
        <w:t>a</w:t>
      </w:r>
      <w:r w:rsidR="008E5242" w:rsidRPr="005A4881">
        <w:t xml:space="preserve">ccess to tools and equipment needed for participation </w:t>
      </w:r>
      <w:r w:rsidR="008E5242">
        <w:rPr>
          <w:noProof/>
        </w:rPr>
        <w:t>(ARACY 2024)</w:t>
      </w:r>
      <w:r>
        <w:rPr>
          <w:noProof/>
        </w:rPr>
        <w:t>.</w:t>
      </w:r>
    </w:p>
    <w:p w14:paraId="19E76572" w14:textId="2D7F4D57" w:rsidR="00F73415" w:rsidRDefault="008E5242" w:rsidP="00867219">
      <w:pPr>
        <w:pStyle w:val="ListParagraph"/>
      </w:pPr>
      <w:r w:rsidRPr="001952AB">
        <w:rPr>
          <w:b/>
        </w:rPr>
        <w:t>Family violence</w:t>
      </w:r>
      <w:r w:rsidRPr="005A4881">
        <w:t xml:space="preserve"> refers to violence between family members, typically where the perpetrator exercises power and control over another person. The most common and pervasive instances occur in intimate (current or former) partner relationships and are usually referred to as </w:t>
      </w:r>
      <w:r w:rsidRPr="001952AB">
        <w:rPr>
          <w:b/>
        </w:rPr>
        <w:t>domestic violence</w:t>
      </w:r>
      <w:r w:rsidRPr="004E004C">
        <w:t xml:space="preserve"> (AIHW 2018).</w:t>
      </w:r>
      <w:r w:rsidRPr="005A4881">
        <w:t xml:space="preserve"> To be all inclusive, this report uses the term </w:t>
      </w:r>
      <w:r w:rsidRPr="001952AB">
        <w:rPr>
          <w:b/>
        </w:rPr>
        <w:t>domestic and family violence</w:t>
      </w:r>
      <w:r w:rsidRPr="005A4881">
        <w:t xml:space="preserve">. </w:t>
      </w:r>
    </w:p>
    <w:p w14:paraId="07C6C4EC" w14:textId="77777777" w:rsidR="00F73415" w:rsidRDefault="00F73415">
      <w:pPr>
        <w:widowControl/>
        <w:autoSpaceDE/>
        <w:autoSpaceDN/>
        <w:spacing w:before="0" w:after="160" w:line="259" w:lineRule="auto"/>
        <w:rPr>
          <w:rFonts w:ascii="Avenir Next LT Pro" w:hAnsi="Avenir Next LT Pro"/>
          <w:color w:val="595959" w:themeColor="text1" w:themeTint="A6"/>
          <w:lang w:val="en-GB"/>
        </w:rPr>
      </w:pPr>
      <w:r>
        <w:br w:type="page"/>
      </w:r>
    </w:p>
    <w:p w14:paraId="5D2B8AAC" w14:textId="77777777" w:rsidR="008E5242" w:rsidRPr="005A4881" w:rsidRDefault="008E5242" w:rsidP="00867219">
      <w:pPr>
        <w:pStyle w:val="ListParagraph"/>
      </w:pPr>
      <w:r w:rsidRPr="005A4881">
        <w:lastRenderedPageBreak/>
        <w:t xml:space="preserve">We have used the term </w:t>
      </w:r>
      <w:r w:rsidRPr="005A4881">
        <w:rPr>
          <w:b/>
        </w:rPr>
        <w:t>victim-survivor</w:t>
      </w:r>
      <w:r w:rsidRPr="005A4881">
        <w:t xml:space="preserve"> to refer to people who have experienced violence. It acknowledges the harm, pain and suffering of being a victim of crime, while also illustrating their strength and resilience </w:t>
      </w:r>
      <w:r>
        <w:rPr>
          <w:noProof/>
        </w:rPr>
        <w:t>(Women Against Abuse 2024)</w:t>
      </w:r>
      <w:r w:rsidRPr="005A4881">
        <w:t>.</w:t>
      </w:r>
    </w:p>
    <w:p w14:paraId="6A73D487" w14:textId="77777777" w:rsidR="008E5242" w:rsidRDefault="008E5242" w:rsidP="00867219">
      <w:pPr>
        <w:pStyle w:val="ListParagraph"/>
      </w:pPr>
      <w:r w:rsidRPr="005A4881">
        <w:rPr>
          <w:b/>
        </w:rPr>
        <w:t>Homelessness</w:t>
      </w:r>
      <w:r w:rsidRPr="005A4881">
        <w:t xml:space="preserve"> is defined as when a person does not have a home or suitable accommodation that meets their needs. People are considered to be experiencing homelessness if their current living arrangement is in a dwelling that is inadequate; or has no tenure, or if their initial tenure is short and not extendable; or does not allow them to have control of and access to space for social relations. This definition includes people who are couch-surfing, living in overcrowded conditions and who don’t have appropriate agency where they live, as well as people who are sleeping rough </w:t>
      </w:r>
      <w:r>
        <w:rPr>
          <w:noProof/>
        </w:rPr>
        <w:t>(Shelter Tas 2021)</w:t>
      </w:r>
      <w:r w:rsidRPr="005A4881">
        <w:t>.</w:t>
      </w:r>
    </w:p>
    <w:p w14:paraId="78AD3C65" w14:textId="77777777" w:rsidR="008E5242" w:rsidRDefault="008E5242">
      <w:pPr>
        <w:spacing w:before="0" w:after="0"/>
        <w:rPr>
          <w:rFonts w:ascii="Avenir Next LT Pro" w:hAnsi="Avenir Next LT Pro"/>
          <w:color w:val="575F61"/>
          <w:lang w:val="en-GB"/>
        </w:rPr>
      </w:pPr>
      <w:r>
        <w:rPr>
          <w:rFonts w:ascii="Avenir Next LT Pro" w:hAnsi="Avenir Next LT Pro"/>
          <w:color w:val="575F61"/>
          <w:lang w:val="en-GB"/>
        </w:rPr>
        <w:br w:type="page"/>
      </w:r>
    </w:p>
    <w:p w14:paraId="28F2EA7A" w14:textId="77777777" w:rsidR="008E5242" w:rsidRDefault="008E5242" w:rsidP="001952AB">
      <w:pPr>
        <w:pStyle w:val="Heading1"/>
      </w:pPr>
      <w:bookmarkStart w:id="10" w:name="_Toc179814517"/>
      <w:r w:rsidRPr="00551484">
        <w:lastRenderedPageBreak/>
        <w:t>Executive summary</w:t>
      </w:r>
      <w:bookmarkEnd w:id="10"/>
    </w:p>
    <w:p w14:paraId="0A1A007F" w14:textId="77777777" w:rsidR="008E5242" w:rsidRDefault="008E5242" w:rsidP="001952AB">
      <w:pPr>
        <w:rPr>
          <w:rFonts w:ascii="Avenir Next LT Pro" w:hAnsi="Avenir Next LT Pro"/>
          <w:color w:val="575F61"/>
          <w:lang w:val="en-GB"/>
        </w:rPr>
      </w:pPr>
      <w:r w:rsidRPr="00A215BF">
        <w:rPr>
          <w:rFonts w:ascii="Avenir Next LT Pro" w:hAnsi="Avenir Next LT Pro"/>
          <w:color w:val="575F61"/>
          <w:lang w:val="en-GB"/>
        </w:rPr>
        <w:t xml:space="preserve">Since 2022, the cost of living in </w:t>
      </w:r>
      <w:r>
        <w:rPr>
          <w:rFonts w:ascii="Avenir Next LT Pro" w:hAnsi="Avenir Next LT Pro"/>
          <w:color w:val="575F61"/>
          <w:lang w:val="en-GB"/>
        </w:rPr>
        <w:t>Australia</w:t>
      </w:r>
      <w:r w:rsidRPr="00A215BF">
        <w:rPr>
          <w:rFonts w:ascii="Avenir Next LT Pro" w:hAnsi="Avenir Next LT Pro"/>
          <w:color w:val="575F61"/>
          <w:lang w:val="en-GB"/>
        </w:rPr>
        <w:t xml:space="preserve"> has been increasing</w:t>
      </w:r>
      <w:r>
        <w:rPr>
          <w:rFonts w:ascii="Avenir Next LT Pro" w:hAnsi="Avenir Next LT Pro"/>
          <w:color w:val="575F61"/>
          <w:lang w:val="en-GB"/>
        </w:rPr>
        <w:t xml:space="preserve"> faster than incomes, leading to what is often called a ‘cost of living crisis’.</w:t>
      </w:r>
      <w:r w:rsidRPr="00A215BF">
        <w:rPr>
          <w:rFonts w:ascii="Avenir Next LT Pro" w:hAnsi="Avenir Next LT Pro"/>
          <w:color w:val="575F61"/>
          <w:lang w:val="en-GB"/>
        </w:rPr>
        <w:t xml:space="preserve"> </w:t>
      </w:r>
    </w:p>
    <w:p w14:paraId="2291C821" w14:textId="77777777" w:rsidR="008E5242" w:rsidRDefault="008E5242" w:rsidP="001952AB">
      <w:pPr>
        <w:rPr>
          <w:rFonts w:ascii="Avenir Next LT Pro" w:hAnsi="Avenir Next LT Pro"/>
          <w:color w:val="575F61"/>
          <w:lang w:val="en-GB"/>
        </w:rPr>
      </w:pPr>
      <w:r>
        <w:rPr>
          <w:rFonts w:ascii="Avenir Next LT Pro" w:hAnsi="Avenir Next LT Pro"/>
          <w:color w:val="575F61"/>
          <w:lang w:val="en-GB"/>
        </w:rPr>
        <w:t xml:space="preserve">Anglicare’s </w:t>
      </w:r>
      <w:r w:rsidRPr="00A215BF">
        <w:rPr>
          <w:rFonts w:ascii="Avenir Next LT Pro" w:hAnsi="Avenir Next LT Pro"/>
          <w:color w:val="575F61"/>
          <w:lang w:val="en-GB"/>
        </w:rPr>
        <w:t xml:space="preserve">Social Action </w:t>
      </w:r>
      <w:r>
        <w:rPr>
          <w:rFonts w:ascii="Avenir Next LT Pro" w:hAnsi="Avenir Next LT Pro"/>
          <w:color w:val="575F61"/>
          <w:lang w:val="en-GB"/>
        </w:rPr>
        <w:t xml:space="preserve">and </w:t>
      </w:r>
      <w:r w:rsidRPr="00A215BF">
        <w:rPr>
          <w:rFonts w:ascii="Avenir Next LT Pro" w:hAnsi="Avenir Next LT Pro"/>
          <w:color w:val="575F61"/>
          <w:lang w:val="en-GB"/>
        </w:rPr>
        <w:t xml:space="preserve">Research Centre (SARC) has undertaken this research </w:t>
      </w:r>
      <w:r>
        <w:rPr>
          <w:rFonts w:ascii="Avenir Next LT Pro" w:hAnsi="Avenir Next LT Pro"/>
          <w:color w:val="575F61"/>
          <w:lang w:val="en-GB"/>
        </w:rPr>
        <w:t xml:space="preserve">in response to reports from Anglicare’s Financial Counsellors that the </w:t>
      </w:r>
      <w:r w:rsidRPr="005A4881">
        <w:rPr>
          <w:rFonts w:ascii="Avenir Next LT Pro" w:hAnsi="Avenir Next LT Pro"/>
          <w:color w:val="575F61"/>
          <w:lang w:val="en-GB"/>
        </w:rPr>
        <w:t>impact</w:t>
      </w:r>
      <w:r>
        <w:rPr>
          <w:rFonts w:ascii="Avenir Next LT Pro" w:hAnsi="Avenir Next LT Pro"/>
          <w:color w:val="575F61"/>
          <w:lang w:val="en-GB"/>
        </w:rPr>
        <w:t xml:space="preserve"> of the crisis is deepening. As a result, a</w:t>
      </w:r>
      <w:r w:rsidRPr="00A215BF">
        <w:rPr>
          <w:rFonts w:ascii="Avenir Next LT Pro" w:hAnsi="Avenir Next LT Pro"/>
          <w:color w:val="575F61"/>
          <w:lang w:val="en-GB"/>
        </w:rPr>
        <w:t>n increasing number of dual</w:t>
      </w:r>
      <w:r>
        <w:rPr>
          <w:rFonts w:ascii="Avenir Next LT Pro" w:hAnsi="Avenir Next LT Pro"/>
          <w:color w:val="575F61"/>
          <w:lang w:val="en-GB"/>
        </w:rPr>
        <w:t>-</w:t>
      </w:r>
      <w:r w:rsidRPr="00A215BF">
        <w:rPr>
          <w:rFonts w:ascii="Avenir Next LT Pro" w:hAnsi="Avenir Next LT Pro"/>
          <w:color w:val="575F61"/>
          <w:lang w:val="en-GB"/>
        </w:rPr>
        <w:t xml:space="preserve">income households </w:t>
      </w:r>
      <w:r>
        <w:rPr>
          <w:rFonts w:ascii="Avenir Next LT Pro" w:hAnsi="Avenir Next LT Pro"/>
          <w:color w:val="575F61"/>
          <w:lang w:val="en-GB"/>
        </w:rPr>
        <w:t xml:space="preserve">are </w:t>
      </w:r>
      <w:r w:rsidRPr="00A215BF">
        <w:rPr>
          <w:rFonts w:ascii="Avenir Next LT Pro" w:hAnsi="Avenir Next LT Pro"/>
          <w:color w:val="575F61"/>
          <w:lang w:val="en-GB"/>
        </w:rPr>
        <w:t>experiencing financial hardship</w:t>
      </w:r>
      <w:r>
        <w:rPr>
          <w:rFonts w:ascii="Avenir Next LT Pro" w:hAnsi="Avenir Next LT Pro"/>
          <w:color w:val="575F61"/>
          <w:lang w:val="en-GB"/>
        </w:rPr>
        <w:t xml:space="preserve"> for the first time. </w:t>
      </w:r>
    </w:p>
    <w:p w14:paraId="4DB7521C" w14:textId="77777777" w:rsidR="008E5242" w:rsidRDefault="008E5242" w:rsidP="001952AB">
      <w:pPr>
        <w:rPr>
          <w:rFonts w:ascii="Avenir Next LT Pro" w:hAnsi="Avenir Next LT Pro"/>
          <w:color w:val="575F61"/>
          <w:lang w:val="en-GB"/>
        </w:rPr>
      </w:pPr>
      <w:r w:rsidRPr="00A215BF">
        <w:rPr>
          <w:rFonts w:ascii="Avenir Next LT Pro" w:hAnsi="Avenir Next LT Pro"/>
          <w:color w:val="575F61"/>
          <w:lang w:val="en-GB"/>
        </w:rPr>
        <w:t>For families,</w:t>
      </w:r>
      <w:r>
        <w:rPr>
          <w:rFonts w:ascii="Avenir Next LT Pro" w:hAnsi="Avenir Next LT Pro"/>
          <w:color w:val="575F61"/>
          <w:lang w:val="en-GB"/>
        </w:rPr>
        <w:t xml:space="preserve"> a period of financial hardship is of concern as it can have lasting impacts on the development and life outcomes of children.</w:t>
      </w:r>
      <w:r w:rsidRPr="00A215BF">
        <w:rPr>
          <w:rFonts w:ascii="Avenir Next LT Pro" w:hAnsi="Avenir Next LT Pro"/>
          <w:color w:val="575F61"/>
          <w:lang w:val="en-GB"/>
        </w:rPr>
        <w:t xml:space="preserve"> </w:t>
      </w:r>
      <w:r>
        <w:rPr>
          <w:rFonts w:ascii="Avenir Next LT Pro" w:hAnsi="Avenir Next LT Pro"/>
          <w:color w:val="575F61"/>
          <w:lang w:val="en-GB"/>
        </w:rPr>
        <w:t xml:space="preserve">Drawing on data from Anglicare’s Financial Counselling and Child, Youth and Family Support services, this research sought to understand the </w:t>
      </w:r>
      <w:r w:rsidRPr="00A215BF">
        <w:rPr>
          <w:rFonts w:ascii="Avenir Next LT Pro" w:hAnsi="Avenir Next LT Pro"/>
          <w:color w:val="575F61"/>
          <w:lang w:val="en-GB"/>
        </w:rPr>
        <w:t xml:space="preserve">main drivers of financial hardship for families </w:t>
      </w:r>
      <w:r>
        <w:rPr>
          <w:rFonts w:ascii="Avenir Next LT Pro" w:hAnsi="Avenir Next LT Pro"/>
          <w:color w:val="575F61"/>
          <w:lang w:val="en-GB"/>
        </w:rPr>
        <w:t>and identify where policy responses and targeted supports can have the greatest impact.</w:t>
      </w:r>
    </w:p>
    <w:p w14:paraId="0CD5D7E3" w14:textId="77777777" w:rsidR="008E5242" w:rsidRPr="006B4C1F" w:rsidRDefault="008E5242" w:rsidP="001952AB">
      <w:pPr>
        <w:pStyle w:val="Heading2"/>
        <w:rPr>
          <w:lang w:val="en-GB"/>
        </w:rPr>
      </w:pPr>
      <w:bookmarkStart w:id="11" w:name="_Toc179814518"/>
      <w:r w:rsidRPr="006B4C1F">
        <w:rPr>
          <w:lang w:val="en-GB"/>
        </w:rPr>
        <w:t>Findings</w:t>
      </w:r>
      <w:bookmarkEnd w:id="11"/>
    </w:p>
    <w:p w14:paraId="02C7DF88" w14:textId="77777777" w:rsidR="008E5242" w:rsidRDefault="008E5242" w:rsidP="001952AB">
      <w:pPr>
        <w:rPr>
          <w:rFonts w:ascii="Avenir Next LT Pro" w:hAnsi="Avenir Next LT Pro"/>
          <w:color w:val="575F61"/>
          <w:lang w:val="en-GB"/>
        </w:rPr>
      </w:pPr>
      <w:r w:rsidRPr="00CB29FE">
        <w:rPr>
          <w:rFonts w:ascii="Avenir Next LT Pro" w:hAnsi="Avenir Next LT Pro"/>
          <w:b/>
          <w:color w:val="575F61"/>
          <w:lang w:val="en-GB"/>
        </w:rPr>
        <w:t>Housing</w:t>
      </w:r>
      <w:r w:rsidRPr="00CB29FE">
        <w:rPr>
          <w:rFonts w:ascii="Avenir Next LT Pro" w:hAnsi="Avenir Next LT Pro"/>
          <w:color w:val="575F61"/>
          <w:lang w:val="en-GB"/>
        </w:rPr>
        <w:t xml:space="preserve"> is the number one non</w:t>
      </w:r>
      <w:r w:rsidRPr="00CB29FE">
        <w:rPr>
          <w:rFonts w:ascii="Avenir Next LT Pro" w:hAnsi="Avenir Next LT Pro"/>
          <w:color w:val="575F61"/>
          <w:lang w:val="en-GB"/>
        </w:rPr>
        <w:noBreakHyphen/>
        <w:t>discretionary item for households. Limited housing supply is driving a rental market that is unaffordable for low-</w:t>
      </w:r>
      <w:r>
        <w:rPr>
          <w:rFonts w:ascii="Avenir Next LT Pro" w:hAnsi="Avenir Next LT Pro"/>
          <w:color w:val="575F61"/>
          <w:lang w:val="en-GB"/>
        </w:rPr>
        <w:t xml:space="preserve"> </w:t>
      </w:r>
      <w:r w:rsidRPr="00CB29FE">
        <w:rPr>
          <w:rFonts w:ascii="Avenir Next LT Pro" w:hAnsi="Avenir Next LT Pro"/>
          <w:color w:val="575F61"/>
          <w:lang w:val="en-GB"/>
        </w:rPr>
        <w:t>and middle-income households, with rents equal to or higher than equivalent mortgage repayments.</w:t>
      </w:r>
      <w:r>
        <w:rPr>
          <w:rFonts w:ascii="Avenir Next LT Pro" w:hAnsi="Avenir Next LT Pro"/>
          <w:color w:val="575F61"/>
          <w:lang w:val="en-GB"/>
        </w:rPr>
        <w:t xml:space="preserve"> </w:t>
      </w:r>
    </w:p>
    <w:p w14:paraId="48D7237F" w14:textId="77777777" w:rsidR="008E5242" w:rsidRDefault="008E5242" w:rsidP="001952AB">
      <w:pPr>
        <w:rPr>
          <w:rFonts w:ascii="Avenir Next LT Pro" w:hAnsi="Avenir Next LT Pro"/>
          <w:b/>
          <w:color w:val="575F61"/>
          <w:lang w:val="en-GB"/>
        </w:rPr>
      </w:pPr>
      <w:r w:rsidRPr="00CB29FE">
        <w:rPr>
          <w:rFonts w:ascii="Avenir Next LT Pro" w:hAnsi="Avenir Next LT Pro"/>
          <w:color w:val="575F61"/>
          <w:lang w:val="en-GB"/>
        </w:rPr>
        <w:t>For those who own their home, sharp increases in interest rates are leading to mortgage stress, with many Tasmanians facing the prospect of losing their home and being forced into a more expensive rental market.</w:t>
      </w:r>
      <w:r>
        <w:rPr>
          <w:rFonts w:ascii="Avenir Next LT Pro" w:hAnsi="Avenir Next LT Pro"/>
          <w:b/>
          <w:color w:val="575F61"/>
          <w:lang w:val="en-GB"/>
        </w:rPr>
        <w:t xml:space="preserve"> </w:t>
      </w:r>
    </w:p>
    <w:p w14:paraId="007996BC" w14:textId="77777777" w:rsidR="008E5242" w:rsidRPr="00CB29FE" w:rsidRDefault="008E5242" w:rsidP="001952AB">
      <w:pPr>
        <w:rPr>
          <w:rFonts w:ascii="Avenir Next LT Pro" w:hAnsi="Avenir Next LT Pro"/>
          <w:color w:val="575F61"/>
          <w:lang w:val="en-GB"/>
        </w:rPr>
      </w:pPr>
      <w:r w:rsidRPr="00CB29FE">
        <w:rPr>
          <w:rFonts w:ascii="Avenir Next LT Pro" w:hAnsi="Avenir Next LT Pro"/>
          <w:b/>
          <w:color w:val="575F61"/>
          <w:lang w:val="en-GB"/>
        </w:rPr>
        <w:t xml:space="preserve">Food </w:t>
      </w:r>
      <w:r w:rsidRPr="00CB29FE">
        <w:rPr>
          <w:rFonts w:ascii="Avenir Next LT Pro" w:hAnsi="Avenir Next LT Pro"/>
          <w:color w:val="575F61"/>
          <w:lang w:val="en-GB"/>
        </w:rPr>
        <w:t>insecurity is on the rise and as a result, families are turning to under</w:t>
      </w:r>
      <w:r>
        <w:rPr>
          <w:rFonts w:ascii="Avenir Next LT Pro" w:hAnsi="Avenir Next LT Pro"/>
          <w:color w:val="575F61"/>
          <w:lang w:val="en-GB"/>
        </w:rPr>
        <w:t>-</w:t>
      </w:r>
      <w:r w:rsidRPr="00CB29FE">
        <w:rPr>
          <w:rFonts w:ascii="Avenir Next LT Pro" w:hAnsi="Avenir Next LT Pro"/>
          <w:color w:val="575F61"/>
          <w:lang w:val="en-GB"/>
        </w:rPr>
        <w:t>regulated and high-risk creditors such as Buy Now Pay Later lending to afford groceries.</w:t>
      </w:r>
      <w:r>
        <w:rPr>
          <w:rFonts w:ascii="Avenir Next LT Pro" w:hAnsi="Avenir Next LT Pro"/>
          <w:b/>
          <w:color w:val="575F61"/>
          <w:lang w:val="en-GB"/>
        </w:rPr>
        <w:t xml:space="preserve"> </w:t>
      </w:r>
    </w:p>
    <w:p w14:paraId="53985B60" w14:textId="57A43A3B" w:rsidR="00F73415" w:rsidRDefault="008E5242" w:rsidP="001952AB">
      <w:pPr>
        <w:rPr>
          <w:rFonts w:ascii="Avenir Next LT Pro" w:hAnsi="Avenir Next LT Pro"/>
          <w:color w:val="575F61"/>
          <w:lang w:val="en-GB"/>
        </w:rPr>
      </w:pPr>
      <w:r w:rsidRPr="00CB29FE">
        <w:rPr>
          <w:rFonts w:ascii="Avenir Next LT Pro" w:hAnsi="Avenir Next LT Pro"/>
          <w:b/>
          <w:color w:val="575F61"/>
          <w:lang w:val="en-GB"/>
        </w:rPr>
        <w:t xml:space="preserve">Medical care </w:t>
      </w:r>
      <w:r w:rsidRPr="005F58CE">
        <w:rPr>
          <w:rFonts w:ascii="Avenir Next LT Pro" w:hAnsi="Avenir Next LT Pro"/>
          <w:color w:val="575F61"/>
          <w:lang w:val="en-GB"/>
        </w:rPr>
        <w:t>is inaccessible</w:t>
      </w:r>
      <w:r w:rsidRPr="00CB29FE">
        <w:rPr>
          <w:rFonts w:ascii="Avenir Next LT Pro" w:hAnsi="Avenir Next LT Pro"/>
          <w:color w:val="575F61"/>
          <w:lang w:val="en-GB"/>
        </w:rPr>
        <w:t xml:space="preserve"> for many families. With housing and food accounting for the majority of the household budget, parents and guardians are </w:t>
      </w:r>
      <w:r>
        <w:rPr>
          <w:rFonts w:ascii="Avenir Next LT Pro" w:hAnsi="Avenir Next LT Pro"/>
          <w:color w:val="575F61"/>
          <w:lang w:val="en-GB"/>
        </w:rPr>
        <w:t>not</w:t>
      </w:r>
      <w:r w:rsidRPr="00CB29FE">
        <w:rPr>
          <w:rFonts w:ascii="Avenir Next LT Pro" w:hAnsi="Avenir Next LT Pro"/>
          <w:color w:val="575F61"/>
          <w:lang w:val="en-GB"/>
        </w:rPr>
        <w:t xml:space="preserve"> able to afford private medical care. Parents and caregivers are struggling to provide their children with access to prompt care due to a limited supply of bulk-billed medical services and a growing gap fee for non-bulk</w:t>
      </w:r>
      <w:r>
        <w:rPr>
          <w:rFonts w:ascii="Avenir Next LT Pro" w:hAnsi="Avenir Next LT Pro"/>
          <w:color w:val="575F61"/>
          <w:lang w:val="en-GB"/>
        </w:rPr>
        <w:t>-</w:t>
      </w:r>
      <w:r w:rsidRPr="00CB29FE">
        <w:rPr>
          <w:rFonts w:ascii="Avenir Next LT Pro" w:hAnsi="Avenir Next LT Pro"/>
          <w:color w:val="575F61"/>
          <w:lang w:val="en-GB"/>
        </w:rPr>
        <w:t>billed services.</w:t>
      </w:r>
    </w:p>
    <w:p w14:paraId="525ADBC6" w14:textId="77777777" w:rsidR="00F73415" w:rsidRDefault="00F73415">
      <w:pPr>
        <w:widowControl/>
        <w:autoSpaceDE/>
        <w:autoSpaceDN/>
        <w:spacing w:before="0" w:after="160" w:line="259" w:lineRule="auto"/>
        <w:rPr>
          <w:rFonts w:ascii="Avenir Next LT Pro" w:hAnsi="Avenir Next LT Pro"/>
          <w:color w:val="575F61"/>
          <w:lang w:val="en-GB"/>
        </w:rPr>
      </w:pPr>
      <w:r>
        <w:rPr>
          <w:rFonts w:ascii="Avenir Next LT Pro" w:hAnsi="Avenir Next LT Pro"/>
          <w:color w:val="575F61"/>
          <w:lang w:val="en-GB"/>
        </w:rPr>
        <w:br w:type="page"/>
      </w:r>
    </w:p>
    <w:p w14:paraId="16F64ABE" w14:textId="77777777" w:rsidR="008E5242" w:rsidRPr="00CB29FE" w:rsidRDefault="008E5242" w:rsidP="001952AB">
      <w:pPr>
        <w:pStyle w:val="Heading2"/>
        <w:rPr>
          <w:lang w:val="en-GB"/>
        </w:rPr>
      </w:pPr>
      <w:bookmarkStart w:id="12" w:name="_Toc179814519"/>
      <w:r w:rsidRPr="00CB29FE">
        <w:rPr>
          <w:lang w:val="en-GB"/>
        </w:rPr>
        <w:lastRenderedPageBreak/>
        <w:t>Recommendations</w:t>
      </w:r>
      <w:bookmarkEnd w:id="12"/>
    </w:p>
    <w:p w14:paraId="019E2A4D" w14:textId="77777777" w:rsidR="008E5242" w:rsidRDefault="008E5242" w:rsidP="001952AB">
      <w:pPr>
        <w:rPr>
          <w:rFonts w:ascii="Avenir Next LT Pro" w:hAnsi="Avenir Next LT Pro"/>
          <w:color w:val="575F61"/>
          <w:lang w:val="en-GB"/>
        </w:rPr>
      </w:pPr>
      <w:r w:rsidRPr="00A215BF">
        <w:rPr>
          <w:rFonts w:ascii="Avenir Next LT Pro" w:hAnsi="Avenir Next LT Pro"/>
          <w:color w:val="575F61"/>
          <w:lang w:val="en-GB"/>
        </w:rPr>
        <w:t>To address these major drivers, investment is needed in targeted support to ensure that in the face of increased cost</w:t>
      </w:r>
      <w:r>
        <w:rPr>
          <w:rFonts w:ascii="Avenir Next LT Pro" w:hAnsi="Avenir Next LT Pro"/>
          <w:color w:val="575F61"/>
          <w:lang w:val="en-GB"/>
        </w:rPr>
        <w:t>s</w:t>
      </w:r>
      <w:r w:rsidRPr="00A215BF">
        <w:rPr>
          <w:rFonts w:ascii="Avenir Next LT Pro" w:hAnsi="Avenir Next LT Pro"/>
          <w:color w:val="575F61"/>
          <w:lang w:val="en-GB"/>
        </w:rPr>
        <w:t xml:space="preserve"> of living</w:t>
      </w:r>
      <w:r>
        <w:rPr>
          <w:rFonts w:ascii="Avenir Next LT Pro" w:hAnsi="Avenir Next LT Pro"/>
          <w:color w:val="575F61"/>
          <w:lang w:val="en-GB"/>
        </w:rPr>
        <w:t>,</w:t>
      </w:r>
      <w:r w:rsidRPr="00A215BF">
        <w:rPr>
          <w:rFonts w:ascii="Avenir Next LT Pro" w:hAnsi="Avenir Next LT Pro"/>
          <w:color w:val="575F61"/>
          <w:lang w:val="en-GB"/>
        </w:rPr>
        <w:t xml:space="preserve"> families can remain safe and stable and prevent avoidable adverse impacts on childhood development. This require</w:t>
      </w:r>
      <w:r>
        <w:rPr>
          <w:rFonts w:ascii="Avenir Next LT Pro" w:hAnsi="Avenir Next LT Pro"/>
          <w:color w:val="575F61"/>
          <w:lang w:val="en-GB"/>
        </w:rPr>
        <w:t>s</w:t>
      </w:r>
      <w:r w:rsidRPr="00A215BF">
        <w:rPr>
          <w:rFonts w:ascii="Avenir Next LT Pro" w:hAnsi="Avenir Next LT Pro"/>
          <w:color w:val="575F61"/>
          <w:lang w:val="en-GB"/>
        </w:rPr>
        <w:t xml:space="preserve"> both short-term initiatives that address immediate needs and long-term reform </w:t>
      </w:r>
      <w:r>
        <w:rPr>
          <w:rFonts w:ascii="Avenir Next LT Pro" w:hAnsi="Avenir Next LT Pro"/>
          <w:color w:val="575F61"/>
          <w:lang w:val="en-GB"/>
        </w:rPr>
        <w:t>to</w:t>
      </w:r>
      <w:r w:rsidRPr="00A215BF">
        <w:rPr>
          <w:rFonts w:ascii="Avenir Next LT Pro" w:hAnsi="Avenir Next LT Pro"/>
          <w:color w:val="575F61"/>
          <w:lang w:val="en-GB"/>
        </w:rPr>
        <w:t xml:space="preserve"> address </w:t>
      </w:r>
      <w:r>
        <w:rPr>
          <w:rFonts w:ascii="Avenir Next LT Pro" w:hAnsi="Avenir Next LT Pro"/>
          <w:color w:val="575F61"/>
          <w:lang w:val="en-GB"/>
        </w:rPr>
        <w:t>underlying</w:t>
      </w:r>
      <w:r w:rsidRPr="00A215BF">
        <w:rPr>
          <w:rFonts w:ascii="Avenir Next LT Pro" w:hAnsi="Avenir Next LT Pro"/>
          <w:color w:val="575F61"/>
          <w:lang w:val="en-GB"/>
        </w:rPr>
        <w:t xml:space="preserve"> cause</w:t>
      </w:r>
      <w:r>
        <w:rPr>
          <w:rFonts w:ascii="Avenir Next LT Pro" w:hAnsi="Avenir Next LT Pro"/>
          <w:color w:val="575F61"/>
          <w:lang w:val="en-GB"/>
        </w:rPr>
        <w:t>s</w:t>
      </w:r>
      <w:r w:rsidRPr="00A215BF">
        <w:rPr>
          <w:rFonts w:ascii="Avenir Next LT Pro" w:hAnsi="Avenir Next LT Pro"/>
          <w:color w:val="575F61"/>
          <w:lang w:val="en-GB"/>
        </w:rPr>
        <w:t>.</w:t>
      </w:r>
    </w:p>
    <w:p w14:paraId="2BC98632" w14:textId="79C1782D" w:rsidR="008E5242" w:rsidRDefault="008E5242" w:rsidP="001952AB">
      <w:pPr>
        <w:rPr>
          <w:rFonts w:ascii="Avenir Next LT Pro" w:hAnsi="Avenir Next LT Pro"/>
          <w:b/>
          <w:color w:val="575F61"/>
          <w:lang w:val="en-GB"/>
        </w:rPr>
      </w:pPr>
      <w:r w:rsidRPr="00165CCB">
        <w:rPr>
          <w:rFonts w:ascii="Avenir Next LT Pro" w:hAnsi="Avenir Next LT Pro"/>
          <w:b/>
          <w:color w:val="575F61"/>
          <w:lang w:val="en-GB"/>
        </w:rPr>
        <w:t>Anglicare Tasmania recommends that:</w:t>
      </w:r>
    </w:p>
    <w:p w14:paraId="0E2C5368" w14:textId="3D6BFBE2" w:rsidR="007E6107" w:rsidRDefault="007E6107" w:rsidP="001952AB">
      <w:pPr>
        <w:rPr>
          <w:rFonts w:ascii="Avenir Next LT Pro" w:hAnsi="Avenir Next LT Pro"/>
          <w:i/>
          <w:lang w:val="en-GB"/>
        </w:rPr>
      </w:pPr>
      <w:r w:rsidRPr="007E6107">
        <w:rPr>
          <w:rFonts w:ascii="Avenir Next LT Pro" w:hAnsi="Avenir Next LT Pro"/>
          <w:i/>
          <w:lang w:val="en-GB"/>
        </w:rPr>
        <w:t>To ensure all families receive enough income to cover the basic cost of living</w:t>
      </w:r>
    </w:p>
    <w:p w14:paraId="72AAEC42" w14:textId="7402D5CA" w:rsidR="007E6107" w:rsidRPr="007E6107" w:rsidRDefault="007E6107" w:rsidP="007E6107">
      <w:pPr>
        <w:pStyle w:val="ListParagraph"/>
        <w:numPr>
          <w:ilvl w:val="0"/>
          <w:numId w:val="11"/>
        </w:numPr>
        <w:rPr>
          <w:color w:val="575F61"/>
        </w:rPr>
      </w:pPr>
      <w:r w:rsidRPr="007E6107">
        <w:rPr>
          <w:color w:val="575F61"/>
        </w:rPr>
        <w:t>The Australian Government raises the rate of social support payments above the Henderson Poverty Line, and establishes an independent Income Support Payment Commission to set and maintain payment rates.</w:t>
      </w:r>
    </w:p>
    <w:p w14:paraId="2BD09308" w14:textId="6CE534A0" w:rsidR="007E6107" w:rsidRPr="007E6107" w:rsidRDefault="007E6107" w:rsidP="007E6107">
      <w:pPr>
        <w:pStyle w:val="ListParagraph"/>
        <w:numPr>
          <w:ilvl w:val="0"/>
          <w:numId w:val="11"/>
        </w:numPr>
        <w:rPr>
          <w:color w:val="575F61"/>
        </w:rPr>
      </w:pPr>
      <w:r w:rsidRPr="007E6107">
        <w:rPr>
          <w:color w:val="575F61"/>
        </w:rPr>
        <w:t>The Australian Government, in partnership with the Child Support Expert Panel, undertakes a review and reform of the child support system in Australia with a focus on embedding dedicated domestic and family violence protections.</w:t>
      </w:r>
    </w:p>
    <w:p w14:paraId="3020DEB4" w14:textId="318A5C7D" w:rsidR="007E6107" w:rsidRDefault="007E6107" w:rsidP="001952AB">
      <w:pPr>
        <w:rPr>
          <w:rFonts w:ascii="Avenir Next LT Pro" w:hAnsi="Avenir Next LT Pro"/>
          <w:i/>
          <w:lang w:val="en-GB"/>
        </w:rPr>
      </w:pPr>
      <w:r w:rsidRPr="007E6107">
        <w:rPr>
          <w:rFonts w:ascii="Avenir Next LT Pro" w:hAnsi="Avenir Next LT Pro"/>
          <w:i/>
          <w:lang w:val="en-GB"/>
        </w:rPr>
        <w:t>To ensure all families have suitable and secure housing</w:t>
      </w:r>
    </w:p>
    <w:p w14:paraId="240B00E0" w14:textId="177410B0" w:rsidR="007E6107" w:rsidRPr="007E6107" w:rsidRDefault="007E6107" w:rsidP="007E6107">
      <w:pPr>
        <w:pStyle w:val="ListParagraph"/>
        <w:numPr>
          <w:ilvl w:val="0"/>
          <w:numId w:val="11"/>
        </w:numPr>
        <w:rPr>
          <w:color w:val="575F61"/>
        </w:rPr>
      </w:pPr>
      <w:r w:rsidRPr="007E6107">
        <w:rPr>
          <w:color w:val="575F61"/>
        </w:rPr>
        <w:t>The Tasmanian Government increases the supply of social and affordable housing for Tasmanian families to fully meet demand based on current and projected need, including the needs of families escaping domestic and family violence.</w:t>
      </w:r>
    </w:p>
    <w:p w14:paraId="5AB0F28C" w14:textId="56D73A2A" w:rsidR="007E6107" w:rsidRPr="007E6107" w:rsidRDefault="007E6107" w:rsidP="007E6107">
      <w:pPr>
        <w:pStyle w:val="ListParagraph"/>
        <w:numPr>
          <w:ilvl w:val="0"/>
          <w:numId w:val="11"/>
        </w:numPr>
        <w:rPr>
          <w:color w:val="575F61"/>
        </w:rPr>
      </w:pPr>
      <w:r w:rsidRPr="007E6107">
        <w:rPr>
          <w:color w:val="575F61"/>
        </w:rPr>
        <w:t>The Tasmanian Government amends the Residential Tenancy Act to provide for minor modifications, rent stability and greater security of tenure, including amendments to ban no-cause evictions and limit the frequency and amount by which rents can be increased.</w:t>
      </w:r>
    </w:p>
    <w:p w14:paraId="19DF3DB1" w14:textId="6C9D52FD" w:rsidR="007E6107" w:rsidRPr="007E6107" w:rsidRDefault="007E6107" w:rsidP="007E6107">
      <w:pPr>
        <w:pStyle w:val="ListParagraph"/>
        <w:numPr>
          <w:ilvl w:val="0"/>
          <w:numId w:val="11"/>
        </w:numPr>
        <w:rPr>
          <w:color w:val="575F61"/>
        </w:rPr>
      </w:pPr>
      <w:r w:rsidRPr="007E6107">
        <w:rPr>
          <w:color w:val="575F61"/>
        </w:rPr>
        <w:t>The Australian Government works with the Australian Banking Association to offer expanded hardship options for families experiencing mortgage stress.</w:t>
      </w:r>
    </w:p>
    <w:p w14:paraId="6A85A726" w14:textId="4CC2908A" w:rsidR="007E6107" w:rsidRPr="007E6107" w:rsidRDefault="007E6107" w:rsidP="007E6107">
      <w:pPr>
        <w:pStyle w:val="ListParagraph"/>
        <w:numPr>
          <w:ilvl w:val="0"/>
          <w:numId w:val="11"/>
        </w:numPr>
        <w:rPr>
          <w:color w:val="575F61"/>
        </w:rPr>
      </w:pPr>
      <w:r w:rsidRPr="007E6107">
        <w:rPr>
          <w:color w:val="575F61"/>
        </w:rPr>
        <w:t>The Australian Government reviews the Rental Assistance Scheme in association with other income support payments, to ensure that households on low incomes pay no more than 30% of their household income on rent.</w:t>
      </w:r>
    </w:p>
    <w:p w14:paraId="5F2FC9E2" w14:textId="05F92C12" w:rsidR="007E6107" w:rsidRDefault="007E6107" w:rsidP="007E6107">
      <w:pPr>
        <w:rPr>
          <w:rFonts w:ascii="Avenir Next LT Pro" w:hAnsi="Avenir Next LT Pro"/>
          <w:i/>
          <w:lang w:val="en-GB"/>
        </w:rPr>
      </w:pPr>
      <w:r w:rsidRPr="007E6107">
        <w:rPr>
          <w:rFonts w:ascii="Avenir Next LT Pro" w:hAnsi="Avenir Next LT Pro"/>
          <w:i/>
          <w:lang w:val="en-GB"/>
        </w:rPr>
        <w:t>To ensure access to affordable and nutritious food</w:t>
      </w:r>
    </w:p>
    <w:p w14:paraId="431C4F22" w14:textId="41B92917" w:rsidR="007E6107" w:rsidRPr="007E6107" w:rsidRDefault="007E6107" w:rsidP="007E6107">
      <w:pPr>
        <w:pStyle w:val="ListParagraph"/>
        <w:numPr>
          <w:ilvl w:val="0"/>
          <w:numId w:val="11"/>
        </w:numPr>
        <w:rPr>
          <w:color w:val="575F61"/>
        </w:rPr>
      </w:pPr>
      <w:r w:rsidRPr="007E6107">
        <w:rPr>
          <w:color w:val="575F61"/>
        </w:rPr>
        <w:t>The Australian Government continues to strengthen regulations of the grocery sector to ensure fair prices for consumers, and takes targeted steps to ensure an affordable supply of fresh produce.</w:t>
      </w:r>
    </w:p>
    <w:p w14:paraId="776A32C4" w14:textId="768416DF" w:rsidR="007E6107" w:rsidRPr="007E6107" w:rsidRDefault="007E6107" w:rsidP="007E6107">
      <w:pPr>
        <w:pStyle w:val="ListParagraph"/>
        <w:numPr>
          <w:ilvl w:val="0"/>
          <w:numId w:val="11"/>
        </w:numPr>
      </w:pPr>
      <w:r w:rsidRPr="007E6107">
        <w:rPr>
          <w:color w:val="575F61"/>
        </w:rPr>
        <w:t xml:space="preserve">The Tasmanian Government delivers on the commitment to evaluate the </w:t>
      </w:r>
      <w:r w:rsidRPr="007E6107">
        <w:rPr>
          <w:i/>
          <w:color w:val="575F61"/>
        </w:rPr>
        <w:t xml:space="preserve">Food relief to food resilience: Action Plan 2023-25. </w:t>
      </w:r>
      <w:r w:rsidRPr="007E6107">
        <w:rPr>
          <w:color w:val="575F61"/>
        </w:rPr>
        <w:t>The evaluation should focus on understanding how successfully the plan has moved Tasmanian communities from emergency food relief towards a food resilient system. The learnings from the evaluation should be incorporated into the 2025 whole-of-government food resilience strategy.</w:t>
      </w:r>
    </w:p>
    <w:p w14:paraId="3093642A" w14:textId="352F56FA" w:rsidR="00D34837" w:rsidRPr="007E6107" w:rsidRDefault="007E6107" w:rsidP="007E6107">
      <w:pPr>
        <w:pStyle w:val="ListParagraph"/>
        <w:numPr>
          <w:ilvl w:val="0"/>
          <w:numId w:val="11"/>
        </w:numPr>
        <w:rPr>
          <w:color w:val="575F61"/>
        </w:rPr>
      </w:pPr>
      <w:bookmarkStart w:id="13" w:name="_Hlk179816739"/>
      <w:r w:rsidRPr="007E6107">
        <w:rPr>
          <w:color w:val="575F61"/>
        </w:rPr>
        <w:t xml:space="preserve">The Tasmanian Government develops a safe credit product incorporating fintech to provide a convenient, cost-neutral alternative to Buy Now Pay Later that can be used </w:t>
      </w:r>
      <w:r w:rsidRPr="007E6107">
        <w:rPr>
          <w:color w:val="575F61"/>
        </w:rPr>
        <w:lastRenderedPageBreak/>
        <w:t>for essentials such as groceries and fuel. This could be through the existing No Interest Loan Scheme (NILS) or a similar product.</w:t>
      </w:r>
    </w:p>
    <w:p w14:paraId="742895D9" w14:textId="3C7BDAE3" w:rsidR="007E6107" w:rsidRPr="007E6107" w:rsidRDefault="007E6107" w:rsidP="007E6107">
      <w:pPr>
        <w:pStyle w:val="ListParagraph"/>
        <w:numPr>
          <w:ilvl w:val="0"/>
          <w:numId w:val="11"/>
        </w:numPr>
        <w:rPr>
          <w:color w:val="575F61"/>
        </w:rPr>
      </w:pPr>
      <w:r w:rsidRPr="007E6107">
        <w:rPr>
          <w:color w:val="575F61"/>
        </w:rPr>
        <w:t>The Australian Government undertakes a six-month review of Buy Now Pay Later regulations, including considering a ban on in-store advertisement for retailers of essential items, including petrol stations and grocery stores.</w:t>
      </w:r>
    </w:p>
    <w:p w14:paraId="76890450" w14:textId="6DA3F0CD" w:rsidR="007E6107" w:rsidRDefault="007E6107">
      <w:pPr>
        <w:rPr>
          <w:rFonts w:ascii="Avenir Next LT Pro" w:hAnsi="Avenir Next LT Pro"/>
          <w:i/>
          <w:lang w:val="en-GB"/>
        </w:rPr>
      </w:pPr>
      <w:r w:rsidRPr="007E6107">
        <w:rPr>
          <w:rFonts w:ascii="Avenir Next LT Pro" w:hAnsi="Avenir Next LT Pro"/>
          <w:i/>
          <w:lang w:val="en-GB"/>
        </w:rPr>
        <w:t>To provide access to affordable and timely medical care for families</w:t>
      </w:r>
    </w:p>
    <w:p w14:paraId="1B83676B" w14:textId="77777777" w:rsidR="007E6107" w:rsidRPr="007E6107" w:rsidRDefault="007E6107" w:rsidP="007E6107">
      <w:pPr>
        <w:pStyle w:val="ListParagraph"/>
        <w:numPr>
          <w:ilvl w:val="0"/>
          <w:numId w:val="11"/>
        </w:numPr>
        <w:rPr>
          <w:color w:val="575F61"/>
        </w:rPr>
      </w:pPr>
      <w:r w:rsidRPr="007E6107">
        <w:rPr>
          <w:color w:val="575F61"/>
        </w:rPr>
        <w:t xml:space="preserve">The Australian Government reviews and reforms Medicare, with the aim of </w:t>
      </w:r>
    </w:p>
    <w:p w14:paraId="1B232D92" w14:textId="77777777" w:rsidR="007E6107" w:rsidRDefault="007E6107" w:rsidP="007E6107">
      <w:pPr>
        <w:pStyle w:val="ListParagraph"/>
        <w:numPr>
          <w:ilvl w:val="0"/>
          <w:numId w:val="15"/>
        </w:numPr>
      </w:pPr>
      <w:r>
        <w:t xml:space="preserve">aligning the indexation of the </w:t>
      </w:r>
      <w:r w:rsidRPr="00587767">
        <w:t>Medicare</w:t>
      </w:r>
      <w:r>
        <w:t xml:space="preserve"> rebate to the operational cost of providing medical care to reduce out-of-pocket costs paid by patients</w:t>
      </w:r>
    </w:p>
    <w:p w14:paraId="4559DF29" w14:textId="02A21110" w:rsidR="007E6107" w:rsidRDefault="007E6107" w:rsidP="007E6107">
      <w:pPr>
        <w:pStyle w:val="ListParagraph"/>
        <w:numPr>
          <w:ilvl w:val="0"/>
          <w:numId w:val="15"/>
        </w:numPr>
      </w:pPr>
      <w:r>
        <w:t>amending the payment process for medical appointments to eliminate the need for people to cover the full fee upfront before they can claim the Medicare benefit.</w:t>
      </w:r>
    </w:p>
    <w:p w14:paraId="1E754F82" w14:textId="36B30C27" w:rsidR="007E6107" w:rsidRPr="007E6107" w:rsidRDefault="007E6107" w:rsidP="007E6107">
      <w:pPr>
        <w:pStyle w:val="ListParagraph"/>
        <w:numPr>
          <w:ilvl w:val="0"/>
          <w:numId w:val="11"/>
        </w:numPr>
      </w:pPr>
      <w:r w:rsidRPr="007E6107">
        <w:rPr>
          <w:color w:val="575F61"/>
        </w:rPr>
        <w:t>The Tasmanian Government increases access to bulk-billing GP services, including expanding the Mobile GP Practice to rural and regional town centres and embedding bulk-billing incentives into the GP Partnerships Grants Program.</w:t>
      </w:r>
    </w:p>
    <w:p w14:paraId="720DF0AA" w14:textId="77777777" w:rsidR="008E5242" w:rsidRDefault="008E5242">
      <w:pPr>
        <w:spacing w:before="0" w:after="0"/>
        <w:rPr>
          <w:rFonts w:ascii="Avenir Next Demi Bold" w:eastAsia="AvenirNextLTPro-Demi" w:hAnsi="Avenir Next Demi Bold" w:cs="AvenirNextLTPro-Demi"/>
          <w:b/>
          <w:bCs/>
          <w:color w:val="1598CB"/>
          <w:sz w:val="48"/>
          <w:szCs w:val="48"/>
        </w:rPr>
      </w:pPr>
      <w:bookmarkStart w:id="14" w:name="_Toc179814520"/>
      <w:bookmarkEnd w:id="9"/>
      <w:bookmarkEnd w:id="13"/>
      <w:r>
        <w:br w:type="page"/>
      </w:r>
    </w:p>
    <w:p w14:paraId="1BD6991B" w14:textId="70082461" w:rsidR="008E5242" w:rsidRDefault="008E5242" w:rsidP="001952AB">
      <w:pPr>
        <w:pStyle w:val="Heading1"/>
      </w:pPr>
      <w:r>
        <w:lastRenderedPageBreak/>
        <w:t>What do we mean by the cost of living crisis?</w:t>
      </w:r>
      <w:bookmarkEnd w:id="14"/>
      <w:r>
        <w:t xml:space="preserve"> </w:t>
      </w:r>
    </w:p>
    <w:p w14:paraId="12BC514A" w14:textId="77777777" w:rsidR="008E5242" w:rsidRDefault="008E5242" w:rsidP="001952AB">
      <w:pPr>
        <w:widowControl/>
        <w:autoSpaceDE/>
        <w:autoSpaceDN/>
        <w:spacing w:before="100" w:beforeAutospacing="1" w:after="100" w:afterAutospacing="1"/>
        <w:rPr>
          <w:rFonts w:ascii="Avenir Next LT Pro" w:hAnsi="Avenir Next LT Pro"/>
          <w:color w:val="575F61"/>
          <w:lang w:val="en-GB"/>
        </w:rPr>
      </w:pPr>
      <w:r w:rsidRPr="00C01B32">
        <w:rPr>
          <w:rFonts w:ascii="Avenir Next LT Pro" w:hAnsi="Avenir Next LT Pro"/>
          <w:color w:val="575F61"/>
          <w:lang w:val="en-GB"/>
        </w:rPr>
        <w:t xml:space="preserve">Every person spoken to while conducting this research </w:t>
      </w:r>
      <w:r>
        <w:rPr>
          <w:rFonts w:ascii="Avenir Next LT Pro" w:hAnsi="Avenir Next LT Pro"/>
          <w:color w:val="575F61"/>
          <w:lang w:val="en-GB"/>
        </w:rPr>
        <w:t>understood what was meant by ‘</w:t>
      </w:r>
      <w:r w:rsidRPr="00C01B32">
        <w:rPr>
          <w:rFonts w:ascii="Avenir Next LT Pro" w:hAnsi="Avenir Next LT Pro"/>
          <w:color w:val="575F61"/>
          <w:lang w:val="en-GB"/>
        </w:rPr>
        <w:t>the cost of living crisis</w:t>
      </w:r>
      <w:r>
        <w:rPr>
          <w:rFonts w:ascii="Avenir Next LT Pro" w:hAnsi="Avenir Next LT Pro"/>
          <w:color w:val="575F61"/>
          <w:lang w:val="en-GB"/>
        </w:rPr>
        <w:t>’</w:t>
      </w:r>
      <w:r w:rsidRPr="00C01B32">
        <w:rPr>
          <w:rFonts w:ascii="Avenir Next LT Pro" w:hAnsi="Avenir Next LT Pro"/>
          <w:color w:val="575F61"/>
          <w:lang w:val="en-GB"/>
        </w:rPr>
        <w:t>.</w:t>
      </w:r>
      <w:r>
        <w:rPr>
          <w:rFonts w:ascii="Avenir Next LT Pro" w:hAnsi="Avenir Next LT Pro"/>
          <w:color w:val="575F61"/>
          <w:lang w:val="en-GB"/>
        </w:rPr>
        <w:t xml:space="preserve"> </w:t>
      </w:r>
      <w:r w:rsidRPr="00C01B32">
        <w:rPr>
          <w:rFonts w:ascii="Avenir Next LT Pro" w:hAnsi="Avenir Next LT Pro"/>
          <w:color w:val="575F61"/>
          <w:lang w:val="en-GB"/>
        </w:rPr>
        <w:t xml:space="preserve">As a population we are experiencing it together in real time. </w:t>
      </w:r>
    </w:p>
    <w:p w14:paraId="5D874B5D" w14:textId="77777777" w:rsidR="008E5242" w:rsidRDefault="008E5242" w:rsidP="001952AB">
      <w:pPr>
        <w:rPr>
          <w:rFonts w:ascii="Avenir Next LT Pro" w:hAnsi="Avenir Next LT Pro"/>
          <w:color w:val="575F61"/>
          <w:lang w:val="en-GB"/>
        </w:rPr>
      </w:pPr>
      <w:r>
        <w:rPr>
          <w:rFonts w:ascii="Avenir Next LT Pro" w:hAnsi="Avenir Next LT Pro"/>
          <w:color w:val="575F61"/>
          <w:lang w:val="en-GB"/>
        </w:rPr>
        <w:t xml:space="preserve">Prices are rising faster than our incomes. As a result, essentials such as food and housing are taking a larger proportion of the household income. </w:t>
      </w:r>
      <w:r w:rsidRPr="00C40B5D">
        <w:rPr>
          <w:rFonts w:ascii="Avenir Next LT Pro" w:hAnsi="Avenir Next LT Pro"/>
          <w:color w:val="575F61"/>
          <w:lang w:val="en-GB"/>
        </w:rPr>
        <w:t xml:space="preserve">For some people, </w:t>
      </w:r>
      <w:r>
        <w:rPr>
          <w:rFonts w:ascii="Avenir Next LT Pro" w:hAnsi="Avenir Next LT Pro"/>
          <w:color w:val="575F61"/>
          <w:lang w:val="en-GB"/>
        </w:rPr>
        <w:t>the higher costs are covered by</w:t>
      </w:r>
      <w:r w:rsidRPr="00C40B5D">
        <w:rPr>
          <w:rFonts w:ascii="Avenir Next LT Pro" w:hAnsi="Avenir Next LT Pro"/>
          <w:color w:val="575F61"/>
          <w:lang w:val="en-GB"/>
        </w:rPr>
        <w:t xml:space="preserve"> </w:t>
      </w:r>
      <w:r>
        <w:rPr>
          <w:rFonts w:ascii="Avenir Next LT Pro" w:hAnsi="Avenir Next LT Pro"/>
          <w:color w:val="575F61"/>
          <w:lang w:val="en-GB"/>
        </w:rPr>
        <w:t xml:space="preserve">reducing discretionary spending or even </w:t>
      </w:r>
      <w:r w:rsidRPr="00C40B5D">
        <w:rPr>
          <w:rFonts w:ascii="Avenir Next LT Pro" w:hAnsi="Avenir Next LT Pro"/>
          <w:color w:val="575F61"/>
          <w:lang w:val="en-GB"/>
        </w:rPr>
        <w:t xml:space="preserve">dipping into savings. </w:t>
      </w:r>
      <w:r>
        <w:rPr>
          <w:rFonts w:ascii="Avenir Next LT Pro" w:hAnsi="Avenir Next LT Pro"/>
          <w:color w:val="575F61"/>
          <w:lang w:val="en-GB"/>
        </w:rPr>
        <w:t>However, f</w:t>
      </w:r>
      <w:r w:rsidRPr="00C40B5D">
        <w:rPr>
          <w:rFonts w:ascii="Avenir Next LT Pro" w:hAnsi="Avenir Next LT Pro"/>
          <w:color w:val="575F61"/>
          <w:lang w:val="en-GB"/>
        </w:rPr>
        <w:t xml:space="preserve">or others it means making difficult choices about which essential item will be prioritised week </w:t>
      </w:r>
      <w:r>
        <w:rPr>
          <w:rFonts w:ascii="Avenir Next LT Pro" w:hAnsi="Avenir Next LT Pro"/>
          <w:color w:val="575F61"/>
          <w:lang w:val="en-GB"/>
        </w:rPr>
        <w:t>to</w:t>
      </w:r>
      <w:r w:rsidRPr="00C40B5D">
        <w:rPr>
          <w:rFonts w:ascii="Avenir Next LT Pro" w:hAnsi="Avenir Next LT Pro"/>
          <w:color w:val="575F61"/>
          <w:lang w:val="en-GB"/>
        </w:rPr>
        <w:t xml:space="preserve"> week, such as deciding if </w:t>
      </w:r>
      <w:r>
        <w:rPr>
          <w:rFonts w:ascii="Avenir Next LT Pro" w:hAnsi="Avenir Next LT Pro"/>
          <w:color w:val="575F61"/>
          <w:lang w:val="en-GB"/>
        </w:rPr>
        <w:t xml:space="preserve">they can afford to see a </w:t>
      </w:r>
      <w:r w:rsidRPr="00C40B5D">
        <w:rPr>
          <w:rFonts w:ascii="Avenir Next LT Pro" w:hAnsi="Avenir Next LT Pro"/>
          <w:color w:val="575F61"/>
          <w:lang w:val="en-GB"/>
        </w:rPr>
        <w:t>doctor.</w:t>
      </w:r>
      <w:r>
        <w:rPr>
          <w:rFonts w:ascii="Avenir Next LT Pro" w:hAnsi="Avenir Next LT Pro"/>
          <w:color w:val="575F61"/>
          <w:lang w:val="en-GB"/>
        </w:rPr>
        <w:t xml:space="preserve"> </w:t>
      </w:r>
    </w:p>
    <w:p w14:paraId="2A631391" w14:textId="77777777" w:rsidR="008E5242" w:rsidRDefault="008E5242" w:rsidP="001952AB">
      <w:pPr>
        <w:pStyle w:val="IntenseQuote"/>
        <w:spacing w:after="0"/>
        <w:rPr>
          <w:rStyle w:val="Emphasis"/>
        </w:rPr>
      </w:pPr>
      <w:r>
        <w:rPr>
          <w:rStyle w:val="Emphasis"/>
        </w:rPr>
        <w:t>‘</w:t>
      </w:r>
      <w:r w:rsidRPr="00F658E3">
        <w:rPr>
          <w:rStyle w:val="Emphasis"/>
        </w:rPr>
        <w:t>Low, middle or high income</w:t>
      </w:r>
      <w:r>
        <w:rPr>
          <w:rStyle w:val="Emphasis"/>
        </w:rPr>
        <w:t>,</w:t>
      </w:r>
      <w:r w:rsidRPr="00F658E3">
        <w:rPr>
          <w:rStyle w:val="Emphasis"/>
        </w:rPr>
        <w:t xml:space="preserve"> it doesn’t matter – you get use</w:t>
      </w:r>
      <w:r>
        <w:rPr>
          <w:rStyle w:val="Emphasis"/>
        </w:rPr>
        <w:t>d</w:t>
      </w:r>
      <w:r w:rsidRPr="00F658E3">
        <w:rPr>
          <w:rStyle w:val="Emphasis"/>
        </w:rPr>
        <w:t xml:space="preserve"> to what you have</w:t>
      </w:r>
      <w:r>
        <w:rPr>
          <w:rStyle w:val="Emphasis"/>
        </w:rPr>
        <w:t>’</w:t>
      </w:r>
    </w:p>
    <w:p w14:paraId="35F260EB" w14:textId="77777777" w:rsidR="008E5242" w:rsidRPr="00F658E3" w:rsidRDefault="008E5242" w:rsidP="001952AB">
      <w:pPr>
        <w:pStyle w:val="IntenseQuote"/>
        <w:spacing w:before="0" w:after="0"/>
        <w:rPr>
          <w:rStyle w:val="Emphasis"/>
        </w:rPr>
      </w:pPr>
      <w:r>
        <w:rPr>
          <w:rStyle w:val="Emphasis"/>
          <w:rFonts w:ascii="Calibri" w:hAnsi="Calibri" w:cs="Calibri"/>
        </w:rPr>
        <w:t>—</w:t>
      </w:r>
      <w:r w:rsidRPr="00F658E3">
        <w:rPr>
          <w:rStyle w:val="Emphasis"/>
        </w:rPr>
        <w:t xml:space="preserve"> Financial Counsellor, Glenorchy </w:t>
      </w:r>
    </w:p>
    <w:p w14:paraId="2E7CD689" w14:textId="41D91ABE" w:rsidR="008E5242" w:rsidRDefault="00F73415" w:rsidP="001952AB">
      <w:pPr>
        <w:spacing w:before="0" w:after="0"/>
        <w:rPr>
          <w:rFonts w:ascii="Avenir Next LT Pro" w:hAnsi="Avenir Next LT Pro"/>
          <w:color w:val="575F61"/>
          <w:highlight w:val="yellow"/>
          <w:lang w:val="en-GB"/>
        </w:rPr>
      </w:pPr>
      <w:r w:rsidRPr="00F73415">
        <w:rPr>
          <w:rFonts w:ascii="Avenir Next LT Pro" w:hAnsi="Avenir Next LT Pro"/>
          <w:noProof/>
          <w:color w:val="575F61"/>
          <w:lang w:val="en-GB"/>
        </w:rPr>
        <w:drawing>
          <wp:inline distT="0" distB="0" distL="0" distR="0" wp14:anchorId="06A59EB5" wp14:editId="3BF021FE">
            <wp:extent cx="4031312" cy="2279610"/>
            <wp:effectExtent l="0" t="0" r="7620" b="6985"/>
            <wp:docPr id="17" name="Picture 17" descr="Infographic showing that five years ago, income covered material basics (transport, housing, food, medical) plus savings and discretionary spe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85972" cy="2310519"/>
                    </a:xfrm>
                    <a:prstGeom prst="rect">
                      <a:avLst/>
                    </a:prstGeom>
                  </pic:spPr>
                </pic:pic>
              </a:graphicData>
            </a:graphic>
          </wp:inline>
        </w:drawing>
      </w:r>
    </w:p>
    <w:p w14:paraId="40E3CC5B" w14:textId="34828BC7" w:rsidR="00F73415" w:rsidRDefault="00F73415" w:rsidP="001952AB">
      <w:pPr>
        <w:spacing w:before="0" w:after="0"/>
        <w:rPr>
          <w:rFonts w:ascii="Avenir Next LT Pro" w:hAnsi="Avenir Next LT Pro"/>
          <w:color w:val="575F61"/>
          <w:highlight w:val="yellow"/>
          <w:lang w:val="en-GB"/>
        </w:rPr>
      </w:pPr>
      <w:r w:rsidRPr="00F73415">
        <w:rPr>
          <w:rFonts w:ascii="Avenir Next LT Pro" w:hAnsi="Avenir Next LT Pro"/>
          <w:noProof/>
          <w:color w:val="575F61"/>
          <w:lang w:val="en-GB"/>
        </w:rPr>
        <w:drawing>
          <wp:inline distT="0" distB="0" distL="0" distR="0" wp14:anchorId="0F391033" wp14:editId="3D290D20">
            <wp:extent cx="6758609" cy="3065488"/>
            <wp:effectExtent l="0" t="0" r="4445" b="1905"/>
            <wp:docPr id="40" name="Picture 40" descr="In 2024, income covers only some of the material basics but not all, and does not cover savings and discretionary spe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782024" cy="3076108"/>
                    </a:xfrm>
                    <a:prstGeom prst="rect">
                      <a:avLst/>
                    </a:prstGeom>
                  </pic:spPr>
                </pic:pic>
              </a:graphicData>
            </a:graphic>
          </wp:inline>
        </w:drawing>
      </w:r>
    </w:p>
    <w:p w14:paraId="5EFD5399" w14:textId="77777777" w:rsidR="00F73415" w:rsidRDefault="00F73415">
      <w:pPr>
        <w:widowControl/>
        <w:autoSpaceDE/>
        <w:autoSpaceDN/>
        <w:spacing w:before="0" w:after="160" w:line="259" w:lineRule="auto"/>
        <w:rPr>
          <w:rFonts w:ascii="Avenir Next LT Pro" w:hAnsi="Avenir Next LT Pro"/>
          <w:color w:val="575F61"/>
          <w:highlight w:val="yellow"/>
          <w:lang w:val="en-GB"/>
        </w:rPr>
      </w:pPr>
      <w:r>
        <w:rPr>
          <w:rFonts w:ascii="Avenir Next LT Pro" w:hAnsi="Avenir Next LT Pro"/>
          <w:color w:val="575F61"/>
          <w:highlight w:val="yellow"/>
          <w:lang w:val="en-GB"/>
        </w:rPr>
        <w:br w:type="page"/>
      </w:r>
    </w:p>
    <w:p w14:paraId="063F2455" w14:textId="77777777" w:rsidR="008E5242" w:rsidRPr="0045079A" w:rsidRDefault="008E5242" w:rsidP="001952AB">
      <w:pPr>
        <w:widowControl/>
        <w:autoSpaceDE/>
        <w:autoSpaceDN/>
        <w:spacing w:before="100" w:beforeAutospacing="1" w:after="100" w:afterAutospacing="1"/>
        <w:rPr>
          <w:rFonts w:ascii="Avenir Next LT Pro" w:hAnsi="Avenir Next LT Pro"/>
          <w:color w:val="575F61"/>
          <w:lang w:val="en-GB"/>
        </w:rPr>
      </w:pPr>
      <w:r w:rsidRPr="00E57865">
        <w:rPr>
          <w:rFonts w:ascii="Avenir Next LT Pro" w:hAnsi="Avenir Next LT Pro"/>
          <w:color w:val="575F61"/>
          <w:lang w:val="en-GB"/>
        </w:rPr>
        <w:lastRenderedPageBreak/>
        <w:t xml:space="preserve">Financial Counsellors report that many Tasmanian families were stretched thin even before the cost of living started to increase. Wages are lower in Tasmania than the rest of the nation </w:t>
      </w:r>
      <w:r>
        <w:rPr>
          <w:rFonts w:ascii="Avenir Next LT Pro" w:hAnsi="Avenir Next LT Pro"/>
          <w:noProof/>
          <w:color w:val="575F61"/>
          <w:lang w:val="en-GB"/>
        </w:rPr>
        <w:t>(ABS 2024a)</w:t>
      </w:r>
      <w:r w:rsidRPr="00E57865">
        <w:rPr>
          <w:rFonts w:ascii="Avenir Next LT Pro" w:hAnsi="Avenir Next LT Pro"/>
          <w:color w:val="575F61"/>
          <w:lang w:val="en-GB"/>
        </w:rPr>
        <w:t xml:space="preserve">. For parents, childrearing responsibilities can limit their ability to undertake paid employment or increase their paid working hours </w:t>
      </w:r>
      <w:r>
        <w:rPr>
          <w:rFonts w:ascii="Avenir Next LT Pro" w:hAnsi="Avenir Next LT Pro"/>
          <w:noProof/>
          <w:color w:val="575F61"/>
          <w:lang w:val="en-GB"/>
        </w:rPr>
        <w:t>(AIHW 2022a)</w:t>
      </w:r>
      <w:r w:rsidRPr="00E57865">
        <w:rPr>
          <w:rFonts w:ascii="Avenir Next LT Pro" w:hAnsi="Avenir Next LT Pro"/>
          <w:color w:val="575F61"/>
          <w:lang w:val="en-GB"/>
        </w:rPr>
        <w:t xml:space="preserve">. Yet families need more income to cover costs compared to other household types </w:t>
      </w:r>
      <w:r>
        <w:rPr>
          <w:rFonts w:ascii="Avenir Next LT Pro" w:hAnsi="Avenir Next LT Pro"/>
          <w:noProof/>
          <w:color w:val="575F61"/>
          <w:lang w:val="en-GB"/>
        </w:rPr>
        <w:t>(ABS 2017)</w:t>
      </w:r>
      <w:r w:rsidRPr="00E57865">
        <w:rPr>
          <w:rFonts w:ascii="Avenir Next LT Pro" w:hAnsi="Avenir Next LT Pro"/>
          <w:color w:val="575F61"/>
          <w:lang w:val="en-GB"/>
        </w:rPr>
        <w:t xml:space="preserve">. Not only do they have higher grocery bills and housing costs, but families can have additional expenses that need covering such as child care and education costs. </w:t>
      </w:r>
    </w:p>
    <w:p w14:paraId="3F618D32" w14:textId="77777777" w:rsidR="008E5242" w:rsidRDefault="008E5242" w:rsidP="001952AB">
      <w:pPr>
        <w:widowControl/>
        <w:autoSpaceDE/>
        <w:autoSpaceDN/>
        <w:spacing w:before="100" w:beforeAutospacing="1" w:after="100" w:afterAutospacing="1"/>
        <w:rPr>
          <w:rFonts w:ascii="Avenir Next LT Pro" w:hAnsi="Avenir Next LT Pro"/>
          <w:color w:val="575F61"/>
          <w:lang w:val="en-GB"/>
        </w:rPr>
      </w:pPr>
      <w:r>
        <w:rPr>
          <w:rFonts w:ascii="Avenir Next LT Pro" w:hAnsi="Avenir Next LT Pro"/>
          <w:color w:val="575F61"/>
          <w:lang w:val="en-GB"/>
        </w:rPr>
        <w:t xml:space="preserve">Anglicare Financial Counsellors report that in previous years, families mainly sought assistance regarding high electricity bills related to winter heating. However, in 2024 most families sought assistance for mortgage stress, </w:t>
      </w:r>
      <w:r w:rsidRPr="00431096">
        <w:rPr>
          <w:rFonts w:ascii="Avenir Next LT Pro" w:hAnsi="Avenir Next LT Pro"/>
          <w:color w:val="575F61"/>
          <w:lang w:val="en-GB"/>
        </w:rPr>
        <w:t>or for debts accumulated to cover essentials like food and fuel</w:t>
      </w:r>
      <w:r>
        <w:rPr>
          <w:rFonts w:ascii="Avenir Next LT Pro" w:hAnsi="Avenir Next LT Pro"/>
          <w:color w:val="575F61"/>
          <w:lang w:val="en-GB"/>
        </w:rPr>
        <w:t xml:space="preserve">. Counsellors report seeing families seeking assistance for the first time who ‘previously have always been okay’, and an increase in dual-income households seeking budgeting advice, who ‘simply [do not have] enough income to cover the increased cost of living’. While the costs of material basics remain high, more families are expected to become financially vulnerable, or enter into financial hardship. </w:t>
      </w:r>
    </w:p>
    <w:p w14:paraId="1C729979" w14:textId="77777777" w:rsidR="008E5242" w:rsidRDefault="008E5242" w:rsidP="001952AB">
      <w:pPr>
        <w:pStyle w:val="Heading2"/>
        <w:rPr>
          <w:lang w:val="en-GB"/>
        </w:rPr>
      </w:pPr>
      <w:bookmarkStart w:id="15" w:name="_Toc179814521"/>
      <w:r>
        <w:rPr>
          <w:lang w:val="en-GB"/>
        </w:rPr>
        <w:t>Why has the cost of living increased?</w:t>
      </w:r>
      <w:bookmarkEnd w:id="15"/>
    </w:p>
    <w:p w14:paraId="7376766B" w14:textId="77777777" w:rsidR="008E5242" w:rsidRDefault="008E5242" w:rsidP="001952AB">
      <w:pPr>
        <w:widowControl/>
        <w:autoSpaceDE/>
        <w:autoSpaceDN/>
        <w:spacing w:before="100" w:beforeAutospacing="1" w:after="100" w:afterAutospacing="1"/>
        <w:rPr>
          <w:rFonts w:ascii="Avenir Next LT Pro" w:hAnsi="Avenir Next LT Pro"/>
          <w:color w:val="575F61"/>
          <w:lang w:val="en-GB"/>
        </w:rPr>
      </w:pPr>
      <w:r w:rsidRPr="00F65526">
        <w:rPr>
          <w:rFonts w:ascii="Avenir Next LT Pro" w:hAnsi="Avenir Next LT Pro"/>
          <w:color w:val="575F61"/>
          <w:lang w:val="en-GB"/>
        </w:rPr>
        <w:t xml:space="preserve">In Australia, </w:t>
      </w:r>
      <w:r>
        <w:rPr>
          <w:rFonts w:ascii="Avenir Next LT Pro" w:hAnsi="Avenir Next LT Pro"/>
          <w:color w:val="575F61"/>
          <w:lang w:val="en-GB"/>
        </w:rPr>
        <w:t>the C</w:t>
      </w:r>
      <w:r w:rsidRPr="00F65526">
        <w:rPr>
          <w:rFonts w:ascii="Avenir Next LT Pro" w:hAnsi="Avenir Next LT Pro"/>
          <w:color w:val="575F61"/>
          <w:lang w:val="en-GB"/>
        </w:rPr>
        <w:t xml:space="preserve">onsumer </w:t>
      </w:r>
      <w:r>
        <w:rPr>
          <w:rFonts w:ascii="Avenir Next LT Pro" w:hAnsi="Avenir Next LT Pro"/>
          <w:color w:val="575F61"/>
          <w:lang w:val="en-GB"/>
        </w:rPr>
        <w:t>P</w:t>
      </w:r>
      <w:r w:rsidRPr="00F65526">
        <w:rPr>
          <w:rFonts w:ascii="Avenir Next LT Pro" w:hAnsi="Avenir Next LT Pro"/>
          <w:color w:val="575F61"/>
          <w:lang w:val="en-GB"/>
        </w:rPr>
        <w:t xml:space="preserve">rice </w:t>
      </w:r>
      <w:r>
        <w:rPr>
          <w:rFonts w:ascii="Avenir Next LT Pro" w:hAnsi="Avenir Next LT Pro"/>
          <w:color w:val="575F61"/>
          <w:lang w:val="en-GB"/>
        </w:rPr>
        <w:t>I</w:t>
      </w:r>
      <w:r w:rsidRPr="00F65526">
        <w:rPr>
          <w:rFonts w:ascii="Avenir Next LT Pro" w:hAnsi="Avenir Next LT Pro"/>
          <w:color w:val="575F61"/>
          <w:lang w:val="en-GB"/>
        </w:rPr>
        <w:t xml:space="preserve">ndex (CPI) is the primary indicator </w:t>
      </w:r>
      <w:r>
        <w:rPr>
          <w:rFonts w:ascii="Avenir Next LT Pro" w:hAnsi="Avenir Next LT Pro"/>
          <w:color w:val="575F61"/>
          <w:lang w:val="en-GB"/>
        </w:rPr>
        <w:t xml:space="preserve">of household inflation and </w:t>
      </w:r>
      <w:r w:rsidRPr="00F65526">
        <w:rPr>
          <w:rFonts w:ascii="Avenir Next LT Pro" w:hAnsi="Avenir Next LT Pro"/>
          <w:color w:val="575F61"/>
          <w:lang w:val="en-GB"/>
        </w:rPr>
        <w:t>the cost of living</w:t>
      </w:r>
      <w:r>
        <w:rPr>
          <w:rFonts w:ascii="Avenir Next LT Pro" w:hAnsi="Avenir Next LT Pro"/>
          <w:color w:val="575F61"/>
          <w:lang w:val="en-GB"/>
        </w:rPr>
        <w:t xml:space="preserve"> </w:t>
      </w:r>
      <w:r>
        <w:rPr>
          <w:rFonts w:ascii="Avenir Next LT Pro" w:hAnsi="Avenir Next LT Pro"/>
          <w:noProof/>
          <w:color w:val="575F61"/>
          <w:lang w:val="en-GB"/>
        </w:rPr>
        <w:t>(ABS Jun-quarter-2024)</w:t>
      </w:r>
      <w:r w:rsidRPr="00F65526">
        <w:rPr>
          <w:rFonts w:ascii="Avenir Next LT Pro" w:hAnsi="Avenir Next LT Pro"/>
          <w:color w:val="575F61"/>
          <w:lang w:val="en-GB"/>
        </w:rPr>
        <w:t xml:space="preserve">. </w:t>
      </w:r>
      <w:r>
        <w:rPr>
          <w:rFonts w:ascii="Avenir Next LT Pro" w:hAnsi="Avenir Next LT Pro"/>
          <w:color w:val="575F61"/>
          <w:lang w:val="en-GB"/>
        </w:rPr>
        <w:t>To maintain price stability,</w:t>
      </w:r>
      <w:r w:rsidRPr="00F65526">
        <w:rPr>
          <w:rFonts w:ascii="Avenir Next LT Pro" w:hAnsi="Avenir Next LT Pro"/>
          <w:color w:val="575F61"/>
          <w:lang w:val="en-GB"/>
        </w:rPr>
        <w:t xml:space="preserve"> </w:t>
      </w:r>
      <w:r>
        <w:rPr>
          <w:rFonts w:ascii="Avenir Next LT Pro" w:hAnsi="Avenir Next LT Pro"/>
          <w:color w:val="575F61"/>
          <w:lang w:val="en-GB"/>
        </w:rPr>
        <w:t>t</w:t>
      </w:r>
      <w:r w:rsidRPr="00F65526">
        <w:rPr>
          <w:rFonts w:ascii="Avenir Next LT Pro" w:hAnsi="Avenir Next LT Pro"/>
          <w:color w:val="575F61"/>
          <w:lang w:val="en-GB"/>
        </w:rPr>
        <w:t>he Reserve Bank of Australia (RBA) aims to keep</w:t>
      </w:r>
      <w:r>
        <w:rPr>
          <w:rFonts w:ascii="Avenir Next LT Pro" w:hAnsi="Avenir Next LT Pro"/>
          <w:color w:val="575F61"/>
          <w:lang w:val="en-GB"/>
        </w:rPr>
        <w:t xml:space="preserve"> growth in the</w:t>
      </w:r>
      <w:r w:rsidRPr="00F65526">
        <w:rPr>
          <w:rFonts w:ascii="Avenir Next LT Pro" w:hAnsi="Avenir Next LT Pro"/>
          <w:color w:val="575F61"/>
          <w:lang w:val="en-GB"/>
        </w:rPr>
        <w:t xml:space="preserve"> CPI between </w:t>
      </w:r>
      <w:r>
        <w:rPr>
          <w:rFonts w:ascii="Avenir Next LT Pro" w:hAnsi="Avenir Next LT Pro"/>
          <w:color w:val="575F61"/>
          <w:lang w:val="en-GB"/>
        </w:rPr>
        <w:t>two</w:t>
      </w:r>
      <w:r w:rsidRPr="00F65526">
        <w:rPr>
          <w:rFonts w:ascii="Avenir Next LT Pro" w:hAnsi="Avenir Next LT Pro"/>
          <w:color w:val="575F61"/>
          <w:lang w:val="en-GB"/>
        </w:rPr>
        <w:t xml:space="preserve"> and </w:t>
      </w:r>
      <w:r>
        <w:rPr>
          <w:rFonts w:ascii="Avenir Next LT Pro" w:hAnsi="Avenir Next LT Pro"/>
          <w:color w:val="575F61"/>
          <w:lang w:val="en-GB"/>
        </w:rPr>
        <w:t xml:space="preserve">three per cent </w:t>
      </w:r>
      <w:r>
        <w:rPr>
          <w:rFonts w:ascii="Avenir Next LT Pro" w:hAnsi="Avenir Next LT Pro"/>
          <w:noProof/>
          <w:color w:val="575F61"/>
          <w:lang w:val="en-GB"/>
        </w:rPr>
        <w:t>(RBA 2024a)</w:t>
      </w:r>
      <w:r w:rsidRPr="00F65526">
        <w:rPr>
          <w:rFonts w:ascii="Avenir Next LT Pro" w:hAnsi="Avenir Next LT Pro"/>
          <w:color w:val="575F61"/>
          <w:lang w:val="en-GB"/>
        </w:rPr>
        <w:t>.</w:t>
      </w:r>
    </w:p>
    <w:tbl>
      <w:tblPr>
        <w:tblStyle w:val="TableGrid"/>
        <w:tblW w:w="0" w:type="auto"/>
        <w:tblBorders>
          <w:insideH w:val="none" w:sz="0" w:space="0" w:color="auto"/>
          <w:insideV w:val="none" w:sz="0" w:space="0" w:color="auto"/>
        </w:tblBorders>
        <w:shd w:val="clear" w:color="auto" w:fill="FFFFFF" w:themeFill="background1"/>
        <w:tblLook w:val="04A0" w:firstRow="1" w:lastRow="0" w:firstColumn="1" w:lastColumn="0" w:noHBand="0" w:noVBand="1"/>
      </w:tblPr>
      <w:tblGrid>
        <w:gridCol w:w="9940"/>
      </w:tblGrid>
      <w:tr w:rsidR="008E5242" w:rsidRPr="00ED1428" w14:paraId="17D8E7F4" w14:textId="77777777" w:rsidTr="00F73415">
        <w:tc>
          <w:tcPr>
            <w:tcW w:w="9940" w:type="dxa"/>
            <w:shd w:val="clear" w:color="auto" w:fill="FFFFFF" w:themeFill="background1"/>
          </w:tcPr>
          <w:p w14:paraId="22A9E14E" w14:textId="77777777" w:rsidR="008E5242" w:rsidRPr="00C279E1" w:rsidRDefault="008E5242" w:rsidP="001952AB">
            <w:pPr>
              <w:rPr>
                <w:rFonts w:ascii="Avenir Next LT Pro" w:hAnsi="Avenir Next LT Pro"/>
                <w:b/>
                <w:color w:val="575F61"/>
                <w:lang w:val="en-GB"/>
              </w:rPr>
            </w:pPr>
            <w:r w:rsidRPr="00C279E1">
              <w:rPr>
                <w:rFonts w:ascii="Avenir Next LT Pro" w:hAnsi="Avenir Next LT Pro"/>
                <w:b/>
                <w:color w:val="575F61"/>
                <w:lang w:val="en-GB"/>
              </w:rPr>
              <w:t>Box 1: Categories of CPI</w:t>
            </w:r>
          </w:p>
          <w:p w14:paraId="6A353FAE" w14:textId="77777777" w:rsidR="008E5242" w:rsidRPr="00C279E1" w:rsidRDefault="008E5242" w:rsidP="001952AB">
            <w:pPr>
              <w:rPr>
                <w:rFonts w:ascii="Avenir Next LT Pro" w:hAnsi="Avenir Next LT Pro"/>
                <w:color w:val="575F61"/>
                <w:lang w:val="en-GB"/>
              </w:rPr>
            </w:pPr>
            <w:r w:rsidRPr="00F658E3">
              <w:rPr>
                <w:rFonts w:ascii="Avenir Next LT Pro" w:hAnsi="Avenir Next LT Pro"/>
                <w:color w:val="575F61"/>
                <w:lang w:val="en-GB"/>
              </w:rPr>
              <w:t>The</w:t>
            </w:r>
            <w:r>
              <w:rPr>
                <w:rFonts w:ascii="Avenir Next LT Pro" w:hAnsi="Avenir Next LT Pro"/>
                <w:b/>
                <w:color w:val="575F61"/>
                <w:lang w:val="en-GB"/>
              </w:rPr>
              <w:t xml:space="preserve"> </w:t>
            </w:r>
            <w:r w:rsidRPr="00C279E1">
              <w:rPr>
                <w:rFonts w:ascii="Avenir Next LT Pro" w:hAnsi="Avenir Next LT Pro"/>
                <w:b/>
                <w:color w:val="575F61"/>
                <w:lang w:val="en-GB"/>
              </w:rPr>
              <w:t>Consumer Price Index</w:t>
            </w:r>
            <w:r w:rsidRPr="00C279E1">
              <w:rPr>
                <w:rFonts w:ascii="Avenir Next LT Pro" w:hAnsi="Avenir Next LT Pro"/>
                <w:color w:val="575F61"/>
                <w:lang w:val="en-GB"/>
              </w:rPr>
              <w:t xml:space="preserve"> (CPI) is the measure of how the price of goods and services change</w:t>
            </w:r>
            <w:r>
              <w:rPr>
                <w:rFonts w:ascii="Avenir Next LT Pro" w:hAnsi="Avenir Next LT Pro"/>
                <w:color w:val="575F61"/>
                <w:lang w:val="en-GB"/>
              </w:rPr>
              <w:t>s</w:t>
            </w:r>
            <w:r w:rsidRPr="00C279E1">
              <w:rPr>
                <w:rFonts w:ascii="Avenir Next LT Pro" w:hAnsi="Avenir Next LT Pro"/>
                <w:color w:val="575F61"/>
                <w:lang w:val="en-GB"/>
              </w:rPr>
              <w:t xml:space="preserve"> over time</w:t>
            </w:r>
            <w:r>
              <w:rPr>
                <w:rFonts w:ascii="Avenir Next LT Pro" w:hAnsi="Avenir Next LT Pro"/>
                <w:color w:val="575F61"/>
                <w:lang w:val="en-GB"/>
              </w:rPr>
              <w:t xml:space="preserve"> </w:t>
            </w:r>
            <w:r w:rsidRPr="0059486E">
              <w:rPr>
                <w:rFonts w:ascii="Avenir Next LT Pro" w:hAnsi="Avenir Next LT Pro"/>
                <w:color w:val="575F61"/>
                <w:lang w:val="en-GB"/>
              </w:rPr>
              <w:t>(ABS Jun-quarter-2024)</w:t>
            </w:r>
            <w:r w:rsidRPr="00C279E1">
              <w:rPr>
                <w:rFonts w:ascii="Avenir Next LT Pro" w:hAnsi="Avenir Next LT Pro"/>
                <w:color w:val="575F61"/>
                <w:lang w:val="en-GB"/>
              </w:rPr>
              <w:t xml:space="preserve">. There are a number of categories of CPI including: </w:t>
            </w:r>
          </w:p>
        </w:tc>
      </w:tr>
      <w:tr w:rsidR="00D34837" w:rsidRPr="00ED1428" w14:paraId="7B8120B6" w14:textId="77777777" w:rsidTr="007E6107">
        <w:tc>
          <w:tcPr>
            <w:tcW w:w="9940" w:type="dxa"/>
            <w:shd w:val="clear" w:color="auto" w:fill="FFFFFF" w:themeFill="background1"/>
          </w:tcPr>
          <w:p w14:paraId="5F6EAC91" w14:textId="77777777" w:rsidR="00D34837" w:rsidRPr="00C279E1" w:rsidRDefault="00D34837" w:rsidP="00867219">
            <w:pPr>
              <w:pStyle w:val="ListParagraph"/>
              <w:numPr>
                <w:ilvl w:val="0"/>
                <w:numId w:val="2"/>
              </w:numPr>
            </w:pPr>
            <w:r w:rsidRPr="00C279E1">
              <w:t xml:space="preserve">Housing (including energy) </w:t>
            </w:r>
          </w:p>
          <w:p w14:paraId="33DF1B15" w14:textId="77777777" w:rsidR="00D34837" w:rsidRPr="00C279E1" w:rsidRDefault="00D34837" w:rsidP="00867219">
            <w:pPr>
              <w:pStyle w:val="ListParagraph"/>
              <w:numPr>
                <w:ilvl w:val="0"/>
                <w:numId w:val="2"/>
              </w:numPr>
            </w:pPr>
            <w:r w:rsidRPr="00C279E1">
              <w:t>Food &amp; non-alcoholic beverages</w:t>
            </w:r>
          </w:p>
          <w:p w14:paraId="111EB765" w14:textId="77777777" w:rsidR="00D34837" w:rsidRPr="00C279E1" w:rsidRDefault="00D34837" w:rsidP="00867219">
            <w:pPr>
              <w:pStyle w:val="ListParagraph"/>
              <w:numPr>
                <w:ilvl w:val="0"/>
                <w:numId w:val="2"/>
              </w:numPr>
            </w:pPr>
            <w:r w:rsidRPr="00C279E1">
              <w:t xml:space="preserve">Recreation &amp; culture </w:t>
            </w:r>
          </w:p>
          <w:p w14:paraId="626E4B19" w14:textId="77777777" w:rsidR="00D34837" w:rsidRPr="00C279E1" w:rsidRDefault="00D34837" w:rsidP="00867219">
            <w:pPr>
              <w:pStyle w:val="ListParagraph"/>
              <w:numPr>
                <w:ilvl w:val="0"/>
                <w:numId w:val="2"/>
              </w:numPr>
            </w:pPr>
            <w:r w:rsidRPr="00C279E1">
              <w:t xml:space="preserve">Furnishings, household equipment &amp; services </w:t>
            </w:r>
          </w:p>
          <w:p w14:paraId="3C43DAC5" w14:textId="77777777" w:rsidR="00D34837" w:rsidRPr="00C279E1" w:rsidRDefault="00D34837" w:rsidP="00867219">
            <w:pPr>
              <w:pStyle w:val="ListParagraph"/>
              <w:numPr>
                <w:ilvl w:val="0"/>
                <w:numId w:val="2"/>
              </w:numPr>
            </w:pPr>
            <w:r w:rsidRPr="00C279E1">
              <w:t xml:space="preserve">Transport </w:t>
            </w:r>
          </w:p>
          <w:p w14:paraId="510A0904" w14:textId="77777777" w:rsidR="00D34837" w:rsidRPr="00C279E1" w:rsidRDefault="00D34837" w:rsidP="00867219">
            <w:pPr>
              <w:pStyle w:val="ListParagraph"/>
              <w:numPr>
                <w:ilvl w:val="0"/>
                <w:numId w:val="2"/>
              </w:numPr>
            </w:pPr>
            <w:r w:rsidRPr="00C279E1">
              <w:t xml:space="preserve">Clothing &amp; footwear </w:t>
            </w:r>
          </w:p>
          <w:p w14:paraId="5AF5BBF1" w14:textId="122C857F" w:rsidR="00D34837" w:rsidRPr="00C279E1" w:rsidRDefault="00D34837" w:rsidP="00867219">
            <w:pPr>
              <w:pStyle w:val="ListParagraph"/>
              <w:numPr>
                <w:ilvl w:val="0"/>
                <w:numId w:val="2"/>
              </w:numPr>
            </w:pPr>
            <w:r w:rsidRPr="00C279E1">
              <w:t xml:space="preserve">Insurance &amp; financial services </w:t>
            </w:r>
          </w:p>
          <w:p w14:paraId="2037EE2F" w14:textId="77777777" w:rsidR="00D34837" w:rsidRPr="00C279E1" w:rsidRDefault="00D34837" w:rsidP="00867219">
            <w:pPr>
              <w:pStyle w:val="ListParagraph"/>
              <w:numPr>
                <w:ilvl w:val="0"/>
                <w:numId w:val="2"/>
              </w:numPr>
            </w:pPr>
            <w:r w:rsidRPr="00C279E1">
              <w:t xml:space="preserve">Education </w:t>
            </w:r>
          </w:p>
          <w:p w14:paraId="1CB94E8D" w14:textId="77777777" w:rsidR="00D34837" w:rsidRPr="00C279E1" w:rsidRDefault="00D34837" w:rsidP="00867219">
            <w:pPr>
              <w:pStyle w:val="ListParagraph"/>
              <w:numPr>
                <w:ilvl w:val="0"/>
                <w:numId w:val="2"/>
              </w:numPr>
            </w:pPr>
            <w:r w:rsidRPr="00C279E1">
              <w:t xml:space="preserve">Alcohol &amp; tobacco </w:t>
            </w:r>
          </w:p>
          <w:p w14:paraId="0C074A06" w14:textId="77777777" w:rsidR="00D34837" w:rsidRPr="00C279E1" w:rsidRDefault="00D34837" w:rsidP="00867219">
            <w:pPr>
              <w:pStyle w:val="ListParagraph"/>
              <w:numPr>
                <w:ilvl w:val="0"/>
                <w:numId w:val="2"/>
              </w:numPr>
            </w:pPr>
            <w:r w:rsidRPr="00C279E1">
              <w:t xml:space="preserve">Health </w:t>
            </w:r>
          </w:p>
          <w:p w14:paraId="0EAF70A5" w14:textId="77777777" w:rsidR="00D34837" w:rsidRPr="00C279E1" w:rsidRDefault="00D34837" w:rsidP="00867219">
            <w:pPr>
              <w:pStyle w:val="ListParagraph"/>
              <w:numPr>
                <w:ilvl w:val="0"/>
                <w:numId w:val="2"/>
              </w:numPr>
            </w:pPr>
            <w:r w:rsidRPr="00C279E1">
              <w:t>Communication</w:t>
            </w:r>
            <w:r>
              <w:t>s</w:t>
            </w:r>
            <w:r w:rsidRPr="00C279E1">
              <w:t xml:space="preserve"> </w:t>
            </w:r>
          </w:p>
        </w:tc>
      </w:tr>
    </w:tbl>
    <w:p w14:paraId="23D0DDDB" w14:textId="2199148C" w:rsidR="00F73415" w:rsidRDefault="00F73415" w:rsidP="001952AB">
      <w:pPr>
        <w:spacing w:before="0" w:after="0"/>
        <w:rPr>
          <w:rFonts w:ascii="Avenir Next LT Pro" w:hAnsi="Avenir Next LT Pro"/>
          <w:b/>
          <w:color w:val="575F61"/>
          <w:lang w:val="en-GB"/>
        </w:rPr>
      </w:pPr>
    </w:p>
    <w:p w14:paraId="08B60C0A" w14:textId="77777777" w:rsidR="00F73415" w:rsidRDefault="00F73415">
      <w:pPr>
        <w:widowControl/>
        <w:autoSpaceDE/>
        <w:autoSpaceDN/>
        <w:spacing w:before="0" w:after="160" w:line="259" w:lineRule="auto"/>
        <w:rPr>
          <w:rFonts w:ascii="Avenir Next LT Pro" w:hAnsi="Avenir Next LT Pro"/>
          <w:b/>
          <w:color w:val="575F61"/>
          <w:lang w:val="en-GB"/>
        </w:rPr>
      </w:pPr>
      <w:r>
        <w:rPr>
          <w:rFonts w:ascii="Avenir Next LT Pro" w:hAnsi="Avenir Next LT Pro"/>
          <w:b/>
          <w:color w:val="575F61"/>
          <w:lang w:val="en-GB"/>
        </w:rPr>
        <w:br w:type="page"/>
      </w:r>
    </w:p>
    <w:p w14:paraId="1EDBD83A" w14:textId="77777777" w:rsidR="008E5242" w:rsidRPr="006D460A" w:rsidRDefault="008E5242" w:rsidP="001952AB">
      <w:pPr>
        <w:spacing w:before="0" w:after="0"/>
        <w:rPr>
          <w:rFonts w:ascii="Avenir Next LT Pro" w:hAnsi="Avenir Next LT Pro"/>
          <w:b/>
          <w:color w:val="575F61"/>
          <w:lang w:val="en-GB"/>
        </w:rPr>
      </w:pPr>
      <w:r w:rsidRPr="00537E8C">
        <w:rPr>
          <w:rFonts w:ascii="Avenir Next LT Pro" w:hAnsi="Avenir Next LT Pro"/>
          <w:b/>
          <w:color w:val="575F61"/>
          <w:lang w:val="en-GB"/>
        </w:rPr>
        <w:lastRenderedPageBreak/>
        <w:t>Figure 1</w:t>
      </w:r>
      <w:r>
        <w:rPr>
          <w:rFonts w:ascii="Avenir Next LT Pro" w:hAnsi="Avenir Next LT Pro"/>
          <w:color w:val="575F61"/>
          <w:lang w:val="en-GB"/>
        </w:rPr>
        <w:t>: Consumer Price Index (CPI), June 2014 – June 2024</w:t>
      </w:r>
      <w:r w:rsidRPr="00623F30">
        <w:rPr>
          <w:rFonts w:ascii="Avenir Next LT Pro" w:hAnsi="Avenir Next LT Pro"/>
          <w:color w:val="575F61"/>
          <w:lang w:val="en-GB"/>
        </w:rPr>
        <w:t xml:space="preserve"> </w:t>
      </w:r>
    </w:p>
    <w:p w14:paraId="3E9F5401" w14:textId="601F2835" w:rsidR="00F73415" w:rsidRDefault="00105CDF" w:rsidP="001952AB">
      <w:pPr>
        <w:rPr>
          <w:noProof/>
        </w:rPr>
      </w:pPr>
      <w:r>
        <w:rPr>
          <w:noProof/>
        </w:rPr>
        <w:drawing>
          <wp:inline distT="0" distB="0" distL="0" distR="0" wp14:anchorId="26564FDF" wp14:editId="16524AA0">
            <wp:extent cx="5855970" cy="3286125"/>
            <wp:effectExtent l="0" t="0" r="11430" b="9525"/>
            <wp:docPr id="42" name="Chart 42" descr="Line graph showing CPI is at or below 2% through 2015 to 2019. In 2021 it rises sharply to peak in early 2023 at nearly 8%.">
              <a:extLst xmlns:a="http://schemas.openxmlformats.org/drawingml/2006/main">
                <a:ext uri="{FF2B5EF4-FFF2-40B4-BE49-F238E27FC236}">
                  <a16:creationId xmlns:a16="http://schemas.microsoft.com/office/drawing/2014/main" id="{32F3145B-E5E2-4908-A59E-02EBD9D724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2A53812" w14:textId="584DE036" w:rsidR="008E5242" w:rsidRDefault="008E5242" w:rsidP="001952AB">
      <w:pPr>
        <w:rPr>
          <w:rFonts w:ascii="Avenir Next LT Pro" w:hAnsi="Avenir Next LT Pro"/>
          <w:color w:val="575F61"/>
          <w:lang w:val="en-GB"/>
        </w:rPr>
      </w:pPr>
      <w:r>
        <w:rPr>
          <w:rFonts w:ascii="Avenir Next LT Pro" w:hAnsi="Avenir Next LT Pro"/>
          <w:color w:val="575F61"/>
          <w:lang w:val="en-GB"/>
        </w:rPr>
        <w:t xml:space="preserve">Source: </w:t>
      </w:r>
      <w:r>
        <w:rPr>
          <w:rFonts w:ascii="Avenir Next LT Pro" w:hAnsi="Avenir Next LT Pro"/>
          <w:noProof/>
          <w:color w:val="575F61"/>
          <w:lang w:val="en-GB"/>
        </w:rPr>
        <w:t>(ABS Jun-quarter-2024)</w:t>
      </w:r>
    </w:p>
    <w:p w14:paraId="2764E56E" w14:textId="77777777" w:rsidR="008E5242" w:rsidRDefault="008E5242" w:rsidP="001952AB">
      <w:pPr>
        <w:widowControl/>
        <w:autoSpaceDE/>
        <w:autoSpaceDN/>
        <w:spacing w:before="100" w:beforeAutospacing="1" w:after="100" w:afterAutospacing="1"/>
        <w:rPr>
          <w:rFonts w:ascii="Avenir Next LT Pro" w:hAnsi="Avenir Next LT Pro"/>
          <w:color w:val="575F61"/>
          <w:lang w:val="en-GB"/>
        </w:rPr>
      </w:pPr>
      <w:r>
        <w:rPr>
          <w:rFonts w:ascii="Avenir Next LT Pro" w:hAnsi="Avenir Next LT Pro"/>
          <w:color w:val="575F61"/>
          <w:lang w:val="en-GB"/>
        </w:rPr>
        <w:t xml:space="preserve">From mid-2022, global inflation pushed CPI growth above the target range. Between May 2022 and November 2023, the RBA increased the central bank cash rate from 0.1% to 4.35% in order to control inflation </w:t>
      </w:r>
      <w:r>
        <w:rPr>
          <w:rFonts w:ascii="Avenir Next LT Pro" w:hAnsi="Avenir Next LT Pro"/>
          <w:noProof/>
          <w:color w:val="575F61"/>
          <w:lang w:val="en-GB"/>
        </w:rPr>
        <w:t>(RBA 2022)</w:t>
      </w:r>
      <w:r>
        <w:rPr>
          <w:rFonts w:ascii="Avenir Next LT Pro" w:hAnsi="Avenir Next LT Pro"/>
          <w:color w:val="575F61"/>
          <w:lang w:val="en-GB"/>
        </w:rPr>
        <w:t xml:space="preserve">. As a result, market home loan interest rates increased from around 3.65% to sit around 6.5% </w:t>
      </w:r>
      <w:r>
        <w:rPr>
          <w:rFonts w:ascii="Avenir Next LT Pro" w:hAnsi="Avenir Next LT Pro"/>
          <w:noProof/>
          <w:color w:val="575F61"/>
          <w:lang w:val="en-GB"/>
        </w:rPr>
        <w:t>(RBA 2024b)</w:t>
      </w:r>
      <w:r>
        <w:rPr>
          <w:rFonts w:ascii="Avenir Next LT Pro" w:hAnsi="Avenir Next LT Pro"/>
          <w:color w:val="575F61"/>
          <w:lang w:val="en-GB"/>
        </w:rPr>
        <w:t>.</w:t>
      </w:r>
    </w:p>
    <w:p w14:paraId="64C26D19" w14:textId="77777777" w:rsidR="008E5242" w:rsidRDefault="008E5242" w:rsidP="001952AB">
      <w:pPr>
        <w:widowControl/>
        <w:autoSpaceDE/>
        <w:autoSpaceDN/>
        <w:spacing w:before="100" w:beforeAutospacing="1" w:after="100" w:afterAutospacing="1"/>
      </w:pPr>
      <w:r>
        <w:rPr>
          <w:rFonts w:ascii="Avenir Next LT Pro" w:hAnsi="Avenir Next LT Pro"/>
          <w:color w:val="575F61"/>
          <w:lang w:val="en-GB"/>
        </w:rPr>
        <w:t xml:space="preserve">Inflation fell in 2023 after peaking at 7.8% pa in December 2022. However, the decline in inflation stalled in 2024, with the CPI fluctuating around 3.5 to 4.0% </w:t>
      </w:r>
      <w:r>
        <w:rPr>
          <w:rFonts w:ascii="Avenir Next LT Pro" w:hAnsi="Avenir Next LT Pro"/>
          <w:noProof/>
          <w:color w:val="575F61"/>
          <w:lang w:val="en-GB"/>
        </w:rPr>
        <w:t>(ABS Jun-quarter-2024)</w:t>
      </w:r>
      <w:r>
        <w:rPr>
          <w:rFonts w:ascii="Avenir Next LT Pro" w:hAnsi="Avenir Next LT Pro"/>
          <w:color w:val="575F61"/>
          <w:lang w:val="en-GB"/>
        </w:rPr>
        <w:t xml:space="preserve">. </w:t>
      </w:r>
      <w:r w:rsidRPr="00AD730C">
        <w:rPr>
          <w:rFonts w:ascii="Avenir Next LT Pro" w:hAnsi="Avenir Next LT Pro"/>
          <w:color w:val="575F61"/>
          <w:lang w:val="en-GB"/>
        </w:rPr>
        <w:t>Significant price increases are still being observed across essential categories of the CPI</w:t>
      </w:r>
      <w:r>
        <w:rPr>
          <w:rFonts w:ascii="Avenir Next LT Pro" w:hAnsi="Avenir Next LT Pro"/>
          <w:color w:val="575F61"/>
          <w:lang w:val="en-GB"/>
        </w:rPr>
        <w:t>, w</w:t>
      </w:r>
      <w:r w:rsidRPr="00AD730C">
        <w:rPr>
          <w:rFonts w:ascii="Avenir Next LT Pro" w:hAnsi="Avenir Next LT Pro"/>
          <w:color w:val="575F61"/>
          <w:lang w:val="en-GB"/>
        </w:rPr>
        <w:t>ith the cost of housing, food and non-alcoholic beverages of greatest concern</w:t>
      </w:r>
      <w:r>
        <w:rPr>
          <w:rFonts w:ascii="Avenir Next LT Pro" w:hAnsi="Avenir Next LT Pro"/>
          <w:color w:val="575F61"/>
          <w:lang w:val="en-GB"/>
        </w:rPr>
        <w:t xml:space="preserve">. </w:t>
      </w:r>
    </w:p>
    <w:p w14:paraId="60729834" w14:textId="77777777" w:rsidR="00105CDF" w:rsidRDefault="00105CDF">
      <w:pPr>
        <w:widowControl/>
        <w:autoSpaceDE/>
        <w:autoSpaceDN/>
        <w:spacing w:before="0" w:after="160" w:line="259" w:lineRule="auto"/>
        <w:rPr>
          <w:rFonts w:ascii="Avenir Next Demi Bold" w:eastAsia="AvenirNextLTPro-Demi" w:hAnsi="Avenir Next Demi Bold" w:cs="AvenirNextLTPro-Demi"/>
          <w:b/>
          <w:color w:val="1598CB"/>
          <w:spacing w:val="-6"/>
          <w:sz w:val="36"/>
          <w:szCs w:val="36"/>
          <w:lang w:val="en-GB"/>
        </w:rPr>
      </w:pPr>
      <w:bookmarkStart w:id="16" w:name="_Toc179814522"/>
      <w:r>
        <w:rPr>
          <w:lang w:val="en-GB"/>
        </w:rPr>
        <w:br w:type="page"/>
      </w:r>
    </w:p>
    <w:p w14:paraId="11E04482" w14:textId="13312C06" w:rsidR="008E5242" w:rsidRPr="007F7681" w:rsidRDefault="008E5242" w:rsidP="001952AB">
      <w:pPr>
        <w:pStyle w:val="Heading2"/>
        <w:rPr>
          <w:bCs/>
          <w:sz w:val="48"/>
          <w:szCs w:val="48"/>
        </w:rPr>
      </w:pPr>
      <w:r>
        <w:rPr>
          <w:lang w:val="en-GB"/>
        </w:rPr>
        <w:lastRenderedPageBreak/>
        <w:t>How the cost of living pressure impacts families</w:t>
      </w:r>
      <w:bookmarkEnd w:id="16"/>
      <w:r>
        <w:rPr>
          <w:lang w:val="en-GB"/>
        </w:rPr>
        <w:t xml:space="preserve"> </w:t>
      </w:r>
    </w:p>
    <w:p w14:paraId="63B0DC55" w14:textId="179B43FA" w:rsidR="008E5242" w:rsidRDefault="008E5242" w:rsidP="001952AB">
      <w:pPr>
        <w:widowControl/>
        <w:autoSpaceDE/>
        <w:autoSpaceDN/>
        <w:spacing w:before="100" w:beforeAutospacing="1" w:after="100" w:afterAutospacing="1"/>
        <w:rPr>
          <w:rFonts w:ascii="Avenir Next LT Pro" w:hAnsi="Avenir Next LT Pro"/>
          <w:color w:val="575F61"/>
          <w:lang w:val="en-GB"/>
        </w:rPr>
      </w:pPr>
      <w:r>
        <w:rPr>
          <w:rFonts w:ascii="Avenir Next LT Pro" w:hAnsi="Avenir Next LT Pro"/>
          <w:color w:val="575F61"/>
          <w:lang w:val="en-GB"/>
        </w:rPr>
        <w:t xml:space="preserve">The impact pathway published by Monash University and VicHealth, shown in Figure 2, summarises how high inflation coupled with low wage growth can lead to material hardship and psychosocial and behavioural effects </w:t>
      </w:r>
      <w:r>
        <w:rPr>
          <w:rFonts w:ascii="Avenir Next LT Pro" w:hAnsi="Avenir Next LT Pro"/>
          <w:noProof/>
          <w:color w:val="575F61"/>
          <w:lang w:val="en-GB"/>
        </w:rPr>
        <w:t>(Black et al. 2024)</w:t>
      </w:r>
      <w:r>
        <w:rPr>
          <w:rFonts w:ascii="Avenir Next LT Pro" w:hAnsi="Avenir Next LT Pro"/>
          <w:color w:val="575F61"/>
          <w:lang w:val="en-GB"/>
        </w:rPr>
        <w:t xml:space="preserve">. For parents it can impact their productivity and earnings, and can also affect their physical and mental health. This has spill-over effects for children. The effects of financial stress on children are discussed further on page </w:t>
      </w:r>
      <w:r w:rsidR="00DF2C42" w:rsidRPr="00DF2C42">
        <w:rPr>
          <w:rFonts w:ascii="Avenir Next LT Pro" w:hAnsi="Avenir Next LT Pro"/>
          <w:color w:val="575F61"/>
          <w:lang w:val="en-GB"/>
        </w:rPr>
        <w:t>17</w:t>
      </w:r>
      <w:r>
        <w:rPr>
          <w:rFonts w:ascii="Avenir Next LT Pro" w:hAnsi="Avenir Next LT Pro"/>
          <w:color w:val="575F61"/>
          <w:lang w:val="en-GB"/>
        </w:rPr>
        <w:t xml:space="preserve"> of the report. </w:t>
      </w:r>
    </w:p>
    <w:p w14:paraId="1301900F" w14:textId="7D0BD415" w:rsidR="008E5242" w:rsidRPr="006D460A" w:rsidRDefault="008E5242" w:rsidP="001952AB">
      <w:pPr>
        <w:pStyle w:val="TitleinText"/>
      </w:pPr>
      <w:r w:rsidRPr="00537E8C">
        <w:rPr>
          <w:rFonts w:ascii="Avenir Next LT Pro" w:hAnsi="Avenir Next LT Pro"/>
          <w:bCs w:val="0"/>
          <w:color w:val="575F61"/>
          <w:szCs w:val="22"/>
          <w:lang w:val="en-GB"/>
        </w:rPr>
        <w:t>Figure 2</w:t>
      </w:r>
      <w:r>
        <w:rPr>
          <w:rFonts w:ascii="Avenir Next LT Pro" w:hAnsi="Avenir Next LT Pro"/>
          <w:bCs w:val="0"/>
          <w:color w:val="575F61"/>
          <w:szCs w:val="22"/>
          <w:lang w:val="en-GB"/>
        </w:rPr>
        <w:t>:</w:t>
      </w:r>
      <w:r w:rsidRPr="00537E8C">
        <w:rPr>
          <w:rFonts w:ascii="Avenir Next LT Pro" w:hAnsi="Avenir Next LT Pro"/>
          <w:bCs w:val="0"/>
          <w:color w:val="575F61"/>
          <w:szCs w:val="22"/>
          <w:lang w:val="en-GB"/>
        </w:rPr>
        <w:t xml:space="preserve"> </w:t>
      </w:r>
      <w:r w:rsidRPr="00537E8C">
        <w:rPr>
          <w:rFonts w:ascii="Avenir Next LT Pro" w:hAnsi="Avenir Next LT Pro"/>
          <w:b w:val="0"/>
          <w:bCs w:val="0"/>
          <w:color w:val="575F61"/>
          <w:szCs w:val="22"/>
          <w:lang w:val="en-GB"/>
        </w:rPr>
        <w:t xml:space="preserve">Impact pathways between high inflation and health outcome for parents and children </w:t>
      </w:r>
    </w:p>
    <w:p w14:paraId="2CC05EF3" w14:textId="6C055A7A" w:rsidR="00105CDF" w:rsidRDefault="00105CDF" w:rsidP="001952AB">
      <w:pPr>
        <w:rPr>
          <w:rFonts w:ascii="Avenir Next LT Pro" w:hAnsi="Avenir Next LT Pro"/>
          <w:color w:val="575F61"/>
          <w:lang w:val="en-GB"/>
        </w:rPr>
      </w:pPr>
      <w:r w:rsidRPr="00105CDF">
        <w:rPr>
          <w:rFonts w:ascii="Avenir Next LT Pro" w:hAnsi="Avenir Next LT Pro"/>
          <w:noProof/>
          <w:color w:val="575F61"/>
          <w:lang w:val="en-GB"/>
        </w:rPr>
        <w:drawing>
          <wp:inline distT="0" distB="0" distL="0" distR="0" wp14:anchorId="1C167E32" wp14:editId="02889A56">
            <wp:extent cx="6318250" cy="5882005"/>
            <wp:effectExtent l="0" t="0" r="6350" b="4445"/>
            <wp:docPr id="49" name="Picture 49" descr="Infographic showing high inflation and low wage growth leading to public policy responses such as high interest rates and cost of oiving pressure. This in turn leads to material hardship (food insecurity, energy poverty, deferred healthcare, and housing insecurity), psychosocial effects (financial stress, strain on relationships and cognitive burden) and behavioural effects (increased work hours and lifestyle changes). These lead to low productivity and earnings and health implications (mental health, physical health, health behaviours). These lead to spillover effects on children and ot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18250" cy="5882005"/>
                    </a:xfrm>
                    <a:prstGeom prst="rect">
                      <a:avLst/>
                    </a:prstGeom>
                  </pic:spPr>
                </pic:pic>
              </a:graphicData>
            </a:graphic>
          </wp:inline>
        </w:drawing>
      </w:r>
    </w:p>
    <w:p w14:paraId="714AF4CB" w14:textId="296F4540" w:rsidR="008E5242" w:rsidRPr="00CD3787" w:rsidRDefault="00105CDF" w:rsidP="001952AB">
      <w:pPr>
        <w:rPr>
          <w:rFonts w:ascii="Avenir Next LT Pro" w:hAnsi="Avenir Next LT Pro"/>
          <w:color w:val="575F61"/>
          <w:lang w:val="en-GB"/>
        </w:rPr>
      </w:pPr>
      <w:r>
        <w:rPr>
          <w:rFonts w:ascii="Avenir Next LT Pro" w:hAnsi="Avenir Next LT Pro"/>
          <w:color w:val="575F61"/>
          <w:lang w:val="en-GB"/>
        </w:rPr>
        <w:t>S</w:t>
      </w:r>
      <w:r w:rsidR="008E5242" w:rsidRPr="00CD3787">
        <w:rPr>
          <w:rFonts w:ascii="Avenir Next LT Pro" w:hAnsi="Avenir Next LT Pro"/>
          <w:color w:val="575F61"/>
          <w:lang w:val="en-GB"/>
        </w:rPr>
        <w:t>ource: (Black et al. 2024)</w:t>
      </w:r>
    </w:p>
    <w:p w14:paraId="639E0861" w14:textId="77777777" w:rsidR="008E5242" w:rsidRDefault="008E5242">
      <w:pPr>
        <w:spacing w:before="0" w:after="0"/>
        <w:rPr>
          <w:rFonts w:ascii="Avenir Next Demi Bold" w:eastAsia="AvenirNextLTPro-Demi" w:hAnsi="Avenir Next Demi Bold" w:cs="AvenirNextLTPro-Demi"/>
          <w:b/>
          <w:bCs/>
          <w:color w:val="1598CB"/>
          <w:sz w:val="48"/>
          <w:szCs w:val="48"/>
        </w:rPr>
      </w:pPr>
      <w:bookmarkStart w:id="17" w:name="_Toc179814523"/>
      <w:r>
        <w:br w:type="page"/>
      </w:r>
    </w:p>
    <w:p w14:paraId="40B45C29" w14:textId="77777777" w:rsidR="008E5242" w:rsidRDefault="008E5242" w:rsidP="001952AB">
      <w:pPr>
        <w:pStyle w:val="Heading1"/>
      </w:pPr>
      <w:r>
        <w:lastRenderedPageBreak/>
        <w:t>Who we spoke to and what we learnt</w:t>
      </w:r>
      <w:bookmarkEnd w:id="17"/>
    </w:p>
    <w:p w14:paraId="62407273" w14:textId="77777777" w:rsidR="008E5242" w:rsidRPr="00660B4A" w:rsidRDefault="008E5242" w:rsidP="001952AB">
      <w:pPr>
        <w:widowControl/>
        <w:autoSpaceDE/>
        <w:autoSpaceDN/>
        <w:spacing w:before="100" w:beforeAutospacing="1" w:after="100" w:afterAutospacing="1"/>
        <w:rPr>
          <w:rFonts w:ascii="Avenir Next LT Pro" w:hAnsi="Avenir Next LT Pro"/>
          <w:color w:val="575F61"/>
          <w:lang w:val="en-GB"/>
        </w:rPr>
      </w:pPr>
      <w:r>
        <w:rPr>
          <w:rFonts w:ascii="Avenir Next LT Pro" w:hAnsi="Avenir Next LT Pro"/>
          <w:color w:val="575F61"/>
          <w:lang w:val="en-GB"/>
        </w:rPr>
        <w:t xml:space="preserve">The </w:t>
      </w:r>
      <w:r w:rsidRPr="00660B4A">
        <w:rPr>
          <w:rFonts w:ascii="Avenir Next LT Pro" w:hAnsi="Avenir Next LT Pro"/>
          <w:color w:val="575F61"/>
          <w:lang w:val="en-GB"/>
        </w:rPr>
        <w:t xml:space="preserve">Social Action </w:t>
      </w:r>
      <w:r>
        <w:rPr>
          <w:rFonts w:ascii="Avenir Next LT Pro" w:hAnsi="Avenir Next LT Pro"/>
          <w:color w:val="575F61"/>
          <w:lang w:val="en-GB"/>
        </w:rPr>
        <w:t xml:space="preserve">and </w:t>
      </w:r>
      <w:r w:rsidRPr="00660B4A">
        <w:rPr>
          <w:rFonts w:ascii="Avenir Next LT Pro" w:hAnsi="Avenir Next LT Pro"/>
          <w:color w:val="575F61"/>
          <w:lang w:val="en-GB"/>
        </w:rPr>
        <w:t>Research Centre (SARC) spoke with frontline staff from Anglicare service</w:t>
      </w:r>
      <w:r>
        <w:rPr>
          <w:rFonts w:ascii="Avenir Next LT Pro" w:hAnsi="Avenir Next LT Pro"/>
          <w:color w:val="575F61"/>
          <w:lang w:val="en-GB"/>
        </w:rPr>
        <w:t>s</w:t>
      </w:r>
      <w:r w:rsidRPr="00660B4A">
        <w:rPr>
          <w:rFonts w:ascii="Avenir Next LT Pro" w:hAnsi="Avenir Next LT Pro"/>
          <w:color w:val="575F61"/>
          <w:lang w:val="en-GB"/>
        </w:rPr>
        <w:t xml:space="preserve"> that support children and families facing or at risk of financial </w:t>
      </w:r>
      <w:r>
        <w:rPr>
          <w:rFonts w:ascii="Avenir Next LT Pro" w:hAnsi="Avenir Next LT Pro"/>
          <w:color w:val="575F61"/>
          <w:lang w:val="en-GB"/>
        </w:rPr>
        <w:t>stress or hardship</w:t>
      </w:r>
      <w:r w:rsidRPr="00660B4A">
        <w:rPr>
          <w:rFonts w:ascii="Avenir Next LT Pro" w:hAnsi="Avenir Next LT Pro"/>
          <w:color w:val="575F61"/>
          <w:lang w:val="en-GB"/>
        </w:rPr>
        <w:t>.</w:t>
      </w:r>
    </w:p>
    <w:p w14:paraId="5D7392A6" w14:textId="77777777" w:rsidR="008E5242" w:rsidRPr="00660B4A" w:rsidRDefault="008E5242" w:rsidP="001952AB">
      <w:pPr>
        <w:widowControl/>
        <w:autoSpaceDE/>
        <w:autoSpaceDN/>
        <w:spacing w:before="100" w:beforeAutospacing="1" w:after="100" w:afterAutospacing="1"/>
        <w:rPr>
          <w:rFonts w:ascii="Avenir Next LT Pro" w:hAnsi="Avenir Next LT Pro"/>
          <w:color w:val="575F61"/>
          <w:lang w:val="en-GB"/>
        </w:rPr>
      </w:pPr>
      <w:r>
        <w:rPr>
          <w:rFonts w:ascii="Avenir Next LT Pro" w:hAnsi="Avenir Next LT Pro"/>
          <w:color w:val="575F61"/>
          <w:lang w:val="en-GB"/>
        </w:rPr>
        <w:t xml:space="preserve">The </w:t>
      </w:r>
      <w:r w:rsidRPr="00660B4A">
        <w:rPr>
          <w:rFonts w:ascii="Avenir Next LT Pro" w:hAnsi="Avenir Next LT Pro"/>
          <w:b/>
          <w:color w:val="575F61"/>
          <w:lang w:val="en-GB"/>
        </w:rPr>
        <w:t>Anglicare Tasmania</w:t>
      </w:r>
      <w:r>
        <w:rPr>
          <w:rFonts w:ascii="Avenir Next LT Pro" w:hAnsi="Avenir Next LT Pro"/>
          <w:b/>
          <w:color w:val="575F61"/>
          <w:lang w:val="en-GB"/>
        </w:rPr>
        <w:t>n</w:t>
      </w:r>
      <w:r w:rsidRPr="00660B4A">
        <w:rPr>
          <w:rFonts w:ascii="Avenir Next LT Pro" w:hAnsi="Avenir Next LT Pro"/>
          <w:b/>
          <w:color w:val="575F61"/>
          <w:lang w:val="en-GB"/>
        </w:rPr>
        <w:t xml:space="preserve"> Financial Counselling Service</w:t>
      </w:r>
      <w:r w:rsidRPr="00660B4A">
        <w:rPr>
          <w:rFonts w:ascii="Avenir Next LT Pro" w:hAnsi="Avenir Next LT Pro"/>
          <w:color w:val="575F61"/>
          <w:lang w:val="en-GB"/>
        </w:rPr>
        <w:t xml:space="preserve"> offers advice and assistance on a range of financial issues. This can include budgeting or managing debt and hardship arrangements.</w:t>
      </w:r>
      <w:r>
        <w:rPr>
          <w:rFonts w:ascii="Avenir Next LT Pro" w:hAnsi="Avenir Next LT Pro"/>
          <w:color w:val="575F61"/>
          <w:lang w:val="en-GB"/>
        </w:rPr>
        <w:t xml:space="preserve"> The Financial Counselling Service receives funding from both the Commonwealth Government and the Tasmanian Government, and is </w:t>
      </w:r>
      <w:r w:rsidRPr="00660B4A">
        <w:rPr>
          <w:rFonts w:ascii="Avenir Next LT Pro" w:hAnsi="Avenir Next LT Pro"/>
          <w:color w:val="575F61"/>
          <w:lang w:val="en-GB"/>
        </w:rPr>
        <w:t xml:space="preserve">available to all Tasmanians, without any eligibility requirements. The data from the Financial Counselling Service can provide insights into the financial challenges Tasmanian families </w:t>
      </w:r>
      <w:r>
        <w:rPr>
          <w:rFonts w:ascii="Avenir Next LT Pro" w:hAnsi="Avenir Next LT Pro"/>
          <w:color w:val="575F61"/>
          <w:lang w:val="en-GB"/>
        </w:rPr>
        <w:t>a</w:t>
      </w:r>
      <w:r w:rsidRPr="00660B4A">
        <w:rPr>
          <w:rFonts w:ascii="Avenir Next LT Pro" w:hAnsi="Avenir Next LT Pro"/>
          <w:color w:val="575F61"/>
          <w:lang w:val="en-GB"/>
        </w:rPr>
        <w:t xml:space="preserve">re experiencing. </w:t>
      </w:r>
    </w:p>
    <w:p w14:paraId="35CDC139" w14:textId="77777777" w:rsidR="008E5242" w:rsidRPr="00660B4A" w:rsidRDefault="008E5242" w:rsidP="001952AB">
      <w:pPr>
        <w:widowControl/>
        <w:autoSpaceDE/>
        <w:autoSpaceDN/>
        <w:spacing w:before="100" w:beforeAutospacing="1" w:after="100" w:afterAutospacing="1"/>
        <w:rPr>
          <w:rFonts w:ascii="Avenir Next LT Pro" w:hAnsi="Avenir Next LT Pro"/>
          <w:color w:val="575F61"/>
          <w:lang w:val="en-GB"/>
        </w:rPr>
      </w:pPr>
      <w:r w:rsidRPr="00660B4A">
        <w:rPr>
          <w:rFonts w:ascii="Avenir Next LT Pro" w:hAnsi="Avenir Next LT Pro"/>
          <w:b/>
          <w:color w:val="575F61"/>
          <w:lang w:val="en-GB"/>
        </w:rPr>
        <w:t>Anglicare Child</w:t>
      </w:r>
      <w:r>
        <w:rPr>
          <w:rFonts w:ascii="Avenir Next LT Pro" w:hAnsi="Avenir Next LT Pro"/>
          <w:b/>
          <w:color w:val="575F61"/>
          <w:lang w:val="en-GB"/>
        </w:rPr>
        <w:t>, Youth</w:t>
      </w:r>
      <w:r w:rsidRPr="00660B4A">
        <w:rPr>
          <w:rFonts w:ascii="Avenir Next LT Pro" w:hAnsi="Avenir Next LT Pro"/>
          <w:b/>
          <w:color w:val="575F61"/>
          <w:lang w:val="en-GB"/>
        </w:rPr>
        <w:t xml:space="preserve"> and Family Service</w:t>
      </w:r>
      <w:r>
        <w:rPr>
          <w:rFonts w:ascii="Avenir Next LT Pro" w:hAnsi="Avenir Next LT Pro"/>
          <w:b/>
          <w:color w:val="575F61"/>
          <w:lang w:val="en-GB"/>
        </w:rPr>
        <w:t>s</w:t>
      </w:r>
      <w:r w:rsidRPr="00660B4A">
        <w:rPr>
          <w:rFonts w:ascii="Avenir Next LT Pro" w:hAnsi="Avenir Next LT Pro"/>
          <w:color w:val="575F61"/>
          <w:lang w:val="en-GB"/>
        </w:rPr>
        <w:t xml:space="preserve"> </w:t>
      </w:r>
      <w:r>
        <w:rPr>
          <w:rFonts w:ascii="Avenir Next LT Pro" w:hAnsi="Avenir Next LT Pro"/>
          <w:color w:val="575F61"/>
          <w:lang w:val="en-GB"/>
        </w:rPr>
        <w:t>include</w:t>
      </w:r>
      <w:r w:rsidRPr="00660B4A">
        <w:rPr>
          <w:rFonts w:ascii="Avenir Next LT Pro" w:hAnsi="Avenir Next LT Pro"/>
          <w:color w:val="575F61"/>
          <w:lang w:val="en-GB"/>
        </w:rPr>
        <w:t xml:space="preserve"> a range of programs aimed at supporting children and families through different stages of life. These programs receive funding from both the Commonwealth Government and the Tasmanian Government. Services are provided </w:t>
      </w:r>
      <w:r>
        <w:rPr>
          <w:rFonts w:ascii="Avenir Next LT Pro" w:hAnsi="Avenir Next LT Pro"/>
          <w:color w:val="575F61"/>
          <w:lang w:val="en-GB"/>
        </w:rPr>
        <w:t xml:space="preserve">to </w:t>
      </w:r>
      <w:r w:rsidRPr="00660B4A">
        <w:rPr>
          <w:rFonts w:ascii="Avenir Next LT Pro" w:hAnsi="Avenir Next LT Pro"/>
          <w:color w:val="575F61"/>
          <w:lang w:val="en-GB"/>
        </w:rPr>
        <w:t xml:space="preserve">children, young people, parents and families. </w:t>
      </w:r>
      <w:r>
        <w:rPr>
          <w:rFonts w:ascii="Avenir Next LT Pro" w:hAnsi="Avenir Next LT Pro"/>
          <w:color w:val="575F61"/>
          <w:lang w:val="en-GB"/>
        </w:rPr>
        <w:t xml:space="preserve">The data from the Child, Youth and Family services can provide insights into the effects financial stress has on Tasmanian children and families. </w:t>
      </w:r>
    </w:p>
    <w:p w14:paraId="317A7628" w14:textId="77777777" w:rsidR="008E5242" w:rsidRPr="00660B4A" w:rsidRDefault="008E5242" w:rsidP="001952AB">
      <w:pPr>
        <w:widowControl/>
        <w:autoSpaceDE/>
        <w:autoSpaceDN/>
        <w:spacing w:before="100" w:beforeAutospacing="1" w:after="100" w:afterAutospacing="1"/>
        <w:rPr>
          <w:rFonts w:ascii="Avenir Next LT Pro" w:hAnsi="Avenir Next LT Pro"/>
          <w:color w:val="575F61"/>
          <w:lang w:val="en-GB"/>
        </w:rPr>
      </w:pPr>
      <w:r>
        <w:rPr>
          <w:rFonts w:ascii="Avenir Next LT Pro" w:hAnsi="Avenir Next LT Pro"/>
          <w:color w:val="575F61"/>
          <w:lang w:val="en-GB"/>
        </w:rPr>
        <w:t>The interviews with Anglicare staff</w:t>
      </w:r>
      <w:r w:rsidRPr="00660B4A">
        <w:rPr>
          <w:rFonts w:ascii="Avenir Next LT Pro" w:hAnsi="Avenir Next LT Pro"/>
          <w:color w:val="575F61"/>
          <w:lang w:val="en-GB"/>
        </w:rPr>
        <w:t xml:space="preserve"> </w:t>
      </w:r>
      <w:r>
        <w:rPr>
          <w:rFonts w:ascii="Avenir Next LT Pro" w:hAnsi="Avenir Next LT Pro"/>
          <w:color w:val="575F61"/>
          <w:lang w:val="en-GB"/>
        </w:rPr>
        <w:t>provide useful information about</w:t>
      </w:r>
      <w:r w:rsidRPr="00660B4A">
        <w:rPr>
          <w:rFonts w:ascii="Avenir Next LT Pro" w:hAnsi="Avenir Next LT Pro"/>
          <w:color w:val="575F61"/>
          <w:lang w:val="en-GB"/>
        </w:rPr>
        <w:t xml:space="preserve"> how the </w:t>
      </w:r>
      <w:r>
        <w:rPr>
          <w:rFonts w:ascii="Avenir Next LT Pro" w:hAnsi="Avenir Next LT Pro"/>
          <w:color w:val="575F61"/>
          <w:lang w:val="en-GB"/>
        </w:rPr>
        <w:t xml:space="preserve">rising </w:t>
      </w:r>
      <w:r w:rsidRPr="00660B4A">
        <w:rPr>
          <w:rFonts w:ascii="Avenir Next LT Pro" w:hAnsi="Avenir Next LT Pro"/>
          <w:color w:val="575F61"/>
          <w:lang w:val="en-GB"/>
        </w:rPr>
        <w:t>cost of living impacts children and families in Tasmania. It also allow</w:t>
      </w:r>
      <w:r>
        <w:rPr>
          <w:rFonts w:ascii="Avenir Next LT Pro" w:hAnsi="Avenir Next LT Pro"/>
          <w:color w:val="575F61"/>
          <w:lang w:val="en-GB"/>
        </w:rPr>
        <w:t xml:space="preserve">s </w:t>
      </w:r>
      <w:r w:rsidRPr="00660B4A">
        <w:rPr>
          <w:rFonts w:ascii="Avenir Next LT Pro" w:hAnsi="Avenir Next LT Pro"/>
          <w:color w:val="575F61"/>
          <w:lang w:val="en-GB"/>
        </w:rPr>
        <w:t xml:space="preserve">us to identify groups that are being disproportionally affected. The data shows that single female parent households are still bearing the brunt of financial hardship. However, there are many two-parent families </w:t>
      </w:r>
      <w:r>
        <w:rPr>
          <w:rFonts w:ascii="Avenir Next LT Pro" w:hAnsi="Avenir Next LT Pro"/>
          <w:color w:val="575F61"/>
          <w:lang w:val="en-GB"/>
        </w:rPr>
        <w:t>struggling financially</w:t>
      </w:r>
      <w:r w:rsidRPr="00660B4A">
        <w:rPr>
          <w:rFonts w:ascii="Avenir Next LT Pro" w:hAnsi="Avenir Next LT Pro"/>
          <w:color w:val="575F61"/>
          <w:lang w:val="en-GB"/>
        </w:rPr>
        <w:t>, even when both parents are working.</w:t>
      </w:r>
      <w:r>
        <w:rPr>
          <w:rFonts w:ascii="Avenir Next LT Pro" w:hAnsi="Avenir Next LT Pro"/>
          <w:color w:val="575F61"/>
          <w:lang w:val="en-GB"/>
        </w:rPr>
        <w:t xml:space="preserve"> </w:t>
      </w:r>
    </w:p>
    <w:p w14:paraId="4213BD30" w14:textId="77777777" w:rsidR="008E5242" w:rsidRDefault="008E5242" w:rsidP="001952AB">
      <w:pPr>
        <w:widowControl/>
        <w:autoSpaceDE/>
        <w:autoSpaceDN/>
        <w:spacing w:before="100" w:beforeAutospacing="1" w:after="100" w:afterAutospacing="1"/>
        <w:rPr>
          <w:rFonts w:ascii="Avenir Next LT Pro" w:hAnsi="Avenir Next LT Pro"/>
          <w:color w:val="575F61"/>
          <w:lang w:val="en-GB"/>
        </w:rPr>
      </w:pPr>
      <w:r>
        <w:rPr>
          <w:rFonts w:ascii="Avenir Next LT Pro" w:hAnsi="Avenir Next LT Pro"/>
          <w:color w:val="575F61"/>
          <w:lang w:val="en-GB"/>
        </w:rPr>
        <w:t>There is also</w:t>
      </w:r>
      <w:r w:rsidRPr="00660B4A">
        <w:rPr>
          <w:rFonts w:ascii="Avenir Next LT Pro" w:hAnsi="Avenir Next LT Pro"/>
          <w:color w:val="575F61"/>
          <w:lang w:val="en-GB"/>
        </w:rPr>
        <w:t xml:space="preserve"> significant concern </w:t>
      </w:r>
      <w:r>
        <w:rPr>
          <w:rFonts w:ascii="Avenir Next LT Pro" w:hAnsi="Avenir Next LT Pro"/>
          <w:color w:val="575F61"/>
          <w:lang w:val="en-GB"/>
        </w:rPr>
        <w:t>for</w:t>
      </w:r>
      <w:r w:rsidRPr="00660B4A">
        <w:rPr>
          <w:rFonts w:ascii="Avenir Next LT Pro" w:hAnsi="Avenir Next LT Pro"/>
          <w:color w:val="575F61"/>
          <w:lang w:val="en-GB"/>
        </w:rPr>
        <w:t xml:space="preserve"> the high number of families reporting experiences of domestic </w:t>
      </w:r>
      <w:r>
        <w:rPr>
          <w:rFonts w:ascii="Avenir Next LT Pro" w:hAnsi="Avenir Next LT Pro"/>
          <w:color w:val="575F61"/>
          <w:lang w:val="en-GB"/>
        </w:rPr>
        <w:t xml:space="preserve">and family </w:t>
      </w:r>
      <w:r w:rsidRPr="00660B4A">
        <w:rPr>
          <w:rFonts w:ascii="Avenir Next LT Pro" w:hAnsi="Avenir Next LT Pro"/>
          <w:color w:val="575F61"/>
          <w:lang w:val="en-GB"/>
        </w:rPr>
        <w:t xml:space="preserve">violence, with one in five financial counselling clients disclosing domestic </w:t>
      </w:r>
      <w:r>
        <w:rPr>
          <w:rFonts w:ascii="Avenir Next LT Pro" w:hAnsi="Avenir Next LT Pro"/>
          <w:color w:val="575F61"/>
          <w:lang w:val="en-GB"/>
        </w:rPr>
        <w:t xml:space="preserve">and family </w:t>
      </w:r>
      <w:r w:rsidRPr="00660B4A">
        <w:rPr>
          <w:rFonts w:ascii="Avenir Next LT Pro" w:hAnsi="Avenir Next LT Pro"/>
          <w:color w:val="575F61"/>
          <w:lang w:val="en-GB"/>
        </w:rPr>
        <w:t xml:space="preserve">violence. </w:t>
      </w:r>
    </w:p>
    <w:p w14:paraId="0A4DC06B" w14:textId="77777777" w:rsidR="008E5242" w:rsidRDefault="008E5242">
      <w:pPr>
        <w:spacing w:before="0" w:after="0"/>
        <w:rPr>
          <w:rFonts w:ascii="Avenir Next Demi Bold" w:eastAsia="AvenirNextLTPro-Demi" w:hAnsi="Avenir Next Demi Bold" w:cs="AvenirNextLTPro-Demi"/>
          <w:b/>
          <w:bCs/>
          <w:color w:val="1598CB"/>
          <w:sz w:val="48"/>
          <w:szCs w:val="48"/>
          <w:lang w:val="en-GB"/>
        </w:rPr>
      </w:pPr>
      <w:r>
        <w:rPr>
          <w:lang w:val="en-GB"/>
        </w:rPr>
        <w:br w:type="page"/>
      </w:r>
    </w:p>
    <w:p w14:paraId="63DB8483" w14:textId="77777777" w:rsidR="008E5242" w:rsidRDefault="008E5242" w:rsidP="001952AB">
      <w:pPr>
        <w:pStyle w:val="Heading1"/>
        <w:rPr>
          <w:lang w:val="en-GB"/>
        </w:rPr>
      </w:pPr>
      <w:bookmarkStart w:id="18" w:name="_Toc179814524"/>
      <w:r>
        <w:rPr>
          <w:lang w:val="en-GB"/>
        </w:rPr>
        <w:lastRenderedPageBreak/>
        <w:t>Families accessing Financial Counselling in July 2024</w:t>
      </w:r>
      <w:bookmarkEnd w:id="18"/>
    </w:p>
    <w:p w14:paraId="139E64D6" w14:textId="77777777" w:rsidR="00DA411B" w:rsidRDefault="00DA411B">
      <w:pPr>
        <w:spacing w:before="0" w:after="0"/>
      </w:pPr>
      <w:r w:rsidRPr="00DA411B">
        <w:rPr>
          <w:noProof/>
        </w:rPr>
        <w:drawing>
          <wp:inline distT="0" distB="0" distL="0" distR="0" wp14:anchorId="2517C91B" wp14:editId="0C5E00FF">
            <wp:extent cx="6318250" cy="4462780"/>
            <wp:effectExtent l="0" t="0" r="6350" b="0"/>
            <wp:docPr id="1" name="Picture 1" descr="Infographic showing 79% female, 61% aged between 25 and 44, and 72% single parent. At least 56% of families received income below the poverty line. 72% either working, parenting or studying, 88% have a high school or higher education and 19% disclosed domestic or family vio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318250" cy="4462780"/>
                    </a:xfrm>
                    <a:prstGeom prst="rect">
                      <a:avLst/>
                    </a:prstGeom>
                  </pic:spPr>
                </pic:pic>
              </a:graphicData>
            </a:graphic>
          </wp:inline>
        </w:drawing>
      </w:r>
    </w:p>
    <w:p w14:paraId="355F365A" w14:textId="372BEF42" w:rsidR="008E5242" w:rsidRDefault="00DA411B">
      <w:pPr>
        <w:spacing w:before="0" w:after="0"/>
        <w:rPr>
          <w:rFonts w:ascii="Avenir Next Demi Bold" w:eastAsia="AvenirNextLTPro-Demi" w:hAnsi="Avenir Next Demi Bold" w:cs="AvenirNextLTPro-Demi"/>
          <w:b/>
          <w:bCs/>
          <w:color w:val="1598CB"/>
          <w:sz w:val="48"/>
          <w:szCs w:val="48"/>
        </w:rPr>
      </w:pPr>
      <w:r w:rsidRPr="00DA411B">
        <w:rPr>
          <w:noProof/>
        </w:rPr>
        <w:drawing>
          <wp:inline distT="0" distB="0" distL="0" distR="0" wp14:anchorId="2B867971" wp14:editId="5AC37E24">
            <wp:extent cx="6318250" cy="2790825"/>
            <wp:effectExtent l="0" t="0" r="6350" b="9525"/>
            <wp:docPr id="50" name="Picture 50" descr="16% lived the North West, 38% lived in the North and 46% lived in the S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318250" cy="2790825"/>
                    </a:xfrm>
                    <a:prstGeom prst="rect">
                      <a:avLst/>
                    </a:prstGeom>
                  </pic:spPr>
                </pic:pic>
              </a:graphicData>
            </a:graphic>
          </wp:inline>
        </w:drawing>
      </w:r>
      <w:r w:rsidR="008E5242">
        <w:br w:type="page"/>
      </w:r>
    </w:p>
    <w:p w14:paraId="20B4DECF" w14:textId="77777777" w:rsidR="008E5242" w:rsidRPr="00FA5F1C" w:rsidRDefault="008E5242" w:rsidP="001952AB">
      <w:pPr>
        <w:pStyle w:val="Heading1"/>
      </w:pPr>
      <w:bookmarkStart w:id="19" w:name="_Toc179814525"/>
      <w:r>
        <w:lastRenderedPageBreak/>
        <w:t>Findings</w:t>
      </w:r>
      <w:bookmarkEnd w:id="19"/>
    </w:p>
    <w:p w14:paraId="55D462F2" w14:textId="77777777" w:rsidR="008E5242" w:rsidRDefault="008E5242" w:rsidP="001952AB">
      <w:pPr>
        <w:pStyle w:val="Heading2"/>
      </w:pPr>
      <w:bookmarkStart w:id="20" w:name="_Toc179814526"/>
      <w:r>
        <w:t>Families in financial stress</w:t>
      </w:r>
      <w:bookmarkEnd w:id="20"/>
      <w:r>
        <w:t xml:space="preserve"> </w:t>
      </w:r>
    </w:p>
    <w:p w14:paraId="4FE4BD26" w14:textId="77777777" w:rsidR="008E5242" w:rsidRPr="006303AC" w:rsidRDefault="008E5242" w:rsidP="001952AB">
      <w:pPr>
        <w:widowControl/>
        <w:autoSpaceDE/>
        <w:autoSpaceDN/>
        <w:spacing w:before="100" w:beforeAutospacing="1" w:after="100" w:afterAutospacing="1"/>
        <w:rPr>
          <w:rFonts w:ascii="Avenir Next LT Pro" w:hAnsi="Avenir Next LT Pro"/>
          <w:color w:val="575F61"/>
          <w:lang w:val="en-GB"/>
        </w:rPr>
      </w:pPr>
      <w:r>
        <w:rPr>
          <w:rFonts w:ascii="Avenir Next LT Pro" w:hAnsi="Avenir Next LT Pro"/>
          <w:color w:val="575F61"/>
          <w:lang w:val="en-GB"/>
        </w:rPr>
        <w:t>Many f</w:t>
      </w:r>
      <w:r w:rsidRPr="00FA5F1C">
        <w:rPr>
          <w:rFonts w:ascii="Avenir Next LT Pro" w:hAnsi="Avenir Next LT Pro"/>
          <w:color w:val="575F61"/>
          <w:lang w:val="en-GB"/>
        </w:rPr>
        <w:t>amilies in Tasmania are experiencing f</w:t>
      </w:r>
      <w:r w:rsidRPr="00D96458">
        <w:rPr>
          <w:rFonts w:ascii="Avenir Next LT Pro" w:hAnsi="Avenir Next LT Pro"/>
          <w:color w:val="575F61"/>
          <w:lang w:val="en-GB"/>
        </w:rPr>
        <w:t>inancial stress</w:t>
      </w:r>
      <w:r>
        <w:rPr>
          <w:rFonts w:ascii="Avenir Next LT Pro" w:hAnsi="Avenir Next LT Pro"/>
          <w:color w:val="575F61"/>
          <w:lang w:val="en-GB"/>
        </w:rPr>
        <w:t xml:space="preserve"> as a result of the increased cost of living</w:t>
      </w:r>
      <w:r w:rsidRPr="00FA5F1C">
        <w:rPr>
          <w:rFonts w:ascii="Avenir Next LT Pro" w:hAnsi="Avenir Next LT Pro"/>
          <w:color w:val="575F61"/>
          <w:lang w:val="en-GB"/>
        </w:rPr>
        <w:t xml:space="preserve">, meaning that they </w:t>
      </w:r>
      <w:r w:rsidRPr="00D96458">
        <w:rPr>
          <w:rFonts w:ascii="Avenir Next LT Pro" w:hAnsi="Avenir Next LT Pro"/>
          <w:color w:val="575F61"/>
          <w:lang w:val="en-GB"/>
        </w:rPr>
        <w:t>do not have the financial resources to meet</w:t>
      </w:r>
      <w:r>
        <w:rPr>
          <w:rFonts w:ascii="Avenir Next LT Pro" w:hAnsi="Avenir Next LT Pro"/>
          <w:color w:val="575F61"/>
          <w:lang w:val="en-GB"/>
        </w:rPr>
        <w:t xml:space="preserve"> the</w:t>
      </w:r>
      <w:r w:rsidRPr="00D96458">
        <w:rPr>
          <w:rFonts w:ascii="Avenir Next LT Pro" w:hAnsi="Avenir Next LT Pro"/>
          <w:color w:val="575F61"/>
          <w:lang w:val="en-GB"/>
        </w:rPr>
        <w:t xml:space="preserve"> material basics </w:t>
      </w:r>
      <w:r>
        <w:rPr>
          <w:rFonts w:ascii="Avenir Next LT Pro" w:hAnsi="Avenir Next LT Pro"/>
          <w:noProof/>
          <w:color w:val="575F61"/>
          <w:lang w:val="en-GB"/>
        </w:rPr>
        <w:t>(Steen and MacKenzie 2013)</w:t>
      </w:r>
      <w:r w:rsidRPr="00D96458">
        <w:rPr>
          <w:rFonts w:ascii="Avenir Next LT Pro" w:hAnsi="Avenir Next LT Pro"/>
          <w:color w:val="575F61"/>
          <w:lang w:val="en-GB"/>
        </w:rPr>
        <w:t>.</w:t>
      </w:r>
      <w:r>
        <w:rPr>
          <w:rFonts w:ascii="Avenir Next LT Pro" w:hAnsi="Avenir Next LT Pro"/>
          <w:color w:val="575F61"/>
          <w:lang w:val="en-GB"/>
        </w:rPr>
        <w:t xml:space="preserve"> </w:t>
      </w:r>
    </w:p>
    <w:p w14:paraId="15392F7A" w14:textId="77777777" w:rsidR="008E5242" w:rsidRDefault="008E5242" w:rsidP="001952AB">
      <w:pPr>
        <w:pStyle w:val="IntenseQuote"/>
        <w:spacing w:before="0" w:after="0"/>
      </w:pPr>
      <w:r>
        <w:t>‘</w:t>
      </w:r>
      <w:r w:rsidRPr="00524140">
        <w:t>We are seeing people now that we just didn’t before. Dual</w:t>
      </w:r>
      <w:r>
        <w:t>-</w:t>
      </w:r>
      <w:r w:rsidRPr="00524140">
        <w:t>income families who used to always be fine</w:t>
      </w:r>
      <w:r w:rsidRPr="005E3145">
        <w:t xml:space="preserve"> are now only just getting by</w:t>
      </w:r>
      <w:r>
        <w:t>’</w:t>
      </w:r>
      <w:r w:rsidRPr="005E3145">
        <w:t xml:space="preserve"> </w:t>
      </w:r>
    </w:p>
    <w:p w14:paraId="4DDF1889" w14:textId="77777777" w:rsidR="008E5242" w:rsidRDefault="008E5242" w:rsidP="001952AB">
      <w:pPr>
        <w:pStyle w:val="IntenseQuote"/>
        <w:spacing w:before="0" w:after="0"/>
      </w:pPr>
      <w:r>
        <w:rPr>
          <w:rFonts w:ascii="Calibri" w:hAnsi="Calibri" w:cs="Calibri"/>
        </w:rPr>
        <w:t>—</w:t>
      </w:r>
      <w:r w:rsidRPr="005E3145">
        <w:t xml:space="preserve"> Financial Counsellor, Hobart </w:t>
      </w:r>
    </w:p>
    <w:p w14:paraId="02BD28F9" w14:textId="77777777" w:rsidR="008E5242" w:rsidRDefault="008E5242" w:rsidP="001952AB">
      <w:pPr>
        <w:pStyle w:val="IntenseQuote"/>
        <w:spacing w:after="0"/>
      </w:pPr>
      <w:r>
        <w:t>‘</w:t>
      </w:r>
      <w:r w:rsidRPr="005E3145">
        <w:t>Income just isn’t matching expenses</w:t>
      </w:r>
      <w:r>
        <w:t>’</w:t>
      </w:r>
    </w:p>
    <w:p w14:paraId="2DD98CD5" w14:textId="77777777" w:rsidR="008E5242" w:rsidRPr="005E3145" w:rsidRDefault="008E5242" w:rsidP="001952AB">
      <w:pPr>
        <w:pStyle w:val="IntenseQuote"/>
        <w:spacing w:before="0" w:after="0"/>
      </w:pPr>
      <w:r>
        <w:rPr>
          <w:rFonts w:ascii="Calibri" w:hAnsi="Calibri" w:cs="Calibri"/>
        </w:rPr>
        <w:t>—</w:t>
      </w:r>
      <w:r w:rsidRPr="005E3145">
        <w:t xml:space="preserve"> Financial Counsellor, Launceston </w:t>
      </w:r>
    </w:p>
    <w:p w14:paraId="0DFC9FF3" w14:textId="77777777" w:rsidR="008E5242" w:rsidRDefault="008E5242" w:rsidP="001952AB">
      <w:pPr>
        <w:widowControl/>
        <w:autoSpaceDE/>
        <w:autoSpaceDN/>
        <w:spacing w:before="100" w:beforeAutospacing="1" w:after="100" w:afterAutospacing="1"/>
        <w:rPr>
          <w:rFonts w:ascii="Avenir Next LT Pro" w:hAnsi="Avenir Next LT Pro"/>
          <w:color w:val="575F61"/>
          <w:lang w:val="en-GB"/>
        </w:rPr>
      </w:pPr>
      <w:r>
        <w:rPr>
          <w:rFonts w:ascii="Avenir Next LT Pro" w:hAnsi="Avenir Next LT Pro"/>
          <w:color w:val="575F61"/>
          <w:lang w:val="en-GB"/>
        </w:rPr>
        <w:t>When</w:t>
      </w:r>
      <w:r w:rsidRPr="0078670C">
        <w:rPr>
          <w:rFonts w:ascii="Avenir Next LT Pro" w:hAnsi="Avenir Next LT Pro"/>
          <w:color w:val="575F61"/>
          <w:lang w:val="en-GB"/>
        </w:rPr>
        <w:t xml:space="preserve"> families </w:t>
      </w:r>
      <w:r>
        <w:rPr>
          <w:rFonts w:ascii="Avenir Next LT Pro" w:hAnsi="Avenir Next LT Pro"/>
          <w:color w:val="575F61"/>
          <w:lang w:val="en-GB"/>
        </w:rPr>
        <w:t xml:space="preserve">are struggling financially, parent and caregiver stress increase. This can lead to poor physical and mental health for parents and may decrease their parenting capacity </w:t>
      </w:r>
      <w:r>
        <w:rPr>
          <w:rFonts w:ascii="Avenir Next LT Pro" w:hAnsi="Avenir Next LT Pro"/>
          <w:noProof/>
          <w:color w:val="575F61"/>
          <w:lang w:val="en-GB"/>
        </w:rPr>
        <w:t>(Neppl et al. 2016)</w:t>
      </w:r>
      <w:r>
        <w:rPr>
          <w:rFonts w:ascii="Avenir Next LT Pro" w:hAnsi="Avenir Next LT Pro"/>
          <w:color w:val="575F61"/>
          <w:lang w:val="en-GB"/>
        </w:rPr>
        <w:t>. P</w:t>
      </w:r>
      <w:r w:rsidRPr="0078670C">
        <w:rPr>
          <w:rFonts w:ascii="Avenir Next LT Pro" w:hAnsi="Avenir Next LT Pro"/>
          <w:color w:val="575F61"/>
          <w:lang w:val="en-GB"/>
        </w:rPr>
        <w:t xml:space="preserve">arents and carers </w:t>
      </w:r>
      <w:r>
        <w:rPr>
          <w:rFonts w:ascii="Avenir Next LT Pro" w:hAnsi="Avenir Next LT Pro"/>
          <w:color w:val="575F61"/>
          <w:lang w:val="en-GB"/>
        </w:rPr>
        <w:t>can become</w:t>
      </w:r>
      <w:r w:rsidRPr="0078670C">
        <w:rPr>
          <w:rFonts w:ascii="Avenir Next LT Pro" w:hAnsi="Avenir Next LT Pro"/>
          <w:color w:val="575F61"/>
          <w:lang w:val="en-GB"/>
        </w:rPr>
        <w:t xml:space="preserve"> easily frustrated, less patient or lack the emotional resources needed for supportive and nurturing parenting behaviours</w:t>
      </w:r>
      <w:r>
        <w:rPr>
          <w:rFonts w:ascii="Avenir Next LT Pro" w:hAnsi="Avenir Next LT Pro"/>
          <w:color w:val="575F61"/>
          <w:lang w:val="en-GB"/>
        </w:rPr>
        <w:t xml:space="preserve"> </w:t>
      </w:r>
      <w:r>
        <w:rPr>
          <w:rFonts w:ascii="Avenir Next LT Pro" w:hAnsi="Avenir Next LT Pro"/>
          <w:noProof/>
          <w:color w:val="575F61"/>
          <w:lang w:val="en-GB"/>
        </w:rPr>
        <w:t>(NASEM 2016)</w:t>
      </w:r>
      <w:r w:rsidRPr="0078670C">
        <w:rPr>
          <w:rFonts w:ascii="Avenir Next LT Pro" w:hAnsi="Avenir Next LT Pro"/>
          <w:color w:val="575F61"/>
          <w:lang w:val="en-GB"/>
        </w:rPr>
        <w:t>.</w:t>
      </w:r>
      <w:r>
        <w:rPr>
          <w:rFonts w:ascii="Avenir Next LT Pro" w:hAnsi="Avenir Next LT Pro"/>
          <w:color w:val="575F61"/>
          <w:lang w:val="en-GB"/>
        </w:rPr>
        <w:t xml:space="preserve"> As a result children’s emotional and physical needs may not be met, and the quality of their home environment may change </w:t>
      </w:r>
      <w:r>
        <w:rPr>
          <w:rFonts w:ascii="Avenir Next LT Pro" w:hAnsi="Avenir Next LT Pro"/>
          <w:noProof/>
          <w:color w:val="575F61"/>
          <w:lang w:val="en-GB"/>
        </w:rPr>
        <w:t>(Neppl et al. 2016)</w:t>
      </w:r>
      <w:r>
        <w:rPr>
          <w:rFonts w:ascii="Avenir Next LT Pro" w:hAnsi="Avenir Next LT Pro"/>
          <w:color w:val="575F61"/>
          <w:lang w:val="en-GB"/>
        </w:rPr>
        <w:t xml:space="preserve">. All of these conditions are critical to healthy childhood development </w:t>
      </w:r>
      <w:r>
        <w:rPr>
          <w:rFonts w:ascii="Avenir Next LT Pro" w:hAnsi="Avenir Next LT Pro"/>
          <w:noProof/>
          <w:color w:val="575F61"/>
          <w:lang w:val="en-GB"/>
        </w:rPr>
        <w:t>(NSCDC 2020)</w:t>
      </w:r>
      <w:r>
        <w:rPr>
          <w:rFonts w:ascii="Avenir Next LT Pro" w:hAnsi="Avenir Next LT Pro"/>
          <w:color w:val="575F61"/>
          <w:lang w:val="en-GB"/>
        </w:rPr>
        <w:t xml:space="preserve">. </w:t>
      </w:r>
    </w:p>
    <w:p w14:paraId="2F90EC38" w14:textId="77777777" w:rsidR="008E5242" w:rsidRDefault="008E5242" w:rsidP="001952AB">
      <w:pPr>
        <w:pStyle w:val="IntenseQuote"/>
        <w:spacing w:after="0"/>
      </w:pPr>
      <w:r>
        <w:t>‘</w:t>
      </w:r>
      <w:r w:rsidRPr="005E3145">
        <w:t>What’s important is feeding your kids. It’s more important than seeing your psychiatrist so you just go without even though that impacts on how well you can parent</w:t>
      </w:r>
      <w:r>
        <w:t>’</w:t>
      </w:r>
      <w:r w:rsidRPr="005E3145">
        <w:t xml:space="preserve"> </w:t>
      </w:r>
    </w:p>
    <w:p w14:paraId="65C2E9FF" w14:textId="77777777" w:rsidR="008E5242" w:rsidRPr="005E3145" w:rsidRDefault="008E5242" w:rsidP="001952AB">
      <w:pPr>
        <w:pStyle w:val="IntenseQuote"/>
        <w:spacing w:before="0"/>
      </w:pPr>
      <w:r>
        <w:rPr>
          <w:rFonts w:ascii="Calibri" w:hAnsi="Calibri" w:cs="Calibri"/>
        </w:rPr>
        <w:t>—</w:t>
      </w:r>
      <w:r w:rsidRPr="005E3145">
        <w:t xml:space="preserve"> Child and Family Worker, </w:t>
      </w:r>
      <w:r>
        <w:t>Devonport</w:t>
      </w:r>
    </w:p>
    <w:p w14:paraId="0197CAAF" w14:textId="616A0E47" w:rsidR="00DF2C42" w:rsidRDefault="008E5242" w:rsidP="001952AB">
      <w:pPr>
        <w:widowControl/>
        <w:autoSpaceDE/>
        <w:autoSpaceDN/>
        <w:spacing w:before="100" w:beforeAutospacing="1" w:after="100" w:afterAutospacing="1"/>
        <w:rPr>
          <w:rFonts w:ascii="Avenir Next LT Pro" w:hAnsi="Avenir Next LT Pro"/>
          <w:color w:val="575F61"/>
          <w:lang w:val="en-GB"/>
        </w:rPr>
      </w:pPr>
      <w:r>
        <w:rPr>
          <w:rFonts w:ascii="Avenir Next LT Pro" w:hAnsi="Avenir Next LT Pro"/>
          <w:color w:val="575F61"/>
          <w:lang w:val="en-GB"/>
        </w:rPr>
        <w:t xml:space="preserve">The Family Stress Model outlines how economic hardship can lead to compromised development in childhood (Figure 3). </w:t>
      </w:r>
    </w:p>
    <w:p w14:paraId="3CB292E2" w14:textId="77777777" w:rsidR="00DF2C42" w:rsidRDefault="00DF2C42">
      <w:pPr>
        <w:widowControl/>
        <w:autoSpaceDE/>
        <w:autoSpaceDN/>
        <w:spacing w:before="0" w:after="160" w:line="259" w:lineRule="auto"/>
        <w:rPr>
          <w:rFonts w:ascii="Avenir Next LT Pro" w:hAnsi="Avenir Next LT Pro"/>
          <w:color w:val="575F61"/>
          <w:lang w:val="en-GB"/>
        </w:rPr>
      </w:pPr>
      <w:r>
        <w:rPr>
          <w:rFonts w:ascii="Avenir Next LT Pro" w:hAnsi="Avenir Next LT Pro"/>
          <w:color w:val="575F61"/>
          <w:lang w:val="en-GB"/>
        </w:rPr>
        <w:br w:type="page"/>
      </w:r>
    </w:p>
    <w:p w14:paraId="09E998B0" w14:textId="188775CD" w:rsidR="00F920DB" w:rsidRDefault="00F920DB" w:rsidP="001952AB">
      <w:pPr>
        <w:rPr>
          <w:rFonts w:ascii="Avenir Next LT Pro" w:hAnsi="Avenir Next LT Pro"/>
          <w:b/>
          <w:color w:val="575F61"/>
          <w:lang w:val="en-GB"/>
        </w:rPr>
      </w:pPr>
      <w:r w:rsidRPr="00F920DB">
        <w:rPr>
          <w:rFonts w:ascii="Avenir Next LT Pro" w:hAnsi="Avenir Next LT Pro"/>
          <w:b/>
          <w:noProof/>
          <w:color w:val="575F61"/>
          <w:lang w:val="en-GB"/>
        </w:rPr>
        <w:lastRenderedPageBreak/>
        <w:drawing>
          <wp:inline distT="0" distB="0" distL="0" distR="0" wp14:anchorId="1FBEFE42" wp14:editId="0B636AC3">
            <wp:extent cx="6880997" cy="1709530"/>
            <wp:effectExtent l="0" t="0" r="0" b="5080"/>
            <wp:docPr id="63" name="Picture 63" descr="Infographic showing family and economic hardship and pressure leading to caregivers' experiencing psychological distress, leading to caregivers' parenting capacity reduced, leading to compromised childhood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936502" cy="1723320"/>
                    </a:xfrm>
                    <a:prstGeom prst="rect">
                      <a:avLst/>
                    </a:prstGeom>
                  </pic:spPr>
                </pic:pic>
              </a:graphicData>
            </a:graphic>
          </wp:inline>
        </w:drawing>
      </w:r>
    </w:p>
    <w:p w14:paraId="37475665" w14:textId="204B758E" w:rsidR="008E5242" w:rsidRDefault="008E5242" w:rsidP="001952AB">
      <w:r w:rsidRPr="00537E8C">
        <w:rPr>
          <w:rFonts w:ascii="Avenir Next LT Pro" w:hAnsi="Avenir Next LT Pro"/>
          <w:b/>
          <w:color w:val="575F61"/>
          <w:lang w:val="en-GB"/>
        </w:rPr>
        <w:t>Figure 3</w:t>
      </w:r>
      <w:r w:rsidRPr="00524140">
        <w:rPr>
          <w:rFonts w:ascii="Avenir Next LT Pro" w:hAnsi="Avenir Next LT Pro"/>
          <w:color w:val="575F61"/>
          <w:lang w:val="en-GB"/>
        </w:rPr>
        <w:t>:</w:t>
      </w:r>
      <w:r w:rsidRPr="001919DA">
        <w:rPr>
          <w:rFonts w:ascii="Avenir Next LT Pro" w:hAnsi="Avenir Next LT Pro"/>
          <w:color w:val="575F61"/>
          <w:lang w:val="en-GB"/>
        </w:rPr>
        <w:t xml:space="preserve"> Family Stress Model</w:t>
      </w:r>
      <w:r>
        <w:rPr>
          <w:rFonts w:ascii="Avenir Next LT Pro" w:hAnsi="Avenir Next LT Pro"/>
          <w:color w:val="575F61"/>
          <w:lang w:val="en-GB"/>
        </w:rPr>
        <w:t xml:space="preserve"> </w:t>
      </w:r>
      <w:r w:rsidRPr="00CD3787">
        <w:rPr>
          <w:rFonts w:ascii="Avenir Next LT Pro" w:hAnsi="Avenir Next LT Pro"/>
          <w:color w:val="575F61"/>
          <w:lang w:val="en-GB"/>
        </w:rPr>
        <w:t>(Neppl et al. 2016)</w:t>
      </w:r>
    </w:p>
    <w:p w14:paraId="46CA2AB9" w14:textId="77777777" w:rsidR="008E5242" w:rsidRDefault="008E5242" w:rsidP="001952AB">
      <w:pPr>
        <w:widowControl/>
        <w:autoSpaceDE/>
        <w:autoSpaceDN/>
        <w:spacing w:before="100" w:beforeAutospacing="1" w:after="100" w:afterAutospacing="1"/>
        <w:rPr>
          <w:rFonts w:ascii="Avenir Next LT Pro" w:hAnsi="Avenir Next LT Pro"/>
          <w:color w:val="575F61"/>
          <w:lang w:val="en-GB"/>
        </w:rPr>
      </w:pPr>
      <w:r>
        <w:rPr>
          <w:rFonts w:ascii="Avenir Next LT Pro" w:hAnsi="Avenir Next LT Pro"/>
          <w:color w:val="575F61"/>
          <w:lang w:val="en-GB"/>
        </w:rPr>
        <w:t>A</w:t>
      </w:r>
      <w:r w:rsidRPr="00443C13">
        <w:rPr>
          <w:rFonts w:ascii="Avenir Next LT Pro" w:hAnsi="Avenir Next LT Pro"/>
          <w:color w:val="575F61"/>
          <w:lang w:val="en-GB"/>
        </w:rPr>
        <w:t xml:space="preserve"> child</w:t>
      </w:r>
      <w:r>
        <w:rPr>
          <w:rFonts w:ascii="Avenir Next LT Pro" w:hAnsi="Avenir Next LT Pro"/>
          <w:color w:val="575F61"/>
          <w:lang w:val="en-GB"/>
        </w:rPr>
        <w:t>’s</w:t>
      </w:r>
      <w:r w:rsidRPr="00443C13">
        <w:rPr>
          <w:rFonts w:ascii="Avenir Next LT Pro" w:hAnsi="Avenir Next LT Pro"/>
          <w:color w:val="575F61"/>
          <w:lang w:val="en-GB"/>
        </w:rPr>
        <w:t xml:space="preserve"> environment has a direct role in shaping </w:t>
      </w:r>
      <w:r>
        <w:rPr>
          <w:rFonts w:ascii="Avenir Next LT Pro" w:hAnsi="Avenir Next LT Pro"/>
          <w:color w:val="575F61"/>
          <w:lang w:val="en-GB"/>
        </w:rPr>
        <w:t xml:space="preserve">the development of their brain and body </w:t>
      </w:r>
      <w:r>
        <w:rPr>
          <w:rFonts w:ascii="Avenir Next LT Pro" w:hAnsi="Avenir Next LT Pro"/>
          <w:noProof/>
          <w:color w:val="575F61"/>
          <w:lang w:val="en-GB"/>
        </w:rPr>
        <w:t>(NSCDC 2020)</w:t>
      </w:r>
      <w:r w:rsidRPr="00443C13">
        <w:rPr>
          <w:rFonts w:ascii="Avenir Next LT Pro" w:hAnsi="Avenir Next LT Pro"/>
          <w:color w:val="575F61"/>
          <w:lang w:val="en-GB"/>
        </w:rPr>
        <w:t xml:space="preserve">. </w:t>
      </w:r>
      <w:r>
        <w:rPr>
          <w:rFonts w:ascii="Avenir Next LT Pro" w:hAnsi="Avenir Next LT Pro"/>
          <w:color w:val="575F61"/>
          <w:lang w:val="en-GB"/>
        </w:rPr>
        <w:t xml:space="preserve">Safe, stable environments foster healthy stress responses </w:t>
      </w:r>
      <w:r>
        <w:rPr>
          <w:rFonts w:ascii="Avenir Next LT Pro" w:hAnsi="Avenir Next LT Pro"/>
          <w:noProof/>
          <w:color w:val="575F61"/>
          <w:lang w:val="en-GB"/>
        </w:rPr>
        <w:t>(NSCDC 2020)</w:t>
      </w:r>
      <w:r w:rsidRPr="00443C13">
        <w:rPr>
          <w:rFonts w:ascii="Avenir Next LT Pro" w:hAnsi="Avenir Next LT Pro"/>
          <w:color w:val="575F61"/>
          <w:lang w:val="en-GB"/>
        </w:rPr>
        <w:t xml:space="preserve">. In contrast, </w:t>
      </w:r>
      <w:r>
        <w:rPr>
          <w:rFonts w:ascii="Avenir Next LT Pro" w:hAnsi="Avenir Next LT Pro"/>
          <w:color w:val="575F61"/>
          <w:lang w:val="en-GB"/>
        </w:rPr>
        <w:t xml:space="preserve">constant stress can lead to overactive stress responses which can harm other physiological systems </w:t>
      </w:r>
      <w:r>
        <w:rPr>
          <w:rFonts w:ascii="Avenir Next LT Pro" w:hAnsi="Avenir Next LT Pro"/>
          <w:noProof/>
          <w:color w:val="575F61"/>
          <w:lang w:val="en-GB"/>
        </w:rPr>
        <w:t>(Monks 2017)</w:t>
      </w:r>
      <w:r w:rsidRPr="00691D23">
        <w:rPr>
          <w:rFonts w:ascii="Avenir Next LT Pro" w:hAnsi="Avenir Next LT Pro"/>
          <w:color w:val="575F61"/>
          <w:vertAlign w:val="superscript"/>
          <w:lang w:val="en-GB"/>
        </w:rPr>
        <w:t>.</w:t>
      </w:r>
      <w:r>
        <w:rPr>
          <w:rFonts w:ascii="Avenir Next LT Pro" w:hAnsi="Avenir Next LT Pro"/>
          <w:color w:val="575F61"/>
          <w:lang w:val="en-GB"/>
        </w:rPr>
        <w:t>. The impacts include adverse effects on</w:t>
      </w:r>
      <w:r w:rsidRPr="00443C13">
        <w:rPr>
          <w:rFonts w:ascii="Avenir Next LT Pro" w:hAnsi="Avenir Next LT Pro"/>
          <w:color w:val="575F61"/>
          <w:lang w:val="en-GB"/>
        </w:rPr>
        <w:t xml:space="preserve"> cardiovascular function</w:t>
      </w:r>
      <w:r>
        <w:rPr>
          <w:rFonts w:ascii="Avenir Next LT Pro" w:hAnsi="Avenir Next LT Pro"/>
          <w:color w:val="575F61"/>
          <w:lang w:val="en-GB"/>
        </w:rPr>
        <w:t>,</w:t>
      </w:r>
      <w:r w:rsidRPr="00443C13">
        <w:rPr>
          <w:rFonts w:ascii="Avenir Next LT Pro" w:hAnsi="Avenir Next LT Pro"/>
          <w:color w:val="575F61"/>
          <w:lang w:val="en-GB"/>
        </w:rPr>
        <w:t xml:space="preserve"> immune responsiveness </w:t>
      </w:r>
      <w:r>
        <w:rPr>
          <w:rFonts w:ascii="Avenir Next LT Pro" w:hAnsi="Avenir Next LT Pro"/>
          <w:color w:val="575F61"/>
          <w:lang w:val="en-GB"/>
        </w:rPr>
        <w:t>and</w:t>
      </w:r>
      <w:r w:rsidRPr="00443C13">
        <w:rPr>
          <w:rFonts w:ascii="Avenir Next LT Pro" w:hAnsi="Avenir Next LT Pro"/>
          <w:color w:val="575F61"/>
          <w:lang w:val="en-GB"/>
        </w:rPr>
        <w:t xml:space="preserve"> metabolic regulation</w:t>
      </w:r>
      <w:r>
        <w:rPr>
          <w:rFonts w:ascii="Avenir Next LT Pro" w:hAnsi="Avenir Next LT Pro"/>
          <w:color w:val="575F61"/>
          <w:lang w:val="en-GB"/>
        </w:rPr>
        <w:t xml:space="preserve">, all of which are vital for </w:t>
      </w:r>
      <w:r w:rsidRPr="00443C13">
        <w:rPr>
          <w:rFonts w:ascii="Avenir Next LT Pro" w:hAnsi="Avenir Next LT Pro"/>
          <w:color w:val="575F61"/>
          <w:lang w:val="en-GB"/>
        </w:rPr>
        <w:t>lifelong health and wellbeing</w:t>
      </w:r>
      <w:r>
        <w:rPr>
          <w:rFonts w:ascii="Avenir Next LT Pro" w:hAnsi="Avenir Next LT Pro"/>
          <w:color w:val="575F61"/>
          <w:lang w:val="en-GB"/>
        </w:rPr>
        <w:t xml:space="preserve"> </w:t>
      </w:r>
      <w:r>
        <w:rPr>
          <w:rFonts w:ascii="Avenir Next LT Pro" w:hAnsi="Avenir Next LT Pro"/>
          <w:noProof/>
          <w:color w:val="575F61"/>
          <w:lang w:val="en-GB"/>
        </w:rPr>
        <w:t>(NSCDC 2020)</w:t>
      </w:r>
      <w:r>
        <w:rPr>
          <w:rFonts w:ascii="Avenir Next LT Pro" w:hAnsi="Avenir Next LT Pro"/>
          <w:color w:val="575F61"/>
          <w:lang w:val="en-GB"/>
        </w:rPr>
        <w:t>.</w:t>
      </w:r>
      <w:r w:rsidRPr="00691D23">
        <w:rPr>
          <w:rFonts w:ascii="Avenir Next LT Pro" w:hAnsi="Avenir Next LT Pro"/>
          <w:color w:val="575F61"/>
          <w:vertAlign w:val="superscript"/>
          <w:lang w:val="en-GB"/>
        </w:rPr>
        <w:t>.</w:t>
      </w:r>
      <w:r>
        <w:rPr>
          <w:rFonts w:ascii="Avenir Next LT Pro" w:hAnsi="Avenir Next LT Pro"/>
          <w:color w:val="575F61"/>
          <w:vertAlign w:val="superscript"/>
          <w:lang w:val="en-GB"/>
        </w:rPr>
        <w:t xml:space="preserve">. </w:t>
      </w:r>
    </w:p>
    <w:p w14:paraId="54D5CBD4" w14:textId="77777777" w:rsidR="008E5242" w:rsidRDefault="008E5242" w:rsidP="001952AB">
      <w:pPr>
        <w:widowControl/>
        <w:autoSpaceDE/>
        <w:autoSpaceDN/>
        <w:spacing w:before="100" w:beforeAutospacing="1" w:after="100" w:afterAutospacing="1"/>
        <w:rPr>
          <w:rFonts w:ascii="Avenir Next LT Pro" w:hAnsi="Avenir Next LT Pro"/>
          <w:color w:val="575F61"/>
          <w:lang w:val="en-GB"/>
        </w:rPr>
      </w:pPr>
      <w:r>
        <w:rPr>
          <w:rFonts w:ascii="Avenir Next LT Pro" w:hAnsi="Avenir Next LT Pro"/>
          <w:color w:val="575F61"/>
          <w:lang w:val="en-GB"/>
        </w:rPr>
        <w:t xml:space="preserve">Beyond biological impacts, environmental stress can also result in poor socioemotional development. This can lead to poor mental health in childhood and adulthood, affecting educational engagement and, later, participation in society as an adult </w:t>
      </w:r>
      <w:r>
        <w:rPr>
          <w:rFonts w:ascii="Avenir Next LT Pro" w:hAnsi="Avenir Next LT Pro"/>
          <w:noProof/>
          <w:color w:val="575F61"/>
          <w:lang w:val="en-GB"/>
        </w:rPr>
        <w:t>(Edwards et al. 2009; Coley et al. 2015)</w:t>
      </w:r>
      <w:r>
        <w:rPr>
          <w:rFonts w:ascii="Avenir Next LT Pro" w:hAnsi="Avenir Next LT Pro"/>
          <w:color w:val="575F61"/>
          <w:lang w:val="en-GB"/>
        </w:rPr>
        <w:t xml:space="preserve">. </w:t>
      </w:r>
    </w:p>
    <w:p w14:paraId="28F96EF1" w14:textId="77777777" w:rsidR="008E5242" w:rsidRDefault="008E5242" w:rsidP="001952AB">
      <w:pPr>
        <w:widowControl/>
        <w:autoSpaceDE/>
        <w:autoSpaceDN/>
        <w:spacing w:before="100" w:beforeAutospacing="1" w:after="100" w:afterAutospacing="1"/>
        <w:rPr>
          <w:rFonts w:ascii="Avenir Next LT Pro" w:hAnsi="Avenir Next LT Pro"/>
          <w:color w:val="575F61"/>
          <w:lang w:val="en-GB"/>
        </w:rPr>
      </w:pPr>
      <w:r>
        <w:rPr>
          <w:rFonts w:ascii="Avenir Next LT Pro" w:hAnsi="Avenir Next LT Pro"/>
          <w:color w:val="575F61"/>
          <w:lang w:val="en-GB"/>
        </w:rPr>
        <w:t xml:space="preserve">Compromised childhood development has long-term social and economic costs for the individual and the broader community </w:t>
      </w:r>
      <w:r>
        <w:rPr>
          <w:rFonts w:ascii="Avenir Next LT Pro" w:hAnsi="Avenir Next LT Pro"/>
          <w:noProof/>
          <w:color w:val="575F61"/>
          <w:lang w:val="en-GB"/>
        </w:rPr>
        <w:t>(AIHW 2022a)</w:t>
      </w:r>
      <w:r>
        <w:rPr>
          <w:rFonts w:ascii="Avenir Next LT Pro" w:hAnsi="Avenir Next LT Pro"/>
          <w:color w:val="575F61"/>
          <w:lang w:val="en-GB"/>
        </w:rPr>
        <w:t xml:space="preserve">. It is therefore important to respond to families’ experiences of financial stress as a public health issue. Providing early support to reduce the impact of financial hardship on families can improve children’s health, wellbeing, education and participation outcomes. </w:t>
      </w:r>
    </w:p>
    <w:p w14:paraId="0421CEC0" w14:textId="77777777" w:rsidR="008E5242" w:rsidRDefault="008E5242" w:rsidP="001952AB">
      <w:pPr>
        <w:pStyle w:val="IntenseQuote"/>
        <w:spacing w:after="0"/>
      </w:pPr>
      <w:r>
        <w:t>‘</w:t>
      </w:r>
      <w:r w:rsidRPr="001D43E0">
        <w:t>It starts with families being cold and hungry and they become more stressed and they can’t parent appropriately because they are just under so much stress, and then you start to see anger in the household and all this stress is handed down to the kids in one way or another</w:t>
      </w:r>
      <w:r>
        <w:t>’</w:t>
      </w:r>
      <w:r w:rsidRPr="001D43E0">
        <w:t xml:space="preserve"> </w:t>
      </w:r>
    </w:p>
    <w:p w14:paraId="20053BE6" w14:textId="77777777" w:rsidR="008E5242" w:rsidRPr="001D43E0" w:rsidRDefault="008E5242" w:rsidP="001952AB">
      <w:pPr>
        <w:pStyle w:val="IntenseQuote"/>
        <w:spacing w:before="0"/>
      </w:pPr>
      <w:r>
        <w:rPr>
          <w:rStyle w:val="Emphasis"/>
          <w:rFonts w:ascii="Calibri" w:hAnsi="Calibri" w:cs="Calibri"/>
        </w:rPr>
        <w:t>—</w:t>
      </w:r>
      <w:r w:rsidRPr="001D43E0">
        <w:t xml:space="preserve"> Child and Family Worker, Burnie </w:t>
      </w:r>
    </w:p>
    <w:p w14:paraId="03D7971D" w14:textId="77777777" w:rsidR="008E5242" w:rsidRDefault="008E5242" w:rsidP="001952AB">
      <w:pPr>
        <w:pStyle w:val="Heading2"/>
      </w:pPr>
      <w:bookmarkStart w:id="21" w:name="_Toc179814527"/>
      <w:r>
        <w:t>Domestic and family violence</w:t>
      </w:r>
      <w:bookmarkEnd w:id="21"/>
      <w:r>
        <w:t xml:space="preserve"> </w:t>
      </w:r>
    </w:p>
    <w:p w14:paraId="00CCDBA0" w14:textId="291737AD" w:rsidR="008E5242" w:rsidRDefault="008E5242" w:rsidP="001952AB">
      <w:pPr>
        <w:widowControl/>
        <w:autoSpaceDE/>
        <w:autoSpaceDN/>
        <w:spacing w:before="100" w:beforeAutospacing="1" w:after="100" w:afterAutospacing="1"/>
        <w:rPr>
          <w:rFonts w:ascii="Avenir Next LT Pro" w:hAnsi="Avenir Next LT Pro"/>
          <w:color w:val="575F61"/>
          <w:lang w:val="en-GB"/>
        </w:rPr>
      </w:pPr>
      <w:r>
        <w:rPr>
          <w:rFonts w:ascii="Avenir Next LT Pro" w:hAnsi="Avenir Next LT Pro"/>
          <w:color w:val="575F61"/>
          <w:lang w:val="en-GB"/>
        </w:rPr>
        <w:t xml:space="preserve">Tasmania, like the rest of the nation, has unacceptably high numbers of women and children experiencing violence every year. We heard from Anglicare staff that the increasing cost of living is impacting victim-survivors, heightening their risk of violence and strengthening the control perpetrators can gain through economic abuse. It is also increasing barriers to escaping violence </w:t>
      </w:r>
      <w:r>
        <w:rPr>
          <w:rFonts w:ascii="Avenir Next LT Pro" w:hAnsi="Avenir Next LT Pro"/>
          <w:noProof/>
          <w:color w:val="575F61"/>
          <w:lang w:val="en-GB"/>
        </w:rPr>
        <w:t>(Tiyce 2024)</w:t>
      </w:r>
      <w:r>
        <w:rPr>
          <w:rFonts w:ascii="Avenir Next LT Pro" w:hAnsi="Avenir Next LT Pro"/>
          <w:color w:val="575F61"/>
          <w:lang w:val="en-GB"/>
        </w:rPr>
        <w:t xml:space="preserve">. </w:t>
      </w:r>
    </w:p>
    <w:p w14:paraId="40D49659" w14:textId="77777777" w:rsidR="00167E8A" w:rsidRDefault="00167E8A" w:rsidP="00167E8A">
      <w:pPr>
        <w:widowControl/>
        <w:autoSpaceDE/>
        <w:autoSpaceDN/>
        <w:spacing w:before="100" w:beforeAutospacing="1" w:after="100" w:afterAutospacing="1"/>
        <w:rPr>
          <w:rFonts w:ascii="Avenir Next LT Pro" w:hAnsi="Avenir Next LT Pro"/>
          <w:b/>
          <w:color w:val="575F61"/>
          <w:lang w:val="en-GB"/>
        </w:rPr>
      </w:pPr>
      <w:r w:rsidRPr="00537E8C">
        <w:rPr>
          <w:b/>
          <w:noProof/>
          <w:shd w:val="clear" w:color="auto" w:fill="ECC624"/>
        </w:rPr>
        <w:lastRenderedPageBreak/>
        <w:drawing>
          <wp:inline distT="0" distB="0" distL="0" distR="0" wp14:anchorId="29F8EDB0" wp14:editId="0397DC3D">
            <wp:extent cx="4572000" cy="2743200"/>
            <wp:effectExtent l="0" t="0" r="0" b="0"/>
            <wp:docPr id="4" name="Chart 4" descr="Column graph showing a rise from approximately 3200 incidents in 2015-16 to over 4500 in 2023-24.">
              <a:extLst xmlns:a="http://schemas.openxmlformats.org/drawingml/2006/main">
                <a:ext uri="{FF2B5EF4-FFF2-40B4-BE49-F238E27FC236}">
                  <a16:creationId xmlns:a16="http://schemas.microsoft.com/office/drawing/2014/main" id="{B678F885-BADE-4E89-ACD1-26FAAE9CDB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FB3AE8C" w14:textId="73E8B0D3" w:rsidR="00167E8A" w:rsidRDefault="00167E8A" w:rsidP="00167E8A">
      <w:pPr>
        <w:widowControl/>
        <w:autoSpaceDE/>
        <w:autoSpaceDN/>
        <w:spacing w:before="100" w:beforeAutospacing="1" w:after="100" w:afterAutospacing="1"/>
        <w:rPr>
          <w:rFonts w:ascii="Avenir Next LT Pro" w:hAnsi="Avenir Next LT Pro"/>
          <w:color w:val="575F61"/>
          <w:lang w:val="en-GB"/>
        </w:rPr>
      </w:pPr>
      <w:r w:rsidRPr="00537E8C">
        <w:rPr>
          <w:rFonts w:ascii="Avenir Next LT Pro" w:hAnsi="Avenir Next LT Pro"/>
          <w:b/>
          <w:color w:val="575F61"/>
          <w:lang w:val="en-GB"/>
        </w:rPr>
        <w:t>Figure 4</w:t>
      </w:r>
      <w:r>
        <w:rPr>
          <w:rFonts w:ascii="Avenir Next LT Pro" w:hAnsi="Avenir Next LT Pro"/>
          <w:color w:val="575F61"/>
          <w:lang w:val="en-GB"/>
        </w:rPr>
        <w:t xml:space="preserve">: Incidents of domestic and family violence in Tasmania over an 8-year period </w:t>
      </w:r>
    </w:p>
    <w:p w14:paraId="36EBCA20" w14:textId="29B9C0D1" w:rsidR="00167E8A" w:rsidRDefault="008E5242" w:rsidP="00325DDF">
      <w:pPr>
        <w:widowControl/>
        <w:autoSpaceDE/>
        <w:autoSpaceDN/>
        <w:spacing w:before="100" w:beforeAutospacing="1" w:after="0"/>
        <w:rPr>
          <w:rFonts w:ascii="Avenir Next LT Pro" w:hAnsi="Avenir Next LT Pro"/>
          <w:noProof/>
          <w:color w:val="575F61"/>
          <w:lang w:val="en-GB"/>
        </w:rPr>
      </w:pPr>
      <w:r>
        <w:rPr>
          <w:rFonts w:ascii="Avenir Next LT Pro" w:hAnsi="Avenir Next LT Pro"/>
          <w:color w:val="575F61"/>
          <w:lang w:val="en-GB"/>
        </w:rPr>
        <w:t xml:space="preserve">Source: </w:t>
      </w:r>
      <w:r>
        <w:rPr>
          <w:rFonts w:ascii="Avenir Next LT Pro" w:hAnsi="Avenir Next LT Pro"/>
          <w:noProof/>
          <w:color w:val="575F61"/>
          <w:lang w:val="en-GB"/>
        </w:rPr>
        <w:t>(Tasmanian Government 2023a)</w:t>
      </w:r>
    </w:p>
    <w:p w14:paraId="04D1834E" w14:textId="77777777" w:rsidR="008E5242" w:rsidRDefault="008E5242" w:rsidP="00DA411B">
      <w:pPr>
        <w:widowControl/>
        <w:pBdr>
          <w:top w:val="single" w:sz="4" w:space="1" w:color="auto"/>
          <w:left w:val="single" w:sz="4" w:space="4" w:color="auto"/>
          <w:bottom w:val="single" w:sz="4" w:space="1" w:color="auto"/>
          <w:right w:val="single" w:sz="4" w:space="4" w:color="auto"/>
        </w:pBdr>
        <w:autoSpaceDE/>
        <w:autoSpaceDN/>
        <w:spacing w:before="100" w:beforeAutospacing="1" w:after="100" w:afterAutospacing="1"/>
        <w:rPr>
          <w:rFonts w:ascii="Avenir Next LT Pro" w:hAnsi="Avenir Next LT Pro"/>
          <w:lang w:val="en-GB"/>
        </w:rPr>
      </w:pPr>
      <w:r>
        <w:rPr>
          <w:rFonts w:ascii="Avenir Next LT Pro" w:hAnsi="Avenir Next LT Pro"/>
          <w:lang w:val="en-GB"/>
        </w:rPr>
        <w:t xml:space="preserve">Domestic and family violence is complex. It can take many forms. One is </w:t>
      </w:r>
      <w:r w:rsidRPr="00A9377E">
        <w:rPr>
          <w:rFonts w:ascii="Avenir Next LT Pro" w:hAnsi="Avenir Next LT Pro"/>
          <w:b/>
          <w:lang w:val="en-GB"/>
        </w:rPr>
        <w:t>economic abuse</w:t>
      </w:r>
      <w:r>
        <w:rPr>
          <w:rFonts w:ascii="Avenir Next LT Pro" w:hAnsi="Avenir Next LT Pro"/>
          <w:lang w:val="en-GB"/>
        </w:rPr>
        <w:t xml:space="preserve"> which involves </w:t>
      </w:r>
      <w:r w:rsidRPr="00A9377E">
        <w:rPr>
          <w:rFonts w:ascii="Avenir Next LT Pro" w:hAnsi="Avenir Next LT Pro"/>
          <w:lang w:val="en-GB"/>
        </w:rPr>
        <w:t>a pattern of control, exploitation or sabotage of money</w:t>
      </w:r>
      <w:r>
        <w:rPr>
          <w:rFonts w:ascii="Avenir Next LT Pro" w:hAnsi="Avenir Next LT Pro"/>
          <w:lang w:val="en-GB"/>
        </w:rPr>
        <w:t>,</w:t>
      </w:r>
      <w:r w:rsidRPr="00A9377E">
        <w:rPr>
          <w:rFonts w:ascii="Avenir Next LT Pro" w:hAnsi="Avenir Next LT Pro"/>
          <w:lang w:val="en-GB"/>
        </w:rPr>
        <w:t xml:space="preserve"> finances and economic resources. It can affect a person’s ability to obtain, use or maintain economic resources, threatening their economic security and potential for self-sufficiency and independence. Economic abuse is also known as financial abuse</w:t>
      </w:r>
      <w:r>
        <w:rPr>
          <w:rFonts w:ascii="Avenir Next LT Pro" w:hAnsi="Avenir Next LT Pro"/>
          <w:lang w:val="en-GB"/>
        </w:rPr>
        <w:t xml:space="preserve"> </w:t>
      </w:r>
      <w:r>
        <w:rPr>
          <w:rFonts w:ascii="Avenir Next LT Pro" w:hAnsi="Avenir Next LT Pro"/>
          <w:noProof/>
          <w:lang w:val="en-GB"/>
        </w:rPr>
        <w:t>(DSS 2023)</w:t>
      </w:r>
      <w:r w:rsidRPr="00A9377E">
        <w:rPr>
          <w:rFonts w:ascii="Avenir Next LT Pro" w:hAnsi="Avenir Next LT Pro"/>
          <w:lang w:val="en-GB"/>
        </w:rPr>
        <w:t>.</w:t>
      </w:r>
    </w:p>
    <w:p w14:paraId="1B23353C" w14:textId="77777777" w:rsidR="00167E8A" w:rsidRDefault="00167E8A" w:rsidP="001952AB">
      <w:pPr>
        <w:widowControl/>
        <w:autoSpaceDE/>
        <w:autoSpaceDN/>
        <w:spacing w:before="100" w:beforeAutospacing="1" w:after="100" w:afterAutospacing="1"/>
        <w:rPr>
          <w:rFonts w:ascii="Avenir Next LT Pro" w:hAnsi="Avenir Next LT Pro"/>
          <w:color w:val="575F61"/>
          <w:lang w:val="en-GB"/>
        </w:rPr>
      </w:pPr>
      <w:r w:rsidRPr="00537E8C">
        <w:rPr>
          <w:b/>
          <w:noProof/>
        </w:rPr>
        <mc:AlternateContent>
          <mc:Choice Requires="wps">
            <w:drawing>
              <wp:inline distT="0" distB="0" distL="0" distR="0" wp14:anchorId="7E79AE41" wp14:editId="12B3C1FA">
                <wp:extent cx="6376947" cy="890546"/>
                <wp:effectExtent l="0" t="0" r="5080" b="5080"/>
                <wp:docPr id="10" name="Rectangle: Diagonal Corners Rounded 3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6947" cy="890546"/>
                        </a:xfrm>
                        <a:prstGeom prst="rect">
                          <a:avLst/>
                        </a:prstGeom>
                        <a:solidFill>
                          <a:srgbClr val="1497CB"/>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E31231B" w14:textId="77777777" w:rsidR="007E6107" w:rsidRPr="00DA411B" w:rsidRDefault="007E6107" w:rsidP="00167E8A">
                            <w:pPr>
                              <w:pStyle w:val="NormalWeb"/>
                              <w:kinsoku w:val="0"/>
                              <w:overflowPunct w:val="0"/>
                              <w:spacing w:before="0" w:beforeAutospacing="0" w:after="0" w:afterAutospacing="0"/>
                              <w:jc w:val="center"/>
                              <w:textAlignment w:val="baseline"/>
                              <w:rPr>
                                <w:color w:val="FFFFFF" w:themeColor="background1"/>
                              </w:rPr>
                            </w:pPr>
                            <w:r w:rsidRPr="00DA411B">
                              <w:rPr>
                                <w:rFonts w:ascii="Avenir Next" w:eastAsia="AvenirNext LT Pro Bold" w:hAnsi="Avenir Next" w:cs="AvenirNext LT Pro Bold"/>
                                <w:b/>
                                <w:bCs/>
                                <w:color w:val="FFFFFF" w:themeColor="background1"/>
                                <w:kern w:val="24"/>
                                <w:sz w:val="54"/>
                                <w:szCs w:val="54"/>
                                <w:lang w:val="en-US"/>
                              </w:rPr>
                              <w:t>19%</w:t>
                            </w:r>
                          </w:p>
                          <w:p w14:paraId="0B3F33D2" w14:textId="77777777" w:rsidR="007E6107" w:rsidRDefault="007E6107" w:rsidP="00167E8A">
                            <w:pPr>
                              <w:pStyle w:val="NormalWeb"/>
                              <w:kinsoku w:val="0"/>
                              <w:overflowPunct w:val="0"/>
                              <w:spacing w:before="0" w:beforeAutospacing="0" w:after="0" w:afterAutospacing="0"/>
                              <w:jc w:val="center"/>
                              <w:textAlignment w:val="baseline"/>
                              <w:rPr>
                                <w:rFonts w:ascii="Avenir Next" w:eastAsia="AvenirNext LT Pro Bold" w:hAnsi="Avenir Next" w:cs="AvenirNext LT Pro Bold"/>
                                <w:b/>
                                <w:bCs/>
                                <w:color w:val="FFFFFF" w:themeColor="background1"/>
                                <w:kern w:val="24"/>
                                <w:sz w:val="28"/>
                                <w:szCs w:val="28"/>
                                <w:lang w:val="en-US"/>
                              </w:rPr>
                            </w:pPr>
                            <w:r w:rsidRPr="00F920DB">
                              <w:rPr>
                                <w:rFonts w:ascii="Avenir Next" w:eastAsia="AvenirNext LT Pro Bold" w:hAnsi="Avenir Next" w:cs="AvenirNext LT Pro Bold"/>
                                <w:b/>
                                <w:bCs/>
                                <w:color w:val="FFFFFF" w:themeColor="background1"/>
                                <w:kern w:val="24"/>
                                <w:sz w:val="28"/>
                                <w:szCs w:val="28"/>
                                <w:lang w:val="en-US"/>
                              </w:rPr>
                              <w:t xml:space="preserve">of clients accessing financial counseling in July 2024 </w:t>
                            </w:r>
                          </w:p>
                          <w:p w14:paraId="5E1C7DC7" w14:textId="674989FA" w:rsidR="007E6107" w:rsidRPr="00F920DB" w:rsidRDefault="007E6107" w:rsidP="00167E8A">
                            <w:pPr>
                              <w:pStyle w:val="NormalWeb"/>
                              <w:kinsoku w:val="0"/>
                              <w:overflowPunct w:val="0"/>
                              <w:spacing w:before="0" w:beforeAutospacing="0" w:after="0" w:afterAutospacing="0"/>
                              <w:jc w:val="center"/>
                              <w:textAlignment w:val="baseline"/>
                              <w:rPr>
                                <w:color w:val="FFFFFF" w:themeColor="background1"/>
                                <w:sz w:val="28"/>
                                <w:szCs w:val="28"/>
                              </w:rPr>
                            </w:pPr>
                            <w:r w:rsidRPr="00F920DB">
                              <w:rPr>
                                <w:rFonts w:ascii="Avenir Next" w:eastAsia="AvenirNext LT Pro Bold" w:hAnsi="Avenir Next" w:cs="AvenirNext LT Pro Bold"/>
                                <w:b/>
                                <w:bCs/>
                                <w:color w:val="FFFFFF" w:themeColor="background1"/>
                                <w:kern w:val="24"/>
                                <w:sz w:val="28"/>
                                <w:szCs w:val="28"/>
                                <w:lang w:val="en-US"/>
                              </w:rPr>
                              <w:t>disclosed domestic or family violence</w:t>
                            </w:r>
                          </w:p>
                        </w:txbxContent>
                      </wps:txbx>
                      <wps:bodyPr vert="horz" wrap="square" lIns="91440" tIns="45720" rIns="91440" bIns="45720" numCol="1" anchor="ctr" anchorCtr="0" compatLnSpc="1">
                        <a:prstTxWarp prst="textNoShape">
                          <a:avLst/>
                        </a:prstTxWarp>
                        <a:noAutofit/>
                      </wps:bodyPr>
                    </wps:wsp>
                  </a:graphicData>
                </a:graphic>
              </wp:inline>
            </w:drawing>
          </mc:Choice>
          <mc:Fallback>
            <w:pict>
              <v:rect w14:anchorId="7E79AE41" id="Rectangle: Diagonal Corners Rounded 30" o:spid="_x0000_s1026" style="width:502.1pt;height:7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" fillcolor="#1497cb" stroked="f" strokeweight="2pt">
                <v:path arrowok="t"/>
                <v:textbox>
                  <w:txbxContent>
                    <w:p w14:paraId="1E31231B" w14:textId="77777777" w:rsidR="007E6107" w:rsidRPr="00DA411B" w:rsidRDefault="007E6107" w:rsidP="00167E8A">
                      <w:pPr>
                        <w:pStyle w:val="NormalWeb"/>
                        <w:kinsoku w:val="0"/>
                        <w:overflowPunct w:val="0"/>
                        <w:spacing w:before="0" w:beforeAutospacing="0" w:after="0" w:afterAutospacing="0"/>
                        <w:jc w:val="center"/>
                        <w:textAlignment w:val="baseline"/>
                        <w:rPr>
                          <w:color w:val="FFFFFF" w:themeColor="background1"/>
                        </w:rPr>
                      </w:pPr>
                      <w:r w:rsidRPr="00DA411B">
                        <w:rPr>
                          <w:rFonts w:ascii="Avenir Next" w:eastAsia="AvenirNext LT Pro Bold" w:hAnsi="Avenir Next" w:cs="AvenirNext LT Pro Bold"/>
                          <w:b/>
                          <w:bCs/>
                          <w:color w:val="FFFFFF" w:themeColor="background1"/>
                          <w:kern w:val="24"/>
                          <w:sz w:val="54"/>
                          <w:szCs w:val="54"/>
                          <w:lang w:val="en-US"/>
                        </w:rPr>
                        <w:t>19%</w:t>
                      </w:r>
                    </w:p>
                    <w:p w14:paraId="0B3F33D2" w14:textId="77777777" w:rsidR="007E6107" w:rsidRDefault="007E6107" w:rsidP="00167E8A">
                      <w:pPr>
                        <w:pStyle w:val="NormalWeb"/>
                        <w:kinsoku w:val="0"/>
                        <w:overflowPunct w:val="0"/>
                        <w:spacing w:before="0" w:beforeAutospacing="0" w:after="0" w:afterAutospacing="0"/>
                        <w:jc w:val="center"/>
                        <w:textAlignment w:val="baseline"/>
                        <w:rPr>
                          <w:rFonts w:ascii="Avenir Next" w:eastAsia="AvenirNext LT Pro Bold" w:hAnsi="Avenir Next" w:cs="AvenirNext LT Pro Bold"/>
                          <w:b/>
                          <w:bCs/>
                          <w:color w:val="FFFFFF" w:themeColor="background1"/>
                          <w:kern w:val="24"/>
                          <w:sz w:val="28"/>
                          <w:szCs w:val="28"/>
                          <w:lang w:val="en-US"/>
                        </w:rPr>
                      </w:pPr>
                      <w:r w:rsidRPr="00F920DB">
                        <w:rPr>
                          <w:rFonts w:ascii="Avenir Next" w:eastAsia="AvenirNext LT Pro Bold" w:hAnsi="Avenir Next" w:cs="AvenirNext LT Pro Bold"/>
                          <w:b/>
                          <w:bCs/>
                          <w:color w:val="FFFFFF" w:themeColor="background1"/>
                          <w:kern w:val="24"/>
                          <w:sz w:val="28"/>
                          <w:szCs w:val="28"/>
                          <w:lang w:val="en-US"/>
                        </w:rPr>
                        <w:t xml:space="preserve">of clients accessing financial counseling in July 2024 </w:t>
                      </w:r>
                    </w:p>
                    <w:p w14:paraId="5E1C7DC7" w14:textId="674989FA" w:rsidR="007E6107" w:rsidRPr="00F920DB" w:rsidRDefault="007E6107" w:rsidP="00167E8A">
                      <w:pPr>
                        <w:pStyle w:val="NormalWeb"/>
                        <w:kinsoku w:val="0"/>
                        <w:overflowPunct w:val="0"/>
                        <w:spacing w:before="0" w:beforeAutospacing="0" w:after="0" w:afterAutospacing="0"/>
                        <w:jc w:val="center"/>
                        <w:textAlignment w:val="baseline"/>
                        <w:rPr>
                          <w:color w:val="FFFFFF" w:themeColor="background1"/>
                          <w:sz w:val="28"/>
                          <w:szCs w:val="28"/>
                        </w:rPr>
                      </w:pPr>
                      <w:r w:rsidRPr="00F920DB">
                        <w:rPr>
                          <w:rFonts w:ascii="Avenir Next" w:eastAsia="AvenirNext LT Pro Bold" w:hAnsi="Avenir Next" w:cs="AvenirNext LT Pro Bold"/>
                          <w:b/>
                          <w:bCs/>
                          <w:color w:val="FFFFFF" w:themeColor="background1"/>
                          <w:kern w:val="24"/>
                          <w:sz w:val="28"/>
                          <w:szCs w:val="28"/>
                          <w:lang w:val="en-US"/>
                        </w:rPr>
                        <w:t>disclosed domestic or family violence</w:t>
                      </w:r>
                    </w:p>
                  </w:txbxContent>
                </v:textbox>
                <w10:anchorlock/>
              </v:rect>
            </w:pict>
          </mc:Fallback>
        </mc:AlternateContent>
      </w:r>
    </w:p>
    <w:p w14:paraId="74A70945" w14:textId="459C6032" w:rsidR="008E5242" w:rsidRDefault="008E5242" w:rsidP="001952AB">
      <w:pPr>
        <w:widowControl/>
        <w:autoSpaceDE/>
        <w:autoSpaceDN/>
        <w:spacing w:before="100" w:beforeAutospacing="1" w:after="100" w:afterAutospacing="1"/>
        <w:rPr>
          <w:rFonts w:ascii="Avenir Next LT Pro" w:hAnsi="Avenir Next LT Pro"/>
          <w:color w:val="575F61"/>
          <w:lang w:val="en-GB"/>
        </w:rPr>
      </w:pPr>
      <w:r w:rsidRPr="001D0856">
        <w:rPr>
          <w:rFonts w:ascii="Avenir Next LT Pro" w:hAnsi="Avenir Next LT Pro"/>
          <w:color w:val="575F61"/>
          <w:lang w:val="en-GB"/>
        </w:rPr>
        <w:t>Victim</w:t>
      </w:r>
      <w:r>
        <w:rPr>
          <w:rFonts w:ascii="Avenir Next LT Pro" w:hAnsi="Avenir Next LT Pro"/>
          <w:color w:val="575F61"/>
          <w:lang w:val="en-GB"/>
        </w:rPr>
        <w:t>-</w:t>
      </w:r>
      <w:r w:rsidRPr="001D0856">
        <w:rPr>
          <w:rFonts w:ascii="Avenir Next LT Pro" w:hAnsi="Avenir Next LT Pro"/>
          <w:color w:val="575F61"/>
          <w:lang w:val="en-GB"/>
        </w:rPr>
        <w:t xml:space="preserve">survivors often experience </w:t>
      </w:r>
      <w:r>
        <w:rPr>
          <w:rFonts w:ascii="Avenir Next LT Pro" w:hAnsi="Avenir Next LT Pro"/>
          <w:color w:val="575F61"/>
          <w:lang w:val="en-GB"/>
        </w:rPr>
        <w:t xml:space="preserve">ongoing impacts long after the </w:t>
      </w:r>
      <w:r w:rsidRPr="001D0856">
        <w:rPr>
          <w:rFonts w:ascii="Avenir Next LT Pro" w:hAnsi="Avenir Next LT Pro"/>
          <w:color w:val="575F61"/>
          <w:lang w:val="en-GB"/>
        </w:rPr>
        <w:t>economic abuse has occurred</w:t>
      </w:r>
      <w:r>
        <w:rPr>
          <w:rFonts w:ascii="Avenir Next LT Pro" w:hAnsi="Avenir Next LT Pro"/>
          <w:color w:val="575F61"/>
          <w:lang w:val="en-GB"/>
        </w:rPr>
        <w:t xml:space="preserve"> </w:t>
      </w:r>
      <w:r>
        <w:rPr>
          <w:rFonts w:ascii="Avenir Next LT Pro" w:hAnsi="Avenir Next LT Pro"/>
          <w:noProof/>
          <w:color w:val="575F61"/>
          <w:lang w:val="en-GB"/>
        </w:rPr>
        <w:t>(ABA 2020)</w:t>
      </w:r>
      <w:r w:rsidRPr="001D0856">
        <w:rPr>
          <w:rFonts w:ascii="Avenir Next LT Pro" w:hAnsi="Avenir Next LT Pro"/>
          <w:color w:val="575F61"/>
          <w:lang w:val="en-GB"/>
        </w:rPr>
        <w:t>.</w:t>
      </w:r>
      <w:r w:rsidRPr="001D0856">
        <w:t xml:space="preserve"> </w:t>
      </w:r>
      <w:r w:rsidRPr="001D0856">
        <w:rPr>
          <w:rFonts w:ascii="Avenir Next LT Pro" w:hAnsi="Avenir Next LT Pro"/>
          <w:color w:val="575F61"/>
          <w:lang w:val="en-GB"/>
        </w:rPr>
        <w:t>With inescapable debt and a poor credit history, victim</w:t>
      </w:r>
      <w:r>
        <w:rPr>
          <w:rFonts w:ascii="Avenir Next LT Pro" w:hAnsi="Avenir Next LT Pro"/>
          <w:color w:val="575F61"/>
          <w:lang w:val="en-GB"/>
        </w:rPr>
        <w:t>-</w:t>
      </w:r>
      <w:r w:rsidRPr="001D0856">
        <w:rPr>
          <w:rFonts w:ascii="Avenir Next LT Pro" w:hAnsi="Avenir Next LT Pro"/>
          <w:color w:val="575F61"/>
          <w:lang w:val="en-GB"/>
        </w:rPr>
        <w:t xml:space="preserve">survivors </w:t>
      </w:r>
      <w:r>
        <w:rPr>
          <w:rFonts w:ascii="Avenir Next LT Pro" w:hAnsi="Avenir Next LT Pro"/>
          <w:color w:val="575F61"/>
          <w:lang w:val="en-GB"/>
        </w:rPr>
        <w:t xml:space="preserve">may </w:t>
      </w:r>
      <w:r w:rsidRPr="001D0856">
        <w:rPr>
          <w:rFonts w:ascii="Avenir Next LT Pro" w:hAnsi="Avenir Next LT Pro"/>
          <w:color w:val="575F61"/>
          <w:lang w:val="en-GB"/>
        </w:rPr>
        <w:t>face long-term financial hardship</w:t>
      </w:r>
      <w:r>
        <w:rPr>
          <w:rFonts w:ascii="Avenir Next LT Pro" w:hAnsi="Avenir Next LT Pro"/>
          <w:color w:val="575F61"/>
          <w:lang w:val="en-GB"/>
        </w:rPr>
        <w:t xml:space="preserve"> </w:t>
      </w:r>
      <w:r>
        <w:rPr>
          <w:rFonts w:ascii="Avenir Next LT Pro" w:hAnsi="Avenir Next LT Pro"/>
          <w:noProof/>
          <w:color w:val="575F61"/>
          <w:lang w:val="en-GB"/>
        </w:rPr>
        <w:t>(ABA 2020)</w:t>
      </w:r>
      <w:r>
        <w:rPr>
          <w:rFonts w:ascii="Avenir Next LT Pro" w:hAnsi="Avenir Next LT Pro"/>
          <w:color w:val="575F61"/>
          <w:lang w:val="en-GB"/>
        </w:rPr>
        <w:t>. Often this leads to being f</w:t>
      </w:r>
      <w:r w:rsidRPr="001D0856">
        <w:rPr>
          <w:rFonts w:ascii="Avenir Next LT Pro" w:hAnsi="Avenir Next LT Pro"/>
          <w:color w:val="575F61"/>
          <w:lang w:val="en-GB"/>
        </w:rPr>
        <w:t>inancial</w:t>
      </w:r>
      <w:r>
        <w:rPr>
          <w:rFonts w:ascii="Avenir Next LT Pro" w:hAnsi="Avenir Next LT Pro"/>
          <w:color w:val="575F61"/>
          <w:lang w:val="en-GB"/>
        </w:rPr>
        <w:t>ly</w:t>
      </w:r>
      <w:r w:rsidRPr="001D0856">
        <w:rPr>
          <w:rFonts w:ascii="Avenir Next LT Pro" w:hAnsi="Avenir Next LT Pro"/>
          <w:color w:val="575F61"/>
          <w:lang w:val="en-GB"/>
        </w:rPr>
        <w:t xml:space="preserve"> dependent on abusive partners</w:t>
      </w:r>
      <w:r>
        <w:rPr>
          <w:rFonts w:ascii="Avenir Next LT Pro" w:hAnsi="Avenir Next LT Pro"/>
          <w:color w:val="575F61"/>
          <w:lang w:val="en-GB"/>
        </w:rPr>
        <w:t xml:space="preserve"> </w:t>
      </w:r>
      <w:r>
        <w:rPr>
          <w:rFonts w:ascii="Avenir Next LT Pro" w:hAnsi="Avenir Next LT Pro"/>
          <w:noProof/>
          <w:color w:val="575F61"/>
          <w:lang w:val="en-GB"/>
        </w:rPr>
        <w:t>(ANROWS 2020)</w:t>
      </w:r>
      <w:r w:rsidRPr="001D0856">
        <w:rPr>
          <w:rFonts w:ascii="Avenir Next LT Pro" w:hAnsi="Avenir Next LT Pro"/>
          <w:color w:val="575F61"/>
          <w:lang w:val="en-GB"/>
        </w:rPr>
        <w:t>.</w:t>
      </w:r>
      <w:r>
        <w:rPr>
          <w:rFonts w:ascii="Avenir Next LT Pro" w:hAnsi="Avenir Next LT Pro"/>
          <w:color w:val="575F61"/>
          <w:lang w:val="en-GB"/>
        </w:rPr>
        <w:t xml:space="preserve"> As a result,</w:t>
      </w:r>
      <w:r w:rsidRPr="001D0856">
        <w:rPr>
          <w:rFonts w:ascii="Avenir Next LT Pro" w:hAnsi="Avenir Next LT Pro"/>
          <w:color w:val="575F61"/>
          <w:lang w:val="en-GB"/>
        </w:rPr>
        <w:t xml:space="preserve"> economic abuse </w:t>
      </w:r>
      <w:r>
        <w:rPr>
          <w:rFonts w:ascii="Avenir Next LT Pro" w:hAnsi="Avenir Next LT Pro"/>
          <w:color w:val="575F61"/>
          <w:lang w:val="en-GB"/>
        </w:rPr>
        <w:t>can</w:t>
      </w:r>
      <w:r w:rsidRPr="001D0856">
        <w:rPr>
          <w:rFonts w:ascii="Avenir Next LT Pro" w:hAnsi="Avenir Next LT Pro"/>
          <w:color w:val="575F61"/>
          <w:lang w:val="en-GB"/>
        </w:rPr>
        <w:t xml:space="preserve"> leave </w:t>
      </w:r>
      <w:r>
        <w:rPr>
          <w:rFonts w:ascii="Avenir Next LT Pro" w:hAnsi="Avenir Next LT Pro"/>
          <w:color w:val="575F61"/>
          <w:lang w:val="en-GB"/>
        </w:rPr>
        <w:t>victim-survivors</w:t>
      </w:r>
      <w:r w:rsidRPr="001D0856">
        <w:rPr>
          <w:rFonts w:ascii="Avenir Next LT Pro" w:hAnsi="Avenir Next LT Pro"/>
          <w:color w:val="575F61"/>
          <w:lang w:val="en-GB"/>
        </w:rPr>
        <w:t xml:space="preserve"> trapped</w:t>
      </w:r>
      <w:r>
        <w:rPr>
          <w:rFonts w:ascii="Avenir Next LT Pro" w:hAnsi="Avenir Next LT Pro"/>
          <w:color w:val="575F61"/>
          <w:lang w:val="en-GB"/>
        </w:rPr>
        <w:t>.</w:t>
      </w:r>
    </w:p>
    <w:p w14:paraId="471B9646" w14:textId="77777777" w:rsidR="008E5242" w:rsidRDefault="008E5242" w:rsidP="001952AB">
      <w:pPr>
        <w:pStyle w:val="IntenseQuote"/>
        <w:spacing w:after="0"/>
      </w:pPr>
      <w:r w:rsidRPr="00392FFC">
        <w:t xml:space="preserve">‘The cost of living is really impacting women and children experiencing DV </w:t>
      </w:r>
      <w:r>
        <w:rPr>
          <w:rFonts w:ascii="Calibri" w:hAnsi="Calibri" w:cs="Calibri"/>
        </w:rPr>
        <w:t>–</w:t>
      </w:r>
      <w:r w:rsidRPr="00392FFC">
        <w:t xml:space="preserve"> they have nowhere to go and they have no finances’</w:t>
      </w:r>
    </w:p>
    <w:p w14:paraId="0860DF2A" w14:textId="77777777" w:rsidR="008E5242" w:rsidRPr="00392FFC" w:rsidRDefault="008E5242" w:rsidP="001952AB">
      <w:pPr>
        <w:pStyle w:val="IntenseQuote"/>
        <w:spacing w:before="0"/>
      </w:pPr>
      <w:r>
        <w:rPr>
          <w:rStyle w:val="Emphasis"/>
          <w:rFonts w:ascii="Calibri" w:hAnsi="Calibri" w:cs="Calibri"/>
        </w:rPr>
        <w:t>—</w:t>
      </w:r>
      <w:r w:rsidRPr="00392FFC">
        <w:t xml:space="preserve"> Financial Counsellor, Burnie </w:t>
      </w:r>
    </w:p>
    <w:p w14:paraId="2E8B8BBD" w14:textId="77777777" w:rsidR="00DF2C42" w:rsidRDefault="00DF2C42">
      <w:pPr>
        <w:widowControl/>
        <w:autoSpaceDE/>
        <w:autoSpaceDN/>
        <w:spacing w:before="0" w:after="160" w:line="259" w:lineRule="auto"/>
        <w:rPr>
          <w:rFonts w:ascii="Avenir Next LT Pro" w:hAnsi="Avenir Next LT Pro"/>
          <w:color w:val="575F61"/>
          <w:lang w:val="en-GB"/>
        </w:rPr>
      </w:pPr>
      <w:r>
        <w:rPr>
          <w:rFonts w:ascii="Avenir Next LT Pro" w:hAnsi="Avenir Next LT Pro"/>
          <w:color w:val="575F61"/>
          <w:lang w:val="en-GB"/>
        </w:rPr>
        <w:br w:type="page"/>
      </w:r>
    </w:p>
    <w:p w14:paraId="075DF8AC" w14:textId="5626EE29" w:rsidR="008E5242" w:rsidRDefault="008E5242" w:rsidP="001952AB">
      <w:pPr>
        <w:pStyle w:val="NormalWeb"/>
        <w:rPr>
          <w:rFonts w:ascii="Avenir Next LT Pro" w:eastAsia="AvenirNext LT Pro Bold" w:hAnsi="Avenir Next LT Pro" w:cs="AvenirNext LT Pro Bold"/>
          <w:color w:val="575F61"/>
          <w:szCs w:val="22"/>
          <w:lang w:val="en-GB" w:eastAsia="en-US"/>
        </w:rPr>
      </w:pPr>
      <w:r>
        <w:rPr>
          <w:rFonts w:ascii="Avenir Next LT Pro" w:eastAsia="AvenirNext LT Pro Bold" w:hAnsi="Avenir Next LT Pro" w:cs="AvenirNext LT Pro Bold"/>
          <w:color w:val="575F61"/>
          <w:szCs w:val="22"/>
          <w:lang w:val="en-GB" w:eastAsia="en-US"/>
        </w:rPr>
        <w:lastRenderedPageBreak/>
        <w:t xml:space="preserve">Even when victim-survivors leave, economic abuse can still continue. Financial Counsellors shared that many victim-survivors do not claim child support from an abusive ex-partner due to fear for their own safety. Others are failing to receive adequate child support due to systemic issues within the Australian child support system </w:t>
      </w:r>
      <w:r>
        <w:rPr>
          <w:rFonts w:ascii="Avenir Next LT Pro" w:eastAsia="AvenirNext LT Pro Bold" w:hAnsi="Avenir Next LT Pro" w:cs="AvenirNext LT Pro Bold"/>
          <w:noProof/>
          <w:color w:val="575F61"/>
          <w:szCs w:val="22"/>
          <w:lang w:val="en-GB" w:eastAsia="en-US"/>
        </w:rPr>
        <w:t>(Cook et al. 2024)</w:t>
      </w:r>
      <w:r>
        <w:rPr>
          <w:rFonts w:ascii="Avenir Next LT Pro" w:eastAsia="AvenirNext LT Pro Bold" w:hAnsi="Avenir Next LT Pro" w:cs="AvenirNext LT Pro Bold"/>
          <w:color w:val="575F61"/>
          <w:szCs w:val="22"/>
          <w:lang w:val="en-GB" w:eastAsia="en-US"/>
        </w:rPr>
        <w:t xml:space="preserve">. As a result, victim-survivors do not receive a fair income, worsening the effects of the increased cost of living. Their children are placed at risk of not receiving material basics, which increases the likelihood of child protection intervention and worsened trauma resulting from experiencing or witnessing violence. </w:t>
      </w:r>
    </w:p>
    <w:p w14:paraId="3B198A9E" w14:textId="77777777" w:rsidR="008E5242" w:rsidRDefault="008E5242" w:rsidP="001952AB">
      <w:pPr>
        <w:pStyle w:val="IntenseQuote"/>
        <w:spacing w:after="0"/>
      </w:pPr>
      <w:r w:rsidRPr="00392FFC">
        <w:t xml:space="preserve">‘We are seeing more </w:t>
      </w:r>
      <w:r>
        <w:t>m</w:t>
      </w:r>
      <w:r w:rsidRPr="00392FFC">
        <w:t>ums who don’t get child support because they are too scared to ask for it, or for him to know where the kids live’</w:t>
      </w:r>
    </w:p>
    <w:p w14:paraId="5DE7A8B6" w14:textId="77777777" w:rsidR="008E5242" w:rsidRPr="00392FFC" w:rsidRDefault="008E5242" w:rsidP="001952AB">
      <w:pPr>
        <w:pStyle w:val="IntenseQuote"/>
        <w:spacing w:before="0"/>
      </w:pPr>
      <w:r>
        <w:rPr>
          <w:rFonts w:ascii="Calibri" w:hAnsi="Calibri" w:cs="Calibri"/>
        </w:rPr>
        <w:t>—</w:t>
      </w:r>
      <w:r w:rsidRPr="00392FFC">
        <w:t xml:space="preserve"> Financial Counsellor, Hobart </w:t>
      </w:r>
    </w:p>
    <w:p w14:paraId="1B403BBD" w14:textId="77777777" w:rsidR="008E5242" w:rsidRDefault="008E5242" w:rsidP="001952AB">
      <w:pPr>
        <w:widowControl/>
        <w:autoSpaceDE/>
        <w:autoSpaceDN/>
        <w:spacing w:before="100" w:beforeAutospacing="1" w:after="100" w:afterAutospacing="1"/>
        <w:rPr>
          <w:rFonts w:ascii="Avenir Next LT Pro" w:hAnsi="Avenir Next LT Pro"/>
          <w:color w:val="575F61"/>
          <w:lang w:val="en-GB"/>
        </w:rPr>
      </w:pPr>
      <w:r>
        <w:rPr>
          <w:rFonts w:ascii="Avenir Next LT Pro" w:hAnsi="Avenir Next LT Pro"/>
          <w:color w:val="575F61"/>
          <w:lang w:val="en-GB"/>
        </w:rPr>
        <w:t xml:space="preserve">Targeted supports addressing financial barriers for victim-survivors are needed to counteract the additional risks and impacts of domestic and family violence due to the increased cost of living. A dedicated focus on improving the Australian child support </w:t>
      </w:r>
      <w:r w:rsidRPr="00033498">
        <w:rPr>
          <w:rFonts w:ascii="Avenir Next LT Pro" w:hAnsi="Avenir Next LT Pro"/>
          <w:color w:val="575F61"/>
          <w:lang w:val="en-GB"/>
        </w:rPr>
        <w:t>system is also needed to prevent additional abuse pathways.</w:t>
      </w:r>
      <w:r>
        <w:rPr>
          <w:rFonts w:ascii="Avenir Next LT Pro" w:hAnsi="Avenir Next LT Pro"/>
          <w:color w:val="575F61"/>
          <w:lang w:val="en-GB"/>
        </w:rPr>
        <w:t xml:space="preserve"> </w:t>
      </w:r>
    </w:p>
    <w:p w14:paraId="0A40918A" w14:textId="77777777" w:rsidR="008E5242" w:rsidRDefault="008E5242">
      <w:pPr>
        <w:spacing w:before="0" w:after="0"/>
        <w:rPr>
          <w:rFonts w:ascii="Avenir Next Demi Bold" w:eastAsia="AvenirNextLTPro-Demi" w:hAnsi="Avenir Next Demi Bold" w:cs="AvenirNextLTPro-Demi"/>
          <w:b/>
          <w:bCs/>
          <w:color w:val="1598CB"/>
          <w:sz w:val="48"/>
          <w:szCs w:val="48"/>
        </w:rPr>
      </w:pPr>
      <w:r>
        <w:br w:type="page"/>
      </w:r>
    </w:p>
    <w:p w14:paraId="6A1C005F" w14:textId="77777777" w:rsidR="008E5242" w:rsidRPr="00166239" w:rsidRDefault="008E5242" w:rsidP="001952AB">
      <w:pPr>
        <w:pStyle w:val="Heading1"/>
      </w:pPr>
      <w:bookmarkStart w:id="22" w:name="_Toc179814528"/>
      <w:r>
        <w:lastRenderedPageBreak/>
        <w:t>Affording the b</w:t>
      </w:r>
      <w:r w:rsidRPr="00F67E4F">
        <w:t>asics</w:t>
      </w:r>
      <w:bookmarkEnd w:id="22"/>
      <w:r w:rsidRPr="00F67E4F">
        <w:t xml:space="preserve"> </w:t>
      </w:r>
    </w:p>
    <w:p w14:paraId="4F4720EA" w14:textId="77777777" w:rsidR="008E5242" w:rsidRPr="00804FD2" w:rsidRDefault="008E5242" w:rsidP="001952AB">
      <w:pPr>
        <w:rPr>
          <w:rFonts w:ascii="Avenir Next LT Pro" w:hAnsi="Avenir Next LT Pro"/>
          <w:color w:val="575F61"/>
          <w:lang w:val="en-GB"/>
        </w:rPr>
      </w:pPr>
      <w:r w:rsidRPr="00804FD2">
        <w:rPr>
          <w:rFonts w:ascii="Avenir Next LT Pro" w:hAnsi="Avenir Next LT Pro"/>
          <w:color w:val="575F61"/>
          <w:lang w:val="en-GB"/>
        </w:rPr>
        <w:t xml:space="preserve">Material basics are the essential items needed for every person to live a full and dignified life and are identified by the Australian Research Alliance for Children and Youth as: </w:t>
      </w:r>
    </w:p>
    <w:p w14:paraId="76C69A21" w14:textId="77777777" w:rsidR="008E5242" w:rsidRPr="00804FD2" w:rsidRDefault="008E5242" w:rsidP="001952AB">
      <w:pPr>
        <w:numPr>
          <w:ilvl w:val="0"/>
          <w:numId w:val="3"/>
        </w:numPr>
        <w:spacing w:after="0"/>
        <w:rPr>
          <w:rFonts w:ascii="Avenir Next LT Pro" w:hAnsi="Avenir Next LT Pro"/>
          <w:color w:val="575F61"/>
          <w:lang w:val="en-GB"/>
        </w:rPr>
      </w:pPr>
      <w:r w:rsidRPr="00804FD2">
        <w:rPr>
          <w:rFonts w:ascii="Avenir Next LT Pro" w:hAnsi="Avenir Next LT Pro"/>
          <w:color w:val="575F61"/>
          <w:lang w:val="en-GB"/>
        </w:rPr>
        <w:t xml:space="preserve">suitable and secure housing </w:t>
      </w:r>
    </w:p>
    <w:p w14:paraId="3C13DE1F" w14:textId="77777777" w:rsidR="008E5242" w:rsidRPr="00524140" w:rsidRDefault="008E5242" w:rsidP="001952AB">
      <w:pPr>
        <w:pStyle w:val="Bullets"/>
        <w:numPr>
          <w:ilvl w:val="0"/>
          <w:numId w:val="3"/>
        </w:numPr>
        <w:rPr>
          <w:lang w:val="en-GB"/>
        </w:rPr>
      </w:pPr>
      <w:r w:rsidRPr="00524140">
        <w:rPr>
          <w:lang w:val="en-GB"/>
        </w:rPr>
        <w:t>adequate and nutritious food</w:t>
      </w:r>
    </w:p>
    <w:p w14:paraId="613D2819" w14:textId="77777777" w:rsidR="008E5242" w:rsidRPr="00524140" w:rsidRDefault="008E5242" w:rsidP="001952AB">
      <w:pPr>
        <w:pStyle w:val="Bullets"/>
        <w:numPr>
          <w:ilvl w:val="0"/>
          <w:numId w:val="3"/>
        </w:numPr>
        <w:rPr>
          <w:lang w:val="en-GB"/>
        </w:rPr>
      </w:pPr>
      <w:r w:rsidRPr="00524140">
        <w:rPr>
          <w:lang w:val="en-GB"/>
        </w:rPr>
        <w:t xml:space="preserve">appropriate clothing </w:t>
      </w:r>
    </w:p>
    <w:p w14:paraId="023822F3" w14:textId="77777777" w:rsidR="008E5242" w:rsidRPr="00524140" w:rsidRDefault="008E5242" w:rsidP="001952AB">
      <w:pPr>
        <w:pStyle w:val="Bullets"/>
        <w:numPr>
          <w:ilvl w:val="0"/>
          <w:numId w:val="3"/>
        </w:numPr>
        <w:rPr>
          <w:lang w:val="en-GB"/>
        </w:rPr>
      </w:pPr>
      <w:r w:rsidRPr="00524140">
        <w:rPr>
          <w:lang w:val="en-GB"/>
        </w:rPr>
        <w:t xml:space="preserve">clean water and air </w:t>
      </w:r>
    </w:p>
    <w:p w14:paraId="3EA16BEA" w14:textId="77777777" w:rsidR="008E5242" w:rsidRPr="00524140" w:rsidRDefault="008E5242" w:rsidP="001952AB">
      <w:pPr>
        <w:pStyle w:val="Bullets"/>
        <w:numPr>
          <w:ilvl w:val="0"/>
          <w:numId w:val="3"/>
        </w:numPr>
        <w:rPr>
          <w:lang w:val="en-GB"/>
        </w:rPr>
      </w:pPr>
      <w:r w:rsidRPr="00524140">
        <w:rPr>
          <w:lang w:val="en-GB"/>
        </w:rPr>
        <w:t xml:space="preserve">access to transportation, services and nature </w:t>
      </w:r>
    </w:p>
    <w:p w14:paraId="51B5CD38" w14:textId="77777777" w:rsidR="008E5242" w:rsidRPr="00524140" w:rsidRDefault="008E5242" w:rsidP="001952AB">
      <w:pPr>
        <w:pStyle w:val="Bullets"/>
        <w:numPr>
          <w:ilvl w:val="0"/>
          <w:numId w:val="3"/>
        </w:numPr>
        <w:rPr>
          <w:lang w:val="en-GB"/>
        </w:rPr>
      </w:pPr>
      <w:r w:rsidRPr="00524140">
        <w:rPr>
          <w:lang w:val="en-GB"/>
        </w:rPr>
        <w:t>access to tools and equipment needed for participation in society</w:t>
      </w:r>
      <w:r>
        <w:rPr>
          <w:lang w:val="en-GB"/>
        </w:rPr>
        <w:t xml:space="preserve"> </w:t>
      </w:r>
      <w:r>
        <w:rPr>
          <w:noProof/>
          <w:lang w:val="en-GB"/>
        </w:rPr>
        <w:t>(ARACY 2024)</w:t>
      </w:r>
      <w:r w:rsidRPr="00524140">
        <w:rPr>
          <w:lang w:val="en-GB"/>
        </w:rPr>
        <w:t xml:space="preserve">. </w:t>
      </w:r>
    </w:p>
    <w:p w14:paraId="468ECCB0" w14:textId="77777777" w:rsidR="008E5242" w:rsidRPr="00804FD2" w:rsidRDefault="008E5242" w:rsidP="001952AB">
      <w:pPr>
        <w:rPr>
          <w:rFonts w:ascii="Avenir Next LT Pro" w:hAnsi="Avenir Next LT Pro"/>
          <w:color w:val="575F61"/>
          <w:lang w:val="en-GB"/>
        </w:rPr>
      </w:pPr>
      <w:r w:rsidRPr="00804FD2">
        <w:rPr>
          <w:rFonts w:ascii="Avenir Next LT Pro" w:hAnsi="Avenir Next LT Pro"/>
          <w:color w:val="575F61"/>
          <w:lang w:val="en-GB"/>
        </w:rPr>
        <w:t>For children, sustained material deprivation increases the risk of poor physical and mental health development</w:t>
      </w:r>
      <w:r>
        <w:rPr>
          <w:rFonts w:ascii="Avenir Next LT Pro" w:hAnsi="Avenir Next LT Pro"/>
          <w:color w:val="575F61"/>
          <w:lang w:val="en-GB"/>
        </w:rPr>
        <w:t xml:space="preserve"> </w:t>
      </w:r>
      <w:r>
        <w:rPr>
          <w:rFonts w:ascii="Avenir Next LT Pro" w:hAnsi="Avenir Next LT Pro"/>
          <w:noProof/>
          <w:color w:val="575F61"/>
          <w:lang w:val="en-GB"/>
        </w:rPr>
        <w:t>(NSCDC 2020)</w:t>
      </w:r>
      <w:r w:rsidRPr="00804FD2">
        <w:rPr>
          <w:rFonts w:ascii="Avenir Next LT Pro" w:hAnsi="Avenir Next LT Pro"/>
          <w:color w:val="575F61"/>
          <w:lang w:val="en-GB"/>
        </w:rPr>
        <w:t>. It can also affect their educational and social participation</w:t>
      </w:r>
      <w:r>
        <w:rPr>
          <w:rFonts w:ascii="Avenir Next LT Pro" w:hAnsi="Avenir Next LT Pro"/>
          <w:color w:val="575F61"/>
          <w:lang w:val="en-GB"/>
        </w:rPr>
        <w:t xml:space="preserve"> </w:t>
      </w:r>
      <w:r>
        <w:rPr>
          <w:rFonts w:ascii="Avenir Next LT Pro" w:hAnsi="Avenir Next LT Pro"/>
          <w:noProof/>
          <w:color w:val="575F61"/>
          <w:lang w:val="en-GB"/>
        </w:rPr>
        <w:t>(Edwards et al. 2009)</w:t>
      </w:r>
      <w:r w:rsidRPr="00804FD2">
        <w:rPr>
          <w:rFonts w:ascii="Avenir Next LT Pro" w:hAnsi="Avenir Next LT Pro"/>
          <w:color w:val="575F61"/>
          <w:lang w:val="en-GB"/>
        </w:rPr>
        <w:t>.</w:t>
      </w:r>
      <w:r>
        <w:rPr>
          <w:rFonts w:ascii="Avenir Next LT Pro" w:hAnsi="Avenir Next LT Pro"/>
          <w:color w:val="575F61"/>
          <w:lang w:val="en-GB"/>
        </w:rPr>
        <w:t xml:space="preserve"> </w:t>
      </w:r>
    </w:p>
    <w:p w14:paraId="6F4F52A1" w14:textId="77777777" w:rsidR="008E5242" w:rsidRPr="00804FD2" w:rsidRDefault="008E5242" w:rsidP="001952AB">
      <w:pPr>
        <w:rPr>
          <w:rFonts w:ascii="Avenir Next LT Pro" w:hAnsi="Avenir Next LT Pro"/>
          <w:color w:val="575F61"/>
          <w:lang w:val="en-GB"/>
        </w:rPr>
      </w:pPr>
      <w:r w:rsidRPr="00804FD2">
        <w:rPr>
          <w:rFonts w:ascii="Avenir Next LT Pro" w:hAnsi="Avenir Next LT Pro"/>
          <w:color w:val="575F61"/>
          <w:lang w:val="en-GB"/>
        </w:rPr>
        <w:t>Frontline workers with Anglicare’s Financial Counselling and Child, Youth and Family Services report families going without one or more of these basics on a weekly basis because they simply cannot afford them.</w:t>
      </w:r>
      <w:r>
        <w:rPr>
          <w:rFonts w:ascii="Avenir Next LT Pro" w:hAnsi="Avenir Next LT Pro"/>
          <w:color w:val="575F61"/>
          <w:lang w:val="en-GB"/>
        </w:rPr>
        <w:t xml:space="preserve"> </w:t>
      </w:r>
      <w:r w:rsidRPr="00804FD2">
        <w:rPr>
          <w:rFonts w:ascii="Avenir Next LT Pro" w:hAnsi="Avenir Next LT Pro"/>
          <w:color w:val="575F61"/>
          <w:lang w:val="en-GB"/>
        </w:rPr>
        <w:t xml:space="preserve">This includes families prioritising fixed or unavoidable costs in their budget (rent, mortgage, bills, debts) over variable costs (food, clothing, fuel, medical care). </w:t>
      </w:r>
    </w:p>
    <w:p w14:paraId="5121CA65" w14:textId="77777777" w:rsidR="008E5242" w:rsidRDefault="008E5242" w:rsidP="001952AB">
      <w:pPr>
        <w:pStyle w:val="IntenseQuote"/>
        <w:spacing w:after="0"/>
      </w:pPr>
      <w:r>
        <w:t>‘</w:t>
      </w:r>
      <w:r w:rsidRPr="00804FD2">
        <w:t>I have clients say … I can’t tell you how much I spend on food, whatever is left over is what I spend on food</w:t>
      </w:r>
      <w:r>
        <w:t>’</w:t>
      </w:r>
      <w:r w:rsidRPr="00804FD2">
        <w:t xml:space="preserve"> </w:t>
      </w:r>
    </w:p>
    <w:p w14:paraId="185E71B7" w14:textId="77777777" w:rsidR="008E5242" w:rsidRPr="00804FD2" w:rsidRDefault="008E5242" w:rsidP="001952AB">
      <w:pPr>
        <w:pStyle w:val="IntenseQuote"/>
        <w:spacing w:before="0"/>
      </w:pPr>
      <w:r>
        <w:rPr>
          <w:rStyle w:val="Emphasis"/>
          <w:rFonts w:ascii="Calibri" w:hAnsi="Calibri" w:cs="Calibri"/>
        </w:rPr>
        <w:t>—</w:t>
      </w:r>
      <w:r w:rsidRPr="00804FD2">
        <w:t xml:space="preserve"> Financial Counselor, Hobart</w:t>
      </w:r>
    </w:p>
    <w:p w14:paraId="7A3D37F8" w14:textId="77777777" w:rsidR="008E5242" w:rsidRDefault="008E5242" w:rsidP="001952AB">
      <w:pPr>
        <w:pStyle w:val="IntenseQuote"/>
        <w:spacing w:after="0"/>
      </w:pPr>
      <w:r>
        <w:t>‘</w:t>
      </w:r>
      <w:r w:rsidRPr="00804FD2">
        <w:t>Kids can’t even get to school because the parents can’t afford the fuel</w:t>
      </w:r>
      <w:r>
        <w:t>’</w:t>
      </w:r>
    </w:p>
    <w:p w14:paraId="199911AB" w14:textId="77777777" w:rsidR="008E5242" w:rsidRPr="00804FD2" w:rsidRDefault="008E5242" w:rsidP="001952AB">
      <w:pPr>
        <w:pStyle w:val="IntenseQuote"/>
        <w:spacing w:before="0"/>
      </w:pPr>
      <w:r>
        <w:rPr>
          <w:rStyle w:val="Emphasis"/>
          <w:rFonts w:ascii="Calibri" w:hAnsi="Calibri" w:cs="Calibri"/>
        </w:rPr>
        <w:t>—</w:t>
      </w:r>
      <w:r w:rsidRPr="00804FD2">
        <w:t xml:space="preserve"> Child and Family Worker, </w:t>
      </w:r>
      <w:r>
        <w:t>Devonport</w:t>
      </w:r>
      <w:r w:rsidRPr="00804FD2">
        <w:t xml:space="preserve"> </w:t>
      </w:r>
    </w:p>
    <w:p w14:paraId="2047883E" w14:textId="77777777" w:rsidR="008E5242" w:rsidRPr="00804FD2" w:rsidRDefault="008E5242" w:rsidP="001952AB">
      <w:r w:rsidRPr="00804FD2">
        <w:rPr>
          <w:rFonts w:ascii="Avenir Next LT Pro" w:hAnsi="Avenir Next LT Pro"/>
          <w:color w:val="575F61"/>
          <w:lang w:val="en-GB"/>
        </w:rPr>
        <w:t xml:space="preserve">Assisting families to access housing, food and medical services </w:t>
      </w:r>
      <w:r>
        <w:rPr>
          <w:rFonts w:ascii="Avenir Next LT Pro" w:hAnsi="Avenir Next LT Pro"/>
          <w:color w:val="575F61"/>
          <w:lang w:val="en-GB"/>
        </w:rPr>
        <w:t xml:space="preserve">is a </w:t>
      </w:r>
      <w:r w:rsidRPr="00804FD2">
        <w:rPr>
          <w:rFonts w:ascii="Avenir Next LT Pro" w:hAnsi="Avenir Next LT Pro"/>
          <w:color w:val="575F61"/>
          <w:lang w:val="en-GB"/>
        </w:rPr>
        <w:t>priorit</w:t>
      </w:r>
      <w:r>
        <w:rPr>
          <w:rFonts w:ascii="Avenir Next LT Pro" w:hAnsi="Avenir Next LT Pro"/>
          <w:color w:val="575F61"/>
          <w:lang w:val="en-GB"/>
        </w:rPr>
        <w:t>y</w:t>
      </w:r>
      <w:r w:rsidRPr="00804FD2">
        <w:rPr>
          <w:rFonts w:ascii="Avenir Next LT Pro" w:hAnsi="Avenir Next LT Pro"/>
          <w:color w:val="575F61"/>
          <w:lang w:val="en-GB"/>
        </w:rPr>
        <w:t xml:space="preserve"> and will increase their capacity to afford essentials in the other domains. The following section</w:t>
      </w:r>
      <w:r>
        <w:rPr>
          <w:rFonts w:ascii="Avenir Next LT Pro" w:hAnsi="Avenir Next LT Pro"/>
          <w:color w:val="575F61"/>
          <w:lang w:val="en-GB"/>
        </w:rPr>
        <w:t>s</w:t>
      </w:r>
      <w:r w:rsidRPr="00804FD2">
        <w:rPr>
          <w:rFonts w:ascii="Avenir Next LT Pro" w:hAnsi="Avenir Next LT Pro"/>
          <w:color w:val="575F61"/>
          <w:lang w:val="en-GB"/>
        </w:rPr>
        <w:t xml:space="preserve"> of the report outline recommendations to ease the financial burden for families. </w:t>
      </w:r>
    </w:p>
    <w:p w14:paraId="7342720F" w14:textId="77777777" w:rsidR="008E5242" w:rsidRDefault="008E5242">
      <w:pPr>
        <w:spacing w:before="0" w:after="0"/>
        <w:rPr>
          <w:rFonts w:ascii="Avenir Next Demi Bold" w:eastAsia="AvenirNextLTPro-Demi" w:hAnsi="Avenir Next Demi Bold" w:cs="AvenirNextLTPro-Demi"/>
          <w:b/>
          <w:color w:val="1598CB"/>
          <w:spacing w:val="-6"/>
          <w:sz w:val="36"/>
          <w:szCs w:val="36"/>
        </w:rPr>
      </w:pPr>
      <w:bookmarkStart w:id="23" w:name="_Toc179814529"/>
      <w:r>
        <w:br w:type="page"/>
      </w:r>
    </w:p>
    <w:p w14:paraId="571EAAD9" w14:textId="77777777" w:rsidR="008E5242" w:rsidRDefault="008E5242" w:rsidP="001952AB">
      <w:pPr>
        <w:pStyle w:val="Heading2"/>
      </w:pPr>
      <w:r>
        <w:lastRenderedPageBreak/>
        <w:t>Suitable and secure housing</w:t>
      </w:r>
      <w:bookmarkEnd w:id="23"/>
      <w:r>
        <w:t xml:space="preserve"> </w:t>
      </w:r>
    </w:p>
    <w:p w14:paraId="4E8D3B58" w14:textId="77777777" w:rsidR="008E5242" w:rsidRPr="00B74F92" w:rsidRDefault="008E5242" w:rsidP="001952AB">
      <w:pPr>
        <w:pStyle w:val="Heading3"/>
      </w:pPr>
      <w:r>
        <w:t>Why it is important</w:t>
      </w:r>
    </w:p>
    <w:p w14:paraId="1B2A8A1E" w14:textId="77777777" w:rsidR="008E5242" w:rsidRPr="00C853CF" w:rsidRDefault="008E5242" w:rsidP="001952AB">
      <w:pPr>
        <w:widowControl/>
        <w:autoSpaceDE/>
        <w:autoSpaceDN/>
        <w:spacing w:before="100" w:beforeAutospacing="1" w:after="100" w:afterAutospacing="1"/>
        <w:rPr>
          <w:rFonts w:ascii="Avenir Next LT Pro" w:hAnsi="Avenir Next LT Pro"/>
          <w:color w:val="575F61"/>
          <w:lang w:val="en-GB"/>
        </w:rPr>
      </w:pPr>
      <w:r w:rsidRPr="00AF4C5F">
        <w:rPr>
          <w:rFonts w:ascii="Avenir Next LT Pro" w:hAnsi="Avenir Next LT Pro"/>
          <w:color w:val="575F61"/>
          <w:lang w:val="en-GB"/>
        </w:rPr>
        <w:t xml:space="preserve">Secure and suitable housing is </w:t>
      </w:r>
      <w:r>
        <w:rPr>
          <w:rFonts w:ascii="Avenir Next LT Pro" w:hAnsi="Avenir Next LT Pro"/>
          <w:color w:val="575F61"/>
          <w:lang w:val="en-GB"/>
        </w:rPr>
        <w:t>an essential need</w:t>
      </w:r>
      <w:r w:rsidRPr="00AF4C5F">
        <w:rPr>
          <w:rFonts w:ascii="Avenir Next LT Pro" w:hAnsi="Avenir Next LT Pro"/>
          <w:color w:val="575F61"/>
          <w:lang w:val="en-GB"/>
        </w:rPr>
        <w:t xml:space="preserve"> for healthy families</w:t>
      </w:r>
      <w:r>
        <w:rPr>
          <w:rFonts w:ascii="Avenir Next LT Pro" w:hAnsi="Avenir Next LT Pro"/>
          <w:color w:val="575F61"/>
          <w:lang w:val="en-GB"/>
        </w:rPr>
        <w:t xml:space="preserve"> </w:t>
      </w:r>
      <w:r>
        <w:rPr>
          <w:rFonts w:ascii="Avenir Next LT Pro" w:hAnsi="Avenir Next LT Pro"/>
          <w:noProof/>
          <w:color w:val="575F61"/>
          <w:lang w:val="en-GB"/>
        </w:rPr>
        <w:t>(AIHW 2022b)</w:t>
      </w:r>
      <w:r w:rsidRPr="00C853CF">
        <w:rPr>
          <w:rFonts w:ascii="Avenir Next LT Pro" w:hAnsi="Avenir Next LT Pro"/>
          <w:color w:val="575F61"/>
          <w:lang w:val="en-GB"/>
        </w:rPr>
        <w:t xml:space="preserve">. </w:t>
      </w:r>
    </w:p>
    <w:p w14:paraId="4A0170FF" w14:textId="77777777" w:rsidR="008E5242" w:rsidRPr="00AF4C5F" w:rsidRDefault="008E5242" w:rsidP="001952AB">
      <w:pPr>
        <w:widowControl/>
        <w:autoSpaceDE/>
        <w:autoSpaceDN/>
        <w:spacing w:before="100" w:beforeAutospacing="1" w:after="100" w:afterAutospacing="1"/>
        <w:rPr>
          <w:rFonts w:ascii="Avenir Next LT Pro" w:hAnsi="Avenir Next LT Pro"/>
          <w:color w:val="575F61"/>
          <w:lang w:val="en-GB"/>
        </w:rPr>
      </w:pPr>
      <w:r w:rsidRPr="00C853CF">
        <w:rPr>
          <w:rFonts w:ascii="Avenir Next LT Pro" w:hAnsi="Avenir Next LT Pro"/>
          <w:color w:val="575F61"/>
          <w:lang w:val="en-GB"/>
        </w:rPr>
        <w:t>Secure housing promotes family stability and caregiving, and supports e</w:t>
      </w:r>
      <w:r w:rsidRPr="00F85A73">
        <w:rPr>
          <w:rFonts w:ascii="Avenir Next LT Pro" w:hAnsi="Avenir Next LT Pro"/>
          <w:color w:val="575F61"/>
          <w:lang w:val="en-GB"/>
        </w:rPr>
        <w:t>mployment and children's education opportunities</w:t>
      </w:r>
      <w:r>
        <w:rPr>
          <w:rFonts w:ascii="Avenir Next LT Pro" w:hAnsi="Avenir Next LT Pro"/>
          <w:color w:val="575F61"/>
          <w:lang w:val="en-GB"/>
        </w:rPr>
        <w:t xml:space="preserve"> </w:t>
      </w:r>
      <w:r>
        <w:rPr>
          <w:rFonts w:ascii="Avenir Next LT Pro" w:hAnsi="Avenir Next LT Pro"/>
          <w:noProof/>
          <w:color w:val="575F61"/>
          <w:lang w:val="en-GB"/>
        </w:rPr>
        <w:t>(Taylor and Edwards 2012)</w:t>
      </w:r>
      <w:r w:rsidRPr="00F85A73">
        <w:rPr>
          <w:rFonts w:ascii="Avenir Next LT Pro" w:hAnsi="Avenir Next LT Pro"/>
          <w:color w:val="575F61"/>
          <w:lang w:val="en-GB"/>
        </w:rPr>
        <w:t>.</w:t>
      </w:r>
      <w:r>
        <w:rPr>
          <w:rFonts w:ascii="Avenir Next LT Pro" w:hAnsi="Avenir Next LT Pro"/>
          <w:color w:val="575F61"/>
          <w:lang w:val="en-GB"/>
        </w:rPr>
        <w:t xml:space="preserve"> </w:t>
      </w:r>
      <w:r w:rsidRPr="00AF4C5F">
        <w:rPr>
          <w:rFonts w:ascii="Avenir Next LT Pro" w:hAnsi="Avenir Next LT Pro"/>
          <w:color w:val="575F61"/>
          <w:lang w:val="en-GB"/>
        </w:rPr>
        <w:t xml:space="preserve">It also connects </w:t>
      </w:r>
      <w:r>
        <w:rPr>
          <w:rFonts w:ascii="Avenir Next LT Pro" w:hAnsi="Avenir Next LT Pro"/>
          <w:color w:val="575F61"/>
          <w:lang w:val="en-GB"/>
        </w:rPr>
        <w:t>families</w:t>
      </w:r>
      <w:r w:rsidRPr="00AF4C5F">
        <w:rPr>
          <w:rFonts w:ascii="Avenir Next LT Pro" w:hAnsi="Avenir Next LT Pro"/>
          <w:color w:val="575F61"/>
          <w:lang w:val="en-GB"/>
        </w:rPr>
        <w:t xml:space="preserve"> to </w:t>
      </w:r>
      <w:r>
        <w:rPr>
          <w:rFonts w:ascii="Avenir Next LT Pro" w:hAnsi="Avenir Next LT Pro"/>
          <w:color w:val="575F61"/>
          <w:lang w:val="en-GB"/>
        </w:rPr>
        <w:t xml:space="preserve">their </w:t>
      </w:r>
      <w:r w:rsidRPr="00AF4C5F">
        <w:rPr>
          <w:rFonts w:ascii="Avenir Next LT Pro" w:hAnsi="Avenir Next LT Pro"/>
          <w:color w:val="575F61"/>
          <w:lang w:val="en-GB"/>
        </w:rPr>
        <w:t>community and the many natural supports that exist within it</w:t>
      </w:r>
      <w:r>
        <w:rPr>
          <w:rFonts w:ascii="Avenir Next LT Pro" w:hAnsi="Avenir Next LT Pro"/>
          <w:color w:val="575F61"/>
          <w:lang w:val="en-GB"/>
        </w:rPr>
        <w:t xml:space="preserve">, including extended family. Disruptions to community for children can reduce their sense of safety and stability, and in turn negatively affect their socioemotional development </w:t>
      </w:r>
      <w:r>
        <w:rPr>
          <w:rFonts w:ascii="Avenir Next LT Pro" w:hAnsi="Avenir Next LT Pro"/>
          <w:noProof/>
          <w:color w:val="575F61"/>
          <w:lang w:val="en-GB"/>
        </w:rPr>
        <w:t>(Livingstone 2018)</w:t>
      </w:r>
      <w:r w:rsidRPr="00AF4C5F">
        <w:rPr>
          <w:rFonts w:ascii="Avenir Next LT Pro" w:hAnsi="Avenir Next LT Pro"/>
          <w:color w:val="575F61"/>
          <w:lang w:val="en-GB"/>
        </w:rPr>
        <w:t xml:space="preserve">. </w:t>
      </w:r>
    </w:p>
    <w:p w14:paraId="3458C725" w14:textId="77777777" w:rsidR="008E5242" w:rsidRDefault="008E5242" w:rsidP="001952AB">
      <w:pPr>
        <w:widowControl/>
        <w:autoSpaceDE/>
        <w:autoSpaceDN/>
        <w:spacing w:before="100" w:beforeAutospacing="1" w:after="100" w:afterAutospacing="1"/>
        <w:rPr>
          <w:rFonts w:ascii="Avenir Next LT Pro" w:hAnsi="Avenir Next LT Pro"/>
          <w:color w:val="575F61"/>
          <w:lang w:val="en-GB"/>
        </w:rPr>
      </w:pPr>
      <w:r w:rsidRPr="00AF4C5F">
        <w:rPr>
          <w:rFonts w:ascii="Avenir Next LT Pro" w:hAnsi="Avenir Next LT Pro"/>
          <w:color w:val="575F61"/>
          <w:lang w:val="en-GB"/>
        </w:rPr>
        <w:t>Unsuitable housing is any housing that is unsafe, of poor quality or overcrowded</w:t>
      </w:r>
      <w:r>
        <w:rPr>
          <w:rFonts w:ascii="Avenir Next LT Pro" w:hAnsi="Avenir Next LT Pro"/>
          <w:color w:val="575F61"/>
          <w:lang w:val="en-GB"/>
        </w:rPr>
        <w:t xml:space="preserve"> </w:t>
      </w:r>
      <w:r>
        <w:rPr>
          <w:rFonts w:ascii="Avenir Next LT Pro" w:hAnsi="Avenir Next LT Pro"/>
          <w:noProof/>
          <w:color w:val="575F61"/>
          <w:lang w:val="en-GB"/>
        </w:rPr>
        <w:t>(AIHW 2023)</w:t>
      </w:r>
      <w:r w:rsidRPr="00AF4C5F">
        <w:rPr>
          <w:rFonts w:ascii="Avenir Next LT Pro" w:hAnsi="Avenir Next LT Pro"/>
          <w:color w:val="575F61"/>
          <w:lang w:val="en-GB"/>
        </w:rPr>
        <w:t>. The impacts of unsuitable housing on children can be diverse</w:t>
      </w:r>
      <w:r>
        <w:rPr>
          <w:rFonts w:ascii="Avenir Next LT Pro" w:hAnsi="Avenir Next LT Pro"/>
          <w:color w:val="575F61"/>
          <w:lang w:val="en-GB"/>
        </w:rPr>
        <w:t xml:space="preserve">, ranging </w:t>
      </w:r>
      <w:r w:rsidRPr="00AF4C5F">
        <w:rPr>
          <w:rFonts w:ascii="Avenir Next LT Pro" w:hAnsi="Avenir Next LT Pro"/>
          <w:color w:val="575F61"/>
          <w:lang w:val="en-GB"/>
        </w:rPr>
        <w:t>from poorer physical health to impaired socioemotional development</w:t>
      </w:r>
      <w:r>
        <w:rPr>
          <w:rFonts w:ascii="Avenir Next LT Pro" w:hAnsi="Avenir Next LT Pro"/>
          <w:color w:val="575F61"/>
          <w:lang w:val="en-GB"/>
        </w:rPr>
        <w:t xml:space="preserve"> </w:t>
      </w:r>
      <w:r>
        <w:rPr>
          <w:rFonts w:ascii="Avenir Next LT Pro" w:hAnsi="Avenir Next LT Pro"/>
          <w:noProof/>
          <w:color w:val="575F61"/>
          <w:lang w:val="en-GB"/>
        </w:rPr>
        <w:t>(AHURI 2014)</w:t>
      </w:r>
      <w:r w:rsidRPr="00AF4C5F">
        <w:rPr>
          <w:rFonts w:ascii="Avenir Next LT Pro" w:hAnsi="Avenir Next LT Pro"/>
          <w:color w:val="575F61"/>
          <w:lang w:val="en-GB"/>
        </w:rPr>
        <w:t xml:space="preserve">. </w:t>
      </w:r>
      <w:r>
        <w:rPr>
          <w:rFonts w:ascii="Avenir Next LT Pro" w:hAnsi="Avenir Next LT Pro"/>
          <w:color w:val="575F61"/>
          <w:lang w:val="en-GB"/>
        </w:rPr>
        <w:t xml:space="preserve">A child’s </w:t>
      </w:r>
      <w:r w:rsidRPr="00AF4C5F">
        <w:rPr>
          <w:rFonts w:ascii="Avenir Next LT Pro" w:hAnsi="Avenir Next LT Pro"/>
          <w:color w:val="575F61"/>
          <w:lang w:val="en-GB"/>
        </w:rPr>
        <w:t>physical environment can directly impact their biological development. For example, a child in a poorly ventilated house may be exposed to high levels of mould</w:t>
      </w:r>
      <w:r>
        <w:rPr>
          <w:rFonts w:ascii="Avenir Next LT Pro" w:hAnsi="Avenir Next LT Pro"/>
          <w:color w:val="575F61"/>
          <w:lang w:val="en-GB"/>
        </w:rPr>
        <w:t xml:space="preserve">, increasing the risk of </w:t>
      </w:r>
      <w:r w:rsidRPr="00AF4C5F">
        <w:rPr>
          <w:rFonts w:ascii="Avenir Next LT Pro" w:hAnsi="Avenir Next LT Pro"/>
          <w:color w:val="575F61"/>
          <w:lang w:val="en-GB"/>
        </w:rPr>
        <w:t>develop</w:t>
      </w:r>
      <w:r>
        <w:rPr>
          <w:rFonts w:ascii="Avenir Next LT Pro" w:hAnsi="Avenir Next LT Pro"/>
          <w:color w:val="575F61"/>
          <w:lang w:val="en-GB"/>
        </w:rPr>
        <w:t xml:space="preserve">ing </w:t>
      </w:r>
      <w:r w:rsidRPr="00AF4C5F">
        <w:rPr>
          <w:rFonts w:ascii="Avenir Next LT Pro" w:hAnsi="Avenir Next LT Pro"/>
          <w:color w:val="575F61"/>
          <w:lang w:val="en-GB"/>
        </w:rPr>
        <w:t>a respiratory illness</w:t>
      </w:r>
      <w:r>
        <w:rPr>
          <w:rFonts w:ascii="Avenir Next LT Pro" w:hAnsi="Avenir Next LT Pro"/>
          <w:color w:val="575F61"/>
          <w:lang w:val="en-GB"/>
        </w:rPr>
        <w:t xml:space="preserve"> such as</w:t>
      </w:r>
      <w:r w:rsidRPr="00AF4C5F">
        <w:rPr>
          <w:rFonts w:ascii="Avenir Next LT Pro" w:hAnsi="Avenir Next LT Pro"/>
          <w:color w:val="575F61"/>
          <w:lang w:val="en-GB"/>
        </w:rPr>
        <w:t xml:space="preserve"> asthma</w:t>
      </w:r>
      <w:r>
        <w:rPr>
          <w:rFonts w:ascii="Avenir Next LT Pro" w:hAnsi="Avenir Next LT Pro"/>
          <w:color w:val="575F61"/>
          <w:lang w:val="en-GB"/>
        </w:rPr>
        <w:t xml:space="preserve"> </w:t>
      </w:r>
      <w:r>
        <w:rPr>
          <w:rFonts w:ascii="Avenir Next LT Pro" w:hAnsi="Avenir Next LT Pro"/>
          <w:noProof/>
          <w:color w:val="575F61"/>
          <w:lang w:val="en-GB"/>
        </w:rPr>
        <w:t>(NSCDC 2020)</w:t>
      </w:r>
      <w:r w:rsidRPr="00AF4C5F">
        <w:rPr>
          <w:rFonts w:ascii="Avenir Next LT Pro" w:hAnsi="Avenir Next LT Pro"/>
          <w:color w:val="575F61"/>
          <w:lang w:val="en-GB"/>
        </w:rPr>
        <w:t xml:space="preserve">. Ensuring that children live in suitable and safe housing is </w:t>
      </w:r>
      <w:r>
        <w:rPr>
          <w:rFonts w:ascii="Avenir Next LT Pro" w:hAnsi="Avenir Next LT Pro"/>
          <w:color w:val="575F61"/>
          <w:lang w:val="en-GB"/>
        </w:rPr>
        <w:t xml:space="preserve">essential to </w:t>
      </w:r>
      <w:r w:rsidRPr="00AF4C5F">
        <w:rPr>
          <w:rFonts w:ascii="Avenir Next LT Pro" w:hAnsi="Avenir Next LT Pro"/>
          <w:color w:val="575F61"/>
          <w:lang w:val="en-GB"/>
        </w:rPr>
        <w:t>preventative health.</w:t>
      </w:r>
    </w:p>
    <w:p w14:paraId="4CDCAE7B" w14:textId="77777777" w:rsidR="008E5242" w:rsidRDefault="008E5242" w:rsidP="001952AB">
      <w:pPr>
        <w:widowControl/>
        <w:autoSpaceDE/>
        <w:autoSpaceDN/>
        <w:spacing w:before="100" w:beforeAutospacing="1" w:after="100" w:afterAutospacing="1"/>
        <w:rPr>
          <w:rFonts w:ascii="Avenir Next LT Pro" w:hAnsi="Avenir Next LT Pro"/>
          <w:color w:val="575F61"/>
          <w:lang w:val="en-GB"/>
        </w:rPr>
      </w:pPr>
      <w:r>
        <w:rPr>
          <w:rFonts w:ascii="Avenir Next LT Pro" w:hAnsi="Avenir Next LT Pro"/>
          <w:color w:val="575F61"/>
          <w:lang w:val="en-GB"/>
        </w:rPr>
        <w:t xml:space="preserve">Anglicare’s Financial Counsellors observe that families usually prioritise secure housing over everything else, as far as they can. </w:t>
      </w:r>
    </w:p>
    <w:p w14:paraId="491E8EEF" w14:textId="77777777" w:rsidR="008E5242" w:rsidRDefault="008E5242" w:rsidP="001952AB">
      <w:pPr>
        <w:pStyle w:val="IntenseQuote"/>
        <w:spacing w:after="0"/>
      </w:pPr>
      <w:r>
        <w:t>‘</w:t>
      </w:r>
      <w:r w:rsidRPr="00AF4C5F">
        <w:t>Families are just trying to keep their homes right now, so many families won’t request maintenance so they don’t rock the boat and risk getting either a rental increase or being evicted</w:t>
      </w:r>
      <w:r>
        <w:t>’</w:t>
      </w:r>
      <w:r w:rsidRPr="00AF4C5F">
        <w:t xml:space="preserve"> </w:t>
      </w:r>
    </w:p>
    <w:p w14:paraId="345E3008" w14:textId="77777777" w:rsidR="008E5242" w:rsidRPr="00AF4C5F" w:rsidRDefault="008E5242" w:rsidP="001952AB">
      <w:pPr>
        <w:pStyle w:val="IntenseQuote"/>
        <w:spacing w:before="0"/>
      </w:pPr>
      <w:r>
        <w:rPr>
          <w:rStyle w:val="Emphasis"/>
          <w:rFonts w:ascii="Calibri" w:hAnsi="Calibri" w:cs="Calibri"/>
        </w:rPr>
        <w:t>—</w:t>
      </w:r>
      <w:r w:rsidRPr="00AF4C5F">
        <w:t xml:space="preserve"> Child and Family Worker, Glenorchy </w:t>
      </w:r>
    </w:p>
    <w:p w14:paraId="1C656824" w14:textId="77777777" w:rsidR="008E5242" w:rsidRDefault="008E5242" w:rsidP="001952AB">
      <w:pPr>
        <w:pStyle w:val="Heading3"/>
        <w:rPr>
          <w:lang w:val="en-GB"/>
        </w:rPr>
      </w:pPr>
      <w:bookmarkStart w:id="24" w:name="_Toc179382429"/>
      <w:r>
        <w:rPr>
          <w:lang w:val="en-GB"/>
        </w:rPr>
        <w:t>More families are experiencing housing stress</w:t>
      </w:r>
      <w:bookmarkEnd w:id="24"/>
    </w:p>
    <w:p w14:paraId="7959009F" w14:textId="77777777" w:rsidR="008E5242" w:rsidRDefault="008E5242" w:rsidP="001952AB">
      <w:pPr>
        <w:widowControl/>
        <w:autoSpaceDE/>
        <w:autoSpaceDN/>
        <w:spacing w:before="100" w:beforeAutospacing="1" w:after="100" w:afterAutospacing="1"/>
        <w:rPr>
          <w:rFonts w:ascii="Avenir Next LT Pro" w:hAnsi="Avenir Next LT Pro"/>
          <w:color w:val="575F61"/>
          <w:lang w:val="en-GB"/>
        </w:rPr>
      </w:pPr>
      <w:r w:rsidRPr="00BE08E5">
        <w:rPr>
          <w:rFonts w:ascii="Avenir Next LT Pro" w:hAnsi="Avenir Next LT Pro"/>
          <w:color w:val="575F61"/>
          <w:lang w:val="en-GB"/>
        </w:rPr>
        <w:t>Over the past decade, prices of Australian houses and rentals have increased at a greater rate than income. Between March 2023 and March 2024, median house prices in Australia increased by 7.7% and rental prices increased by 7.8%</w:t>
      </w:r>
      <w:r>
        <w:rPr>
          <w:rFonts w:ascii="Avenir Next LT Pro" w:hAnsi="Avenir Next LT Pro"/>
          <w:color w:val="575F61"/>
          <w:lang w:val="en-GB"/>
        </w:rPr>
        <w:t xml:space="preserve"> </w:t>
      </w:r>
      <w:r>
        <w:rPr>
          <w:rFonts w:ascii="Avenir Next LT Pro" w:hAnsi="Avenir Next LT Pro"/>
          <w:noProof/>
          <w:color w:val="575F61"/>
          <w:lang w:val="en-GB"/>
        </w:rPr>
        <w:t>(KPMG 2024)</w:t>
      </w:r>
      <w:r w:rsidRPr="00BE08E5">
        <w:rPr>
          <w:rFonts w:ascii="Avenir Next LT Pro" w:hAnsi="Avenir Next LT Pro"/>
          <w:color w:val="575F61"/>
          <w:lang w:val="en-GB"/>
        </w:rPr>
        <w:t xml:space="preserve">. </w:t>
      </w:r>
      <w:r>
        <w:rPr>
          <w:rFonts w:ascii="Avenir Next LT Pro" w:hAnsi="Avenir Next LT Pro"/>
          <w:color w:val="575F61"/>
          <w:lang w:val="en-GB"/>
        </w:rPr>
        <w:t>Anglicare s</w:t>
      </w:r>
      <w:r w:rsidRPr="00AF4C5F">
        <w:rPr>
          <w:rFonts w:ascii="Avenir Next LT Pro" w:hAnsi="Avenir Next LT Pro"/>
          <w:color w:val="575F61"/>
          <w:lang w:val="en-GB"/>
        </w:rPr>
        <w:t xml:space="preserve">taff </w:t>
      </w:r>
      <w:r>
        <w:rPr>
          <w:rFonts w:ascii="Avenir Next LT Pro" w:hAnsi="Avenir Next LT Pro"/>
          <w:color w:val="575F61"/>
          <w:lang w:val="en-GB"/>
        </w:rPr>
        <w:t xml:space="preserve">identified the increased cost of housing as a key driver of financial stress for families in two groups – renters and home owners with a mortgage. </w:t>
      </w:r>
    </w:p>
    <w:p w14:paraId="6679C1E8" w14:textId="77777777" w:rsidR="008E5242" w:rsidRDefault="008E5242" w:rsidP="001952AB">
      <w:pPr>
        <w:widowControl/>
        <w:autoSpaceDE/>
        <w:autoSpaceDN/>
        <w:spacing w:before="100" w:beforeAutospacing="1" w:after="100" w:afterAutospacing="1"/>
        <w:rPr>
          <w:rFonts w:ascii="Avenir Next LT Pro" w:hAnsi="Avenir Next LT Pro"/>
          <w:color w:val="575F61"/>
          <w:lang w:val="en-GB"/>
        </w:rPr>
      </w:pPr>
      <w:r>
        <w:rPr>
          <w:rFonts w:ascii="Avenir Next LT Pro" w:hAnsi="Avenir Next LT Pro"/>
          <w:color w:val="575F61"/>
          <w:lang w:val="en-GB"/>
        </w:rPr>
        <w:t>Anglicare Financial Counsellors shared that:</w:t>
      </w:r>
    </w:p>
    <w:p w14:paraId="7982B42C" w14:textId="77777777" w:rsidR="00DA411B" w:rsidRDefault="00DA411B" w:rsidP="00DA411B">
      <w:pPr>
        <w:widowControl/>
        <w:pBdr>
          <w:top w:val="single" w:sz="4" w:space="1" w:color="auto"/>
          <w:left w:val="single" w:sz="4" w:space="4" w:color="auto"/>
          <w:bottom w:val="single" w:sz="4" w:space="1" w:color="auto"/>
          <w:right w:val="single" w:sz="4" w:space="4" w:color="auto"/>
        </w:pBdr>
        <w:autoSpaceDE/>
        <w:autoSpaceDN/>
        <w:spacing w:before="100" w:beforeAutospacing="1" w:after="100" w:afterAutospacing="1"/>
        <w:rPr>
          <w:rFonts w:ascii="Avenir Next LT Pro" w:hAnsi="Avenir Next LT Pro"/>
          <w:b/>
          <w:color w:val="575F61"/>
          <w:lang w:val="en-GB"/>
        </w:rPr>
      </w:pPr>
      <w:r>
        <w:rPr>
          <w:rFonts w:ascii="Avenir Next LT Pro" w:hAnsi="Avenir Next LT Pro"/>
          <w:b/>
          <w:color w:val="575F61"/>
          <w:lang w:val="en-GB"/>
        </w:rPr>
        <w:t>f</w:t>
      </w:r>
      <w:r w:rsidRPr="00C43E6D">
        <w:rPr>
          <w:rFonts w:ascii="Avenir Next LT Pro" w:hAnsi="Avenir Next LT Pro"/>
          <w:b/>
          <w:color w:val="575F61"/>
          <w:lang w:val="en-GB"/>
        </w:rPr>
        <w:t xml:space="preserve">amilies in rentals </w:t>
      </w:r>
    </w:p>
    <w:p w14:paraId="02A5B535" w14:textId="2A257192" w:rsidR="00DA411B" w:rsidRDefault="00DA411B" w:rsidP="00DA411B">
      <w:pPr>
        <w:widowControl/>
        <w:pBdr>
          <w:top w:val="single" w:sz="4" w:space="1" w:color="auto"/>
          <w:left w:val="single" w:sz="4" w:space="4" w:color="auto"/>
          <w:bottom w:val="single" w:sz="4" w:space="1" w:color="auto"/>
          <w:right w:val="single" w:sz="4" w:space="4" w:color="auto"/>
        </w:pBdr>
        <w:autoSpaceDE/>
        <w:autoSpaceDN/>
        <w:spacing w:before="100" w:beforeAutospacing="1" w:after="100" w:afterAutospacing="1"/>
        <w:rPr>
          <w:rFonts w:ascii="Avenir Next LT Pro" w:hAnsi="Avenir Next LT Pro"/>
          <w:color w:val="575F61"/>
          <w:lang w:val="en-GB"/>
        </w:rPr>
      </w:pPr>
      <w:r>
        <w:rPr>
          <w:rFonts w:ascii="Avenir Next LT Pro" w:hAnsi="Avenir Next LT Pro"/>
          <w:color w:val="575F61"/>
          <w:lang w:val="en-GB"/>
        </w:rPr>
        <w:t>have faced rental increases of over $100 a week.</w:t>
      </w:r>
    </w:p>
    <w:p w14:paraId="0A0F48BD" w14:textId="77777777" w:rsidR="00DA411B" w:rsidRDefault="00DA411B" w:rsidP="00DA411B">
      <w:pPr>
        <w:widowControl/>
        <w:pBdr>
          <w:top w:val="single" w:sz="4" w:space="1" w:color="auto"/>
          <w:left w:val="single" w:sz="4" w:space="4" w:color="auto"/>
          <w:bottom w:val="single" w:sz="4" w:space="1" w:color="auto"/>
          <w:right w:val="single" w:sz="4" w:space="4" w:color="auto"/>
        </w:pBdr>
        <w:autoSpaceDE/>
        <w:autoSpaceDN/>
        <w:spacing w:before="100" w:beforeAutospacing="1" w:after="100" w:afterAutospacing="1"/>
        <w:rPr>
          <w:rFonts w:ascii="Avenir Next LT Pro" w:hAnsi="Avenir Next LT Pro"/>
          <w:b/>
          <w:color w:val="575F61"/>
          <w:lang w:val="en-GB"/>
        </w:rPr>
      </w:pPr>
      <w:r>
        <w:rPr>
          <w:rFonts w:ascii="Avenir Next LT Pro" w:hAnsi="Avenir Next LT Pro"/>
          <w:b/>
          <w:color w:val="575F61"/>
          <w:lang w:val="en-GB"/>
        </w:rPr>
        <w:t>f</w:t>
      </w:r>
      <w:r w:rsidRPr="00C43E6D">
        <w:rPr>
          <w:rFonts w:ascii="Avenir Next LT Pro" w:hAnsi="Avenir Next LT Pro"/>
          <w:b/>
          <w:color w:val="575F61"/>
          <w:lang w:val="en-GB"/>
        </w:rPr>
        <w:t xml:space="preserve">amilies in mortgaged properties </w:t>
      </w:r>
    </w:p>
    <w:p w14:paraId="790A8A8C" w14:textId="2646ED6D" w:rsidR="00DA411B" w:rsidRDefault="00DA411B" w:rsidP="00DA411B">
      <w:pPr>
        <w:widowControl/>
        <w:pBdr>
          <w:top w:val="single" w:sz="4" w:space="1" w:color="auto"/>
          <w:left w:val="single" w:sz="4" w:space="4" w:color="auto"/>
          <w:bottom w:val="single" w:sz="4" w:space="1" w:color="auto"/>
          <w:right w:val="single" w:sz="4" w:space="4" w:color="auto"/>
        </w:pBdr>
        <w:autoSpaceDE/>
        <w:autoSpaceDN/>
        <w:spacing w:before="100" w:beforeAutospacing="1" w:after="100" w:afterAutospacing="1"/>
        <w:rPr>
          <w:rFonts w:ascii="Avenir Next LT Pro" w:hAnsi="Avenir Next LT Pro"/>
          <w:color w:val="575F61"/>
          <w:lang w:val="en-GB"/>
        </w:rPr>
      </w:pPr>
      <w:r>
        <w:rPr>
          <w:rFonts w:ascii="Avenir Next LT Pro" w:hAnsi="Avenir Next LT Pro"/>
          <w:color w:val="575F61"/>
          <w:lang w:val="en-GB"/>
        </w:rPr>
        <w:t>have faced mortgage repayment increases of up to $250 a week.</w:t>
      </w:r>
    </w:p>
    <w:p w14:paraId="39A09CD4" w14:textId="2AEA494B" w:rsidR="008E5242" w:rsidRPr="00AF4C5F" w:rsidRDefault="008E5242" w:rsidP="001952AB">
      <w:pPr>
        <w:widowControl/>
        <w:autoSpaceDE/>
        <w:autoSpaceDN/>
        <w:spacing w:before="100" w:beforeAutospacing="1" w:after="100" w:afterAutospacing="1"/>
        <w:rPr>
          <w:rFonts w:ascii="Avenir Next LT Pro" w:hAnsi="Avenir Next LT Pro"/>
          <w:color w:val="575F61"/>
          <w:lang w:val="en-GB"/>
        </w:rPr>
      </w:pPr>
      <w:r w:rsidRPr="00AF4C5F">
        <w:rPr>
          <w:rFonts w:ascii="Avenir Next LT Pro" w:hAnsi="Avenir Next LT Pro"/>
          <w:color w:val="575F61"/>
          <w:lang w:val="en-GB"/>
        </w:rPr>
        <w:lastRenderedPageBreak/>
        <w:t>Increasingly families are choosing between paying unaffordable mortgage</w:t>
      </w:r>
      <w:r>
        <w:rPr>
          <w:rFonts w:ascii="Avenir Next LT Pro" w:hAnsi="Avenir Next LT Pro"/>
          <w:color w:val="575F61"/>
          <w:lang w:val="en-GB"/>
        </w:rPr>
        <w:t xml:space="preserve"> or rental</w:t>
      </w:r>
      <w:r w:rsidRPr="00AF4C5F">
        <w:rPr>
          <w:rFonts w:ascii="Avenir Next LT Pro" w:hAnsi="Avenir Next LT Pro"/>
          <w:color w:val="575F61"/>
          <w:lang w:val="en-GB"/>
        </w:rPr>
        <w:t xml:space="preserve"> prices, or giving up their </w:t>
      </w:r>
      <w:r>
        <w:rPr>
          <w:rFonts w:ascii="Avenir Next LT Pro" w:hAnsi="Avenir Next LT Pro"/>
          <w:color w:val="575F61"/>
          <w:lang w:val="en-GB"/>
        </w:rPr>
        <w:t>home</w:t>
      </w:r>
      <w:r w:rsidRPr="00AF4C5F">
        <w:rPr>
          <w:rFonts w:ascii="Avenir Next LT Pro" w:hAnsi="Avenir Next LT Pro"/>
          <w:color w:val="575F61"/>
          <w:lang w:val="en-GB"/>
        </w:rPr>
        <w:t xml:space="preserve"> and </w:t>
      </w:r>
      <w:r>
        <w:rPr>
          <w:rFonts w:ascii="Avenir Next LT Pro" w:hAnsi="Avenir Next LT Pro"/>
          <w:color w:val="575F61"/>
          <w:lang w:val="en-GB"/>
        </w:rPr>
        <w:t>‘trying</w:t>
      </w:r>
      <w:r w:rsidRPr="00AF4C5F">
        <w:rPr>
          <w:rFonts w:ascii="Avenir Next LT Pro" w:hAnsi="Avenir Next LT Pro"/>
          <w:color w:val="575F61"/>
          <w:lang w:val="en-GB"/>
        </w:rPr>
        <w:t xml:space="preserve"> their luck' in an equally unaffordable rental market. </w:t>
      </w:r>
    </w:p>
    <w:p w14:paraId="61AD46F5" w14:textId="77777777" w:rsidR="008E5242" w:rsidRPr="00AF4C5F" w:rsidRDefault="008E5242" w:rsidP="001952AB">
      <w:pPr>
        <w:widowControl/>
        <w:autoSpaceDE/>
        <w:autoSpaceDN/>
        <w:spacing w:before="100" w:beforeAutospacing="1" w:after="100" w:afterAutospacing="1"/>
        <w:rPr>
          <w:rFonts w:ascii="Avenir Next LT Pro" w:hAnsi="Avenir Next LT Pro"/>
          <w:color w:val="575F61"/>
          <w:lang w:val="en-GB"/>
        </w:rPr>
      </w:pPr>
      <w:r>
        <w:rPr>
          <w:rFonts w:ascii="Avenir Next LT Pro" w:hAnsi="Avenir Next LT Pro"/>
          <w:color w:val="575F61"/>
          <w:lang w:val="en-GB"/>
        </w:rPr>
        <w:t>H</w:t>
      </w:r>
      <w:r w:rsidRPr="00AF4C5F">
        <w:rPr>
          <w:rFonts w:ascii="Avenir Next LT Pro" w:hAnsi="Avenir Next LT Pro"/>
          <w:color w:val="575F61"/>
          <w:lang w:val="en-GB"/>
        </w:rPr>
        <w:t>ousing market</w:t>
      </w:r>
      <w:r>
        <w:rPr>
          <w:rFonts w:ascii="Avenir Next LT Pro" w:hAnsi="Avenir Next LT Pro"/>
          <w:color w:val="575F61"/>
          <w:lang w:val="en-GB"/>
        </w:rPr>
        <w:t xml:space="preserve"> conditions</w:t>
      </w:r>
      <w:r w:rsidRPr="00AF4C5F">
        <w:rPr>
          <w:rFonts w:ascii="Avenir Next LT Pro" w:hAnsi="Avenir Next LT Pro"/>
          <w:color w:val="575F61"/>
          <w:lang w:val="en-GB"/>
        </w:rPr>
        <w:t xml:space="preserve"> </w:t>
      </w:r>
      <w:r>
        <w:rPr>
          <w:rFonts w:ascii="Avenir Next LT Pro" w:hAnsi="Avenir Next LT Pro"/>
          <w:color w:val="575F61"/>
          <w:lang w:val="en-GB"/>
        </w:rPr>
        <w:t>are</w:t>
      </w:r>
      <w:r w:rsidRPr="00AF4C5F">
        <w:rPr>
          <w:rFonts w:ascii="Avenir Next LT Pro" w:hAnsi="Avenir Next LT Pro"/>
          <w:color w:val="575F61"/>
          <w:lang w:val="en-GB"/>
        </w:rPr>
        <w:t xml:space="preserve"> also </w:t>
      </w:r>
      <w:r>
        <w:rPr>
          <w:rFonts w:ascii="Avenir Next LT Pro" w:hAnsi="Avenir Next LT Pro"/>
          <w:color w:val="575F61"/>
          <w:lang w:val="en-GB"/>
        </w:rPr>
        <w:t>lowering the</w:t>
      </w:r>
      <w:r w:rsidRPr="00AF4C5F">
        <w:rPr>
          <w:rFonts w:ascii="Avenir Next LT Pro" w:hAnsi="Avenir Next LT Pro"/>
          <w:color w:val="575F61"/>
          <w:lang w:val="en-GB"/>
        </w:rPr>
        <w:t xml:space="preserve"> standard of housing </w:t>
      </w:r>
      <w:r>
        <w:rPr>
          <w:rFonts w:ascii="Avenir Next LT Pro" w:hAnsi="Avenir Next LT Pro"/>
          <w:color w:val="575F61"/>
          <w:lang w:val="en-GB"/>
        </w:rPr>
        <w:t>that families are accepting. Staff shared</w:t>
      </w:r>
      <w:r w:rsidRPr="00AF4C5F">
        <w:rPr>
          <w:rFonts w:ascii="Avenir Next LT Pro" w:hAnsi="Avenir Next LT Pro"/>
          <w:color w:val="575F61"/>
          <w:lang w:val="en-GB"/>
        </w:rPr>
        <w:t xml:space="preserve"> examples of families who are </w:t>
      </w:r>
      <w:r>
        <w:rPr>
          <w:rFonts w:ascii="Avenir Next LT Pro" w:hAnsi="Avenir Next LT Pro"/>
          <w:color w:val="575F61"/>
          <w:lang w:val="en-GB"/>
        </w:rPr>
        <w:t xml:space="preserve">not </w:t>
      </w:r>
      <w:r w:rsidRPr="00AF4C5F">
        <w:rPr>
          <w:rFonts w:ascii="Avenir Next LT Pro" w:hAnsi="Avenir Next LT Pro"/>
          <w:color w:val="575F61"/>
          <w:lang w:val="en-GB"/>
        </w:rPr>
        <w:t xml:space="preserve">seeking </w:t>
      </w:r>
      <w:r>
        <w:rPr>
          <w:rFonts w:ascii="Avenir Next LT Pro" w:hAnsi="Avenir Next LT Pro"/>
          <w:color w:val="575F61"/>
          <w:lang w:val="en-GB"/>
        </w:rPr>
        <w:t xml:space="preserve">reasonable </w:t>
      </w:r>
      <w:r w:rsidRPr="00AF4C5F">
        <w:rPr>
          <w:rFonts w:ascii="Avenir Next LT Pro" w:hAnsi="Avenir Next LT Pro"/>
          <w:color w:val="575F61"/>
          <w:lang w:val="en-GB"/>
        </w:rPr>
        <w:t xml:space="preserve">maintenance or repairs on rentals </w:t>
      </w:r>
      <w:r>
        <w:rPr>
          <w:rFonts w:ascii="Avenir Next LT Pro" w:hAnsi="Avenir Next LT Pro"/>
          <w:color w:val="575F61"/>
          <w:lang w:val="en-GB"/>
        </w:rPr>
        <w:t xml:space="preserve">because they </w:t>
      </w:r>
      <w:r w:rsidRPr="00AF4C5F">
        <w:rPr>
          <w:rFonts w:ascii="Avenir Next LT Pro" w:hAnsi="Avenir Next LT Pro"/>
          <w:color w:val="575F61"/>
          <w:lang w:val="en-GB"/>
        </w:rPr>
        <w:t xml:space="preserve">fear eviction </w:t>
      </w:r>
      <w:r>
        <w:rPr>
          <w:rFonts w:ascii="Avenir Next LT Pro" w:hAnsi="Avenir Next LT Pro"/>
          <w:color w:val="575F61"/>
          <w:lang w:val="en-GB"/>
        </w:rPr>
        <w:t>or</w:t>
      </w:r>
      <w:r w:rsidRPr="00AF4C5F">
        <w:rPr>
          <w:rFonts w:ascii="Avenir Next LT Pro" w:hAnsi="Avenir Next LT Pro"/>
          <w:color w:val="575F61"/>
          <w:lang w:val="en-GB"/>
        </w:rPr>
        <w:t xml:space="preserve"> </w:t>
      </w:r>
      <w:r>
        <w:rPr>
          <w:rFonts w:ascii="Avenir Next LT Pro" w:hAnsi="Avenir Next LT Pro"/>
          <w:color w:val="575F61"/>
          <w:lang w:val="en-GB"/>
        </w:rPr>
        <w:t xml:space="preserve">further </w:t>
      </w:r>
      <w:r w:rsidRPr="00AF4C5F">
        <w:rPr>
          <w:rFonts w:ascii="Avenir Next LT Pro" w:hAnsi="Avenir Next LT Pro"/>
          <w:color w:val="575F61"/>
          <w:lang w:val="en-GB"/>
        </w:rPr>
        <w:t>rent</w:t>
      </w:r>
      <w:r>
        <w:rPr>
          <w:rFonts w:ascii="Avenir Next LT Pro" w:hAnsi="Avenir Next LT Pro"/>
          <w:color w:val="575F61"/>
          <w:lang w:val="en-GB"/>
        </w:rPr>
        <w:t xml:space="preserve"> increases</w:t>
      </w:r>
      <w:r w:rsidRPr="00AF4C5F">
        <w:rPr>
          <w:rFonts w:ascii="Avenir Next LT Pro" w:hAnsi="Avenir Next LT Pro"/>
          <w:color w:val="575F61"/>
          <w:lang w:val="en-GB"/>
        </w:rPr>
        <w:t xml:space="preserve">. For families </w:t>
      </w:r>
      <w:r>
        <w:rPr>
          <w:rFonts w:ascii="Avenir Next LT Pro" w:hAnsi="Avenir Next LT Pro"/>
          <w:color w:val="575F61"/>
          <w:lang w:val="en-GB"/>
        </w:rPr>
        <w:t>buying</w:t>
      </w:r>
      <w:r w:rsidRPr="00AF4C5F">
        <w:rPr>
          <w:rFonts w:ascii="Avenir Next LT Pro" w:hAnsi="Avenir Next LT Pro"/>
          <w:color w:val="575F61"/>
          <w:lang w:val="en-GB"/>
        </w:rPr>
        <w:t xml:space="preserve"> their </w:t>
      </w:r>
      <w:r>
        <w:rPr>
          <w:rFonts w:ascii="Avenir Next LT Pro" w:hAnsi="Avenir Next LT Pro"/>
          <w:color w:val="575F61"/>
          <w:lang w:val="en-GB"/>
        </w:rPr>
        <w:t xml:space="preserve">own </w:t>
      </w:r>
      <w:r w:rsidRPr="00AF4C5F">
        <w:rPr>
          <w:rFonts w:ascii="Avenir Next LT Pro" w:hAnsi="Avenir Next LT Pro"/>
          <w:color w:val="575F61"/>
          <w:lang w:val="en-GB"/>
        </w:rPr>
        <w:t>home, increase</w:t>
      </w:r>
      <w:r>
        <w:rPr>
          <w:rFonts w:ascii="Avenir Next LT Pro" w:hAnsi="Avenir Next LT Pro"/>
          <w:color w:val="575F61"/>
          <w:lang w:val="en-GB"/>
        </w:rPr>
        <w:t xml:space="preserve">s in </w:t>
      </w:r>
      <w:r w:rsidRPr="00AF4C5F">
        <w:rPr>
          <w:rFonts w:ascii="Avenir Next LT Pro" w:hAnsi="Avenir Next LT Pro"/>
          <w:color w:val="575F61"/>
          <w:lang w:val="en-GB"/>
        </w:rPr>
        <w:t xml:space="preserve">mortgage repayments </w:t>
      </w:r>
      <w:r>
        <w:rPr>
          <w:rFonts w:ascii="Avenir Next LT Pro" w:hAnsi="Avenir Next LT Pro"/>
          <w:color w:val="575F61"/>
          <w:lang w:val="en-GB"/>
        </w:rPr>
        <w:t>and</w:t>
      </w:r>
      <w:r w:rsidRPr="00AF4C5F">
        <w:rPr>
          <w:rFonts w:ascii="Avenir Next LT Pro" w:hAnsi="Avenir Next LT Pro"/>
          <w:color w:val="575F61"/>
          <w:lang w:val="en-GB"/>
        </w:rPr>
        <w:t xml:space="preserve"> </w:t>
      </w:r>
      <w:r>
        <w:rPr>
          <w:rFonts w:ascii="Avenir Next LT Pro" w:hAnsi="Avenir Next LT Pro"/>
          <w:color w:val="575F61"/>
          <w:lang w:val="en-GB"/>
        </w:rPr>
        <w:t xml:space="preserve">other </w:t>
      </w:r>
      <w:r w:rsidRPr="00AF4C5F">
        <w:rPr>
          <w:rFonts w:ascii="Avenir Next LT Pro" w:hAnsi="Avenir Next LT Pro"/>
          <w:color w:val="575F61"/>
          <w:lang w:val="en-GB"/>
        </w:rPr>
        <w:t xml:space="preserve">costs of living </w:t>
      </w:r>
      <w:r>
        <w:rPr>
          <w:rFonts w:ascii="Avenir Next LT Pro" w:hAnsi="Avenir Next LT Pro"/>
          <w:color w:val="575F61"/>
          <w:lang w:val="en-GB"/>
        </w:rPr>
        <w:t>are</w:t>
      </w:r>
      <w:r w:rsidRPr="00AF4C5F">
        <w:rPr>
          <w:rFonts w:ascii="Avenir Next LT Pro" w:hAnsi="Avenir Next LT Pro"/>
          <w:color w:val="575F61"/>
          <w:lang w:val="en-GB"/>
        </w:rPr>
        <w:t xml:space="preserve"> leading</w:t>
      </w:r>
      <w:r>
        <w:rPr>
          <w:rFonts w:ascii="Avenir Next LT Pro" w:hAnsi="Avenir Next LT Pro"/>
          <w:color w:val="575F61"/>
          <w:lang w:val="en-GB"/>
        </w:rPr>
        <w:t xml:space="preserve"> them</w:t>
      </w:r>
      <w:r w:rsidRPr="00AF4C5F">
        <w:rPr>
          <w:rFonts w:ascii="Avenir Next LT Pro" w:hAnsi="Avenir Next LT Pro"/>
          <w:color w:val="575F61"/>
          <w:lang w:val="en-GB"/>
        </w:rPr>
        <w:t xml:space="preserve"> to delay house mainte</w:t>
      </w:r>
      <w:r>
        <w:rPr>
          <w:rFonts w:ascii="Avenir Next LT Pro" w:hAnsi="Avenir Next LT Pro"/>
          <w:color w:val="575F61"/>
          <w:lang w:val="en-GB"/>
        </w:rPr>
        <w:t>na</w:t>
      </w:r>
      <w:r w:rsidRPr="00AF4C5F">
        <w:rPr>
          <w:rFonts w:ascii="Avenir Next LT Pro" w:hAnsi="Avenir Next LT Pro"/>
          <w:color w:val="575F61"/>
          <w:lang w:val="en-GB"/>
        </w:rPr>
        <w:t xml:space="preserve">nce. Instead, families are </w:t>
      </w:r>
      <w:r>
        <w:rPr>
          <w:rFonts w:ascii="Avenir Next LT Pro" w:hAnsi="Avenir Next LT Pro"/>
          <w:color w:val="575F61"/>
          <w:lang w:val="en-GB"/>
        </w:rPr>
        <w:t>simply living</w:t>
      </w:r>
      <w:r w:rsidRPr="00AF4C5F">
        <w:rPr>
          <w:rFonts w:ascii="Avenir Next LT Pro" w:hAnsi="Avenir Next LT Pro"/>
          <w:color w:val="575F61"/>
          <w:lang w:val="en-GB"/>
        </w:rPr>
        <w:t xml:space="preserve"> with unsuitable </w:t>
      </w:r>
      <w:r>
        <w:rPr>
          <w:rFonts w:ascii="Avenir Next LT Pro" w:hAnsi="Avenir Next LT Pro"/>
          <w:color w:val="575F61"/>
          <w:lang w:val="en-GB"/>
        </w:rPr>
        <w:t>conditions</w:t>
      </w:r>
      <w:r w:rsidRPr="00AF4C5F">
        <w:rPr>
          <w:rFonts w:ascii="Avenir Next LT Pro" w:hAnsi="Avenir Next LT Pro"/>
          <w:color w:val="575F61"/>
          <w:lang w:val="en-GB"/>
        </w:rPr>
        <w:t xml:space="preserve">. </w:t>
      </w:r>
    </w:p>
    <w:p w14:paraId="4F880BF4" w14:textId="77777777" w:rsidR="008E5242" w:rsidRDefault="008E5242" w:rsidP="001952AB">
      <w:pPr>
        <w:pStyle w:val="IntenseQuote"/>
        <w:spacing w:after="0"/>
      </w:pPr>
      <w:r>
        <w:t>‘</w:t>
      </w:r>
      <w:r w:rsidRPr="00AF4C5F">
        <w:t>Rent and mortgage payments are an absolute non-discretionary – there is no way to reduce them – they are set by an external force and you have to comply or you lose your accommodation. Everything then has to come out of what is left once you have paid your rent or mortgage</w:t>
      </w:r>
      <w:r>
        <w:t>’</w:t>
      </w:r>
      <w:r w:rsidRPr="00AF4C5F">
        <w:t xml:space="preserve"> </w:t>
      </w:r>
    </w:p>
    <w:p w14:paraId="313F7F83" w14:textId="77777777" w:rsidR="008E5242" w:rsidRPr="00AF4C5F" w:rsidRDefault="008E5242" w:rsidP="001952AB">
      <w:pPr>
        <w:pStyle w:val="IntenseQuote"/>
        <w:spacing w:before="0"/>
      </w:pPr>
      <w:r>
        <w:rPr>
          <w:rStyle w:val="Emphasis"/>
          <w:rFonts w:ascii="Calibri" w:hAnsi="Calibri" w:cs="Calibri"/>
        </w:rPr>
        <w:t>—</w:t>
      </w:r>
      <w:r>
        <w:t xml:space="preserve"> </w:t>
      </w:r>
      <w:r w:rsidRPr="00AF4C5F">
        <w:t>Program Manager, Financial Counse</w:t>
      </w:r>
      <w:r>
        <w:t>l</w:t>
      </w:r>
      <w:r w:rsidRPr="00AF4C5F">
        <w:t xml:space="preserve">ling </w:t>
      </w:r>
    </w:p>
    <w:p w14:paraId="6C0B7F55" w14:textId="77777777" w:rsidR="008E5242" w:rsidRPr="00647CA7" w:rsidRDefault="008E5242" w:rsidP="001952AB">
      <w:pPr>
        <w:pStyle w:val="Heading3"/>
      </w:pPr>
      <w:bookmarkStart w:id="25" w:name="_Toc179382431"/>
      <w:r>
        <w:t xml:space="preserve">Families in the rental market </w:t>
      </w:r>
    </w:p>
    <w:bookmarkEnd w:id="25"/>
    <w:p w14:paraId="1020C94E" w14:textId="77777777" w:rsidR="008E5242" w:rsidRDefault="008E5242" w:rsidP="001952AB">
      <w:pPr>
        <w:rPr>
          <w:rFonts w:ascii="Avenir Next LT Pro" w:hAnsi="Avenir Next LT Pro"/>
          <w:color w:val="575F61"/>
          <w:lang w:val="en-GB"/>
        </w:rPr>
      </w:pPr>
      <w:r>
        <w:rPr>
          <w:rFonts w:ascii="Avenir Next LT Pro" w:hAnsi="Avenir Next LT Pro"/>
          <w:color w:val="575F61"/>
          <w:lang w:val="en-GB"/>
        </w:rPr>
        <w:t>Staff reported numerous examples of families facing rent increases that placed them into rental stress and reduced their capacity to afford material basics.</w:t>
      </w:r>
    </w:p>
    <w:p w14:paraId="7E577D97" w14:textId="77777777" w:rsidR="00167E8A" w:rsidRDefault="00DA411B" w:rsidP="001952AB">
      <w:pPr>
        <w:spacing w:after="0"/>
        <w:rPr>
          <w:rFonts w:ascii="Avenir Next LT Pro" w:hAnsi="Avenir Next LT Pro"/>
          <w:b/>
          <w:color w:val="575F61"/>
          <w:lang w:val="en-GB"/>
        </w:rPr>
      </w:pPr>
      <w:r w:rsidRPr="00537E8C">
        <w:rPr>
          <w:b/>
          <w:noProof/>
        </w:rPr>
        <w:drawing>
          <wp:inline distT="0" distB="0" distL="0" distR="0" wp14:anchorId="0052241D" wp14:editId="1A19A2C3">
            <wp:extent cx="5828030" cy="3387090"/>
            <wp:effectExtent l="0" t="0" r="1270" b="3810"/>
            <wp:docPr id="107" name="Chart 107" descr="Column graph showing that between August 2023 and August 2024, the vacancy rates for Devonport and Launceston rose, the East Coast stayed the same, and Hobart, Burnie and the West Coast all fell. Nowhere does the rate reach 2% and in many it is less than 1%.">
              <a:extLst xmlns:a="http://schemas.openxmlformats.org/drawingml/2006/main">
                <a:ext uri="{FF2B5EF4-FFF2-40B4-BE49-F238E27FC236}">
                  <a16:creationId xmlns:a16="http://schemas.microsoft.com/office/drawing/2014/main" id="{4E1B366F-B02C-491F-B7DC-F50FF4BAEF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4D77EB1" w14:textId="6485DC0B" w:rsidR="008E5242" w:rsidRDefault="008E5242" w:rsidP="001952AB">
      <w:pPr>
        <w:spacing w:after="0"/>
        <w:rPr>
          <w:rFonts w:ascii="Avenir Next LT Pro" w:hAnsi="Avenir Next LT Pro"/>
          <w:color w:val="575F61"/>
          <w:lang w:val="en-GB"/>
        </w:rPr>
      </w:pPr>
      <w:r w:rsidRPr="00537E8C">
        <w:rPr>
          <w:rFonts w:ascii="Avenir Next LT Pro" w:hAnsi="Avenir Next LT Pro"/>
          <w:b/>
          <w:color w:val="575F61"/>
          <w:lang w:val="en-GB"/>
        </w:rPr>
        <w:t xml:space="preserve">Figure </w:t>
      </w:r>
      <w:r>
        <w:rPr>
          <w:rFonts w:ascii="Avenir Next LT Pro" w:hAnsi="Avenir Next LT Pro"/>
          <w:b/>
          <w:color w:val="575F61"/>
          <w:lang w:val="en-GB"/>
        </w:rPr>
        <w:t>5:</w:t>
      </w:r>
      <w:r>
        <w:rPr>
          <w:rFonts w:ascii="Avenir Next LT Pro" w:hAnsi="Avenir Next LT Pro"/>
          <w:color w:val="575F61"/>
          <w:lang w:val="en-GB"/>
        </w:rPr>
        <w:t xml:space="preserve"> Vacancy rates in Tasmania</w:t>
      </w:r>
    </w:p>
    <w:p w14:paraId="6A241F78" w14:textId="2D8885EA" w:rsidR="008E5242" w:rsidRDefault="008E5242" w:rsidP="001952AB">
      <w:pPr>
        <w:widowControl/>
        <w:autoSpaceDE/>
        <w:autoSpaceDN/>
        <w:spacing w:before="100" w:beforeAutospacing="1"/>
        <w:rPr>
          <w:rFonts w:ascii="Avenir Next LT Pro" w:hAnsi="Avenir Next LT Pro"/>
          <w:color w:val="575F61"/>
          <w:lang w:val="en-GB"/>
        </w:rPr>
      </w:pPr>
      <w:r>
        <w:rPr>
          <w:rFonts w:ascii="Avenir Next LT Pro" w:hAnsi="Avenir Next LT Pro"/>
          <w:color w:val="575F61"/>
          <w:lang w:val="en-GB"/>
        </w:rPr>
        <w:t xml:space="preserve">Source: </w:t>
      </w:r>
      <w:r>
        <w:rPr>
          <w:rFonts w:ascii="Avenir Next LT Pro" w:hAnsi="Avenir Next LT Pro"/>
          <w:noProof/>
          <w:color w:val="575F61"/>
          <w:lang w:val="en-GB"/>
        </w:rPr>
        <w:t>(SQM Research 2024)</w:t>
      </w:r>
    </w:p>
    <w:p w14:paraId="06D83044" w14:textId="77777777" w:rsidR="008E5242" w:rsidRDefault="008E5242" w:rsidP="001952AB">
      <w:pPr>
        <w:widowControl/>
        <w:autoSpaceDE/>
        <w:autoSpaceDN/>
        <w:spacing w:after="100" w:afterAutospacing="1"/>
        <w:rPr>
          <w:rFonts w:ascii="Avenir Next LT Pro" w:hAnsi="Avenir Next LT Pro"/>
          <w:color w:val="575F61"/>
          <w:lang w:val="en-GB"/>
        </w:rPr>
      </w:pPr>
      <w:r w:rsidRPr="00BE08E5">
        <w:rPr>
          <w:rFonts w:ascii="Avenir Next LT Pro" w:hAnsi="Avenir Next LT Pro"/>
          <w:color w:val="575F61"/>
          <w:lang w:val="en-GB"/>
        </w:rPr>
        <w:t>The Tasmanian Housing Strategy recogni</w:t>
      </w:r>
      <w:r>
        <w:rPr>
          <w:rFonts w:ascii="Avenir Next LT Pro" w:hAnsi="Avenir Next LT Pro"/>
          <w:color w:val="575F61"/>
          <w:lang w:val="en-GB"/>
        </w:rPr>
        <w:t>s</w:t>
      </w:r>
      <w:r w:rsidRPr="00BE08E5">
        <w:rPr>
          <w:rFonts w:ascii="Avenir Next LT Pro" w:hAnsi="Avenir Next LT Pro"/>
          <w:color w:val="575F61"/>
          <w:lang w:val="en-GB"/>
        </w:rPr>
        <w:t xml:space="preserve">es </w:t>
      </w:r>
      <w:r>
        <w:rPr>
          <w:rFonts w:ascii="Avenir Next LT Pro" w:hAnsi="Avenir Next LT Pro"/>
          <w:color w:val="575F61"/>
          <w:lang w:val="en-GB"/>
        </w:rPr>
        <w:t>that a</w:t>
      </w:r>
      <w:r w:rsidRPr="00BE08E5">
        <w:rPr>
          <w:rFonts w:ascii="Avenir Next LT Pro" w:hAnsi="Avenir Next LT Pro"/>
          <w:color w:val="575F61"/>
          <w:lang w:val="en-GB"/>
        </w:rPr>
        <w:t xml:space="preserve"> vacancy rat</w:t>
      </w:r>
      <w:r>
        <w:rPr>
          <w:rFonts w:ascii="Avenir Next LT Pro" w:hAnsi="Avenir Next LT Pro"/>
          <w:color w:val="575F61"/>
          <w:lang w:val="en-GB"/>
        </w:rPr>
        <w:t>e</w:t>
      </w:r>
      <w:r w:rsidRPr="00BE08E5">
        <w:rPr>
          <w:rFonts w:ascii="Avenir Next LT Pro" w:hAnsi="Avenir Next LT Pro"/>
          <w:color w:val="575F61"/>
          <w:lang w:val="en-GB"/>
        </w:rPr>
        <w:t xml:space="preserve"> of around 3%</w:t>
      </w:r>
      <w:r>
        <w:rPr>
          <w:rFonts w:ascii="Avenir Next LT Pro" w:hAnsi="Avenir Next LT Pro"/>
          <w:color w:val="575F61"/>
          <w:lang w:val="en-GB"/>
        </w:rPr>
        <w:t xml:space="preserve"> indicates a healthy market in which demand for rental properties and the number of properties available (supply) are roughly in balance</w:t>
      </w:r>
      <w:r>
        <w:rPr>
          <w:rFonts w:ascii="Avenir Next LT Pro" w:hAnsi="Avenir Next LT Pro"/>
          <w:noProof/>
          <w:color w:val="575F61"/>
          <w:lang w:val="en-GB"/>
        </w:rPr>
        <w:t xml:space="preserve"> (Tasmanian Government 2023b)</w:t>
      </w:r>
      <w:r w:rsidRPr="00BE08E5">
        <w:rPr>
          <w:rFonts w:ascii="Avenir Next LT Pro" w:hAnsi="Avenir Next LT Pro"/>
          <w:color w:val="575F61"/>
          <w:lang w:val="en-GB"/>
        </w:rPr>
        <w:t xml:space="preserve">. </w:t>
      </w:r>
      <w:r>
        <w:rPr>
          <w:rFonts w:ascii="Avenir Next LT Pro" w:hAnsi="Avenir Next LT Pro"/>
          <w:color w:val="575F61"/>
          <w:lang w:val="en-GB"/>
        </w:rPr>
        <w:t>V</w:t>
      </w:r>
      <w:r w:rsidRPr="00BE08E5">
        <w:rPr>
          <w:rFonts w:ascii="Avenir Next LT Pro" w:hAnsi="Avenir Next LT Pro"/>
          <w:color w:val="575F61"/>
          <w:lang w:val="en-GB"/>
        </w:rPr>
        <w:t xml:space="preserve">acancy rates </w:t>
      </w:r>
      <w:r>
        <w:rPr>
          <w:rFonts w:ascii="Avenir Next LT Pro" w:hAnsi="Avenir Next LT Pro"/>
          <w:color w:val="575F61"/>
          <w:lang w:val="en-GB"/>
        </w:rPr>
        <w:t xml:space="preserve">in </w:t>
      </w:r>
      <w:r>
        <w:rPr>
          <w:rFonts w:ascii="Avenir Next LT Pro" w:hAnsi="Avenir Next LT Pro"/>
          <w:color w:val="575F61"/>
          <w:lang w:val="en-GB"/>
        </w:rPr>
        <w:lastRenderedPageBreak/>
        <w:t xml:space="preserve">Tasmania remain </w:t>
      </w:r>
      <w:r w:rsidRPr="00BE08E5">
        <w:rPr>
          <w:rFonts w:ascii="Avenir Next LT Pro" w:hAnsi="Avenir Next LT Pro"/>
          <w:color w:val="575F61"/>
          <w:lang w:val="en-GB"/>
        </w:rPr>
        <w:t xml:space="preserve">well below </w:t>
      </w:r>
      <w:r>
        <w:rPr>
          <w:rFonts w:ascii="Avenir Next LT Pro" w:hAnsi="Avenir Next LT Pro"/>
          <w:color w:val="575F61"/>
          <w:lang w:val="en-GB"/>
        </w:rPr>
        <w:t xml:space="preserve">3%, maintaining upward pressure on rents </w:t>
      </w:r>
      <w:r>
        <w:rPr>
          <w:rFonts w:ascii="Avenir Next LT Pro" w:hAnsi="Avenir Next LT Pro"/>
          <w:noProof/>
          <w:color w:val="575F61"/>
          <w:lang w:val="en-GB"/>
        </w:rPr>
        <w:t>(SQM Research 2024)</w:t>
      </w:r>
      <w:r w:rsidRPr="00BE08E5">
        <w:rPr>
          <w:rFonts w:ascii="Avenir Next LT Pro" w:hAnsi="Avenir Next LT Pro"/>
          <w:color w:val="575F61"/>
          <w:lang w:val="en-GB"/>
        </w:rPr>
        <w:t>. In August 2024 vacancy rates</w:t>
      </w:r>
      <w:r>
        <w:rPr>
          <w:rFonts w:ascii="Avenir Next LT Pro" w:hAnsi="Avenir Next LT Pro"/>
          <w:color w:val="575F61"/>
          <w:lang w:val="en-GB"/>
        </w:rPr>
        <w:t xml:space="preserve"> tightened across much of the state and </w:t>
      </w:r>
      <w:r w:rsidRPr="00BE08E5">
        <w:rPr>
          <w:rFonts w:ascii="Avenir Next LT Pro" w:hAnsi="Avenir Next LT Pro"/>
          <w:color w:val="575F61"/>
          <w:lang w:val="en-GB"/>
        </w:rPr>
        <w:t xml:space="preserve">rental prices </w:t>
      </w:r>
      <w:r>
        <w:rPr>
          <w:rFonts w:ascii="Avenir Next LT Pro" w:hAnsi="Avenir Next LT Pro"/>
          <w:color w:val="575F61"/>
          <w:lang w:val="en-GB"/>
        </w:rPr>
        <w:t>have continued</w:t>
      </w:r>
      <w:r w:rsidRPr="00BE08E5">
        <w:rPr>
          <w:rFonts w:ascii="Avenir Next LT Pro" w:hAnsi="Avenir Next LT Pro"/>
          <w:color w:val="575F61"/>
          <w:lang w:val="en-GB"/>
        </w:rPr>
        <w:t xml:space="preserve"> to increase</w:t>
      </w:r>
      <w:r>
        <w:rPr>
          <w:rFonts w:ascii="Avenir Next LT Pro" w:hAnsi="Avenir Next LT Pro"/>
          <w:color w:val="575F61"/>
          <w:lang w:val="en-GB"/>
        </w:rPr>
        <w:t xml:space="preserve"> </w:t>
      </w:r>
      <w:r>
        <w:rPr>
          <w:rFonts w:ascii="Avenir Next LT Pro" w:hAnsi="Avenir Next LT Pro"/>
          <w:noProof/>
          <w:color w:val="575F61"/>
          <w:lang w:val="en-GB"/>
        </w:rPr>
        <w:t>(SQM Research 2024)</w:t>
      </w:r>
      <w:r>
        <w:rPr>
          <w:rFonts w:ascii="Avenir Next LT Pro" w:hAnsi="Avenir Next LT Pro"/>
          <w:color w:val="575F61"/>
          <w:lang w:val="en-GB"/>
        </w:rPr>
        <w:t>.</w:t>
      </w:r>
      <w:r w:rsidRPr="009B33DC">
        <w:rPr>
          <w:rFonts w:ascii="Avenir Next LT Pro" w:hAnsi="Avenir Next LT Pro"/>
          <w:color w:val="575F61"/>
          <w:lang w:val="en-GB"/>
        </w:rPr>
        <w:t xml:space="preserve"> </w:t>
      </w:r>
    </w:p>
    <w:p w14:paraId="2EC042DF" w14:textId="77777777" w:rsidR="008E5242" w:rsidRDefault="008E5242" w:rsidP="001952AB">
      <w:pPr>
        <w:widowControl/>
        <w:autoSpaceDE/>
        <w:autoSpaceDN/>
        <w:spacing w:after="100" w:afterAutospacing="1"/>
        <w:rPr>
          <w:rFonts w:ascii="Avenir Next LT Pro" w:hAnsi="Avenir Next LT Pro"/>
          <w:color w:val="575F61"/>
          <w:lang w:val="en-GB"/>
        </w:rPr>
      </w:pPr>
      <w:r w:rsidRPr="00AA4132">
        <w:rPr>
          <w:rFonts w:ascii="Avenir Next LT Pro" w:hAnsi="Avenir Next LT Pro"/>
          <w:color w:val="575F61"/>
          <w:lang w:val="en-GB"/>
        </w:rPr>
        <w:t>Between 2020 and 2022, weekly rental rates in Tasmania grew 21.5%</w:t>
      </w:r>
      <w:r>
        <w:rPr>
          <w:rFonts w:ascii="Avenir Next LT Pro" w:hAnsi="Avenir Next LT Pro"/>
          <w:color w:val="575F61"/>
          <w:lang w:val="en-GB"/>
        </w:rPr>
        <w:t xml:space="preserve"> </w:t>
      </w:r>
      <w:r>
        <w:rPr>
          <w:rFonts w:ascii="Avenir Next LT Pro" w:hAnsi="Avenir Next LT Pro"/>
          <w:noProof/>
          <w:color w:val="575F61"/>
          <w:lang w:val="en-GB"/>
        </w:rPr>
        <w:t>(SGS Economics &amp; Planning 2023)</w:t>
      </w:r>
      <w:r w:rsidRPr="00AA4132">
        <w:rPr>
          <w:rFonts w:ascii="Avenir Next LT Pro" w:hAnsi="Avenir Next LT Pro"/>
          <w:color w:val="575F61"/>
          <w:lang w:val="en-GB"/>
        </w:rPr>
        <w:t>.</w:t>
      </w:r>
      <w:r>
        <w:rPr>
          <w:rFonts w:ascii="Avenir Next LT Pro" w:hAnsi="Avenir Next LT Pro"/>
          <w:color w:val="575F61"/>
          <w:lang w:val="en-GB"/>
        </w:rPr>
        <w:t xml:space="preserve"> </w:t>
      </w:r>
    </w:p>
    <w:p w14:paraId="3BC50E40" w14:textId="77777777" w:rsidR="008E5242" w:rsidRDefault="008E5242" w:rsidP="001952AB">
      <w:pPr>
        <w:spacing w:before="0"/>
        <w:rPr>
          <w:b/>
          <w:i/>
          <w:color w:val="1598CB"/>
          <w:szCs w:val="24"/>
        </w:rPr>
      </w:pPr>
      <w:r w:rsidRPr="005667EB">
        <w:rPr>
          <w:rFonts w:ascii="Avenir Next LT Pro" w:hAnsi="Avenir Next LT Pro"/>
          <w:b/>
          <w:color w:val="575F61"/>
          <w:lang w:val="en-GB"/>
        </w:rPr>
        <w:t>Rental stress occurs w</w:t>
      </w:r>
      <w:r>
        <w:rPr>
          <w:rFonts w:ascii="Avenir Next LT Pro" w:hAnsi="Avenir Next LT Pro"/>
          <w:b/>
          <w:color w:val="575F61"/>
          <w:lang w:val="en-GB"/>
        </w:rPr>
        <w:t>h</w:t>
      </w:r>
      <w:r w:rsidRPr="005667EB">
        <w:rPr>
          <w:rFonts w:ascii="Avenir Next LT Pro" w:hAnsi="Avenir Next LT Pro"/>
          <w:b/>
          <w:color w:val="575F61"/>
          <w:lang w:val="en-GB"/>
        </w:rPr>
        <w:t>en housing costs are greater than 30% of household income</w:t>
      </w:r>
      <w:r>
        <w:rPr>
          <w:rFonts w:ascii="Avenir Next LT Pro" w:hAnsi="Avenir Next LT Pro"/>
          <w:b/>
          <w:color w:val="575F61"/>
          <w:lang w:val="en-GB"/>
        </w:rPr>
        <w:t xml:space="preserve"> </w:t>
      </w:r>
      <w:r w:rsidRPr="00736249">
        <w:rPr>
          <w:rFonts w:ascii="Avenir Next LT Pro" w:hAnsi="Avenir Next LT Pro"/>
          <w:noProof/>
          <w:color w:val="575F61"/>
          <w:lang w:val="en-GB"/>
        </w:rPr>
        <w:t>(Anglicare Australia 2024)</w:t>
      </w:r>
    </w:p>
    <w:tbl>
      <w:tblPr>
        <w:tblStyle w:val="TableGrid"/>
        <w:tblW w:w="0" w:type="auto"/>
        <w:tblLook w:val="04A0" w:firstRow="1" w:lastRow="0" w:firstColumn="1" w:lastColumn="0" w:noHBand="0" w:noVBand="1"/>
      </w:tblPr>
      <w:tblGrid>
        <w:gridCol w:w="3397"/>
        <w:gridCol w:w="3229"/>
        <w:gridCol w:w="2725"/>
        <w:gridCol w:w="283"/>
        <w:gridCol w:w="306"/>
      </w:tblGrid>
      <w:tr w:rsidR="007E6107" w:rsidRPr="00587CB6" w14:paraId="1ED53404" w14:textId="77777777" w:rsidTr="007E6107">
        <w:tc>
          <w:tcPr>
            <w:tcW w:w="9351" w:type="dxa"/>
            <w:gridSpan w:val="3"/>
            <w:shd w:val="clear" w:color="auto" w:fill="auto"/>
          </w:tcPr>
          <w:p w14:paraId="449BCF77" w14:textId="77777777" w:rsidR="007E6107" w:rsidRPr="00587CB6" w:rsidRDefault="007E6107" w:rsidP="001952AB">
            <w:pPr>
              <w:jc w:val="center"/>
              <w:rPr>
                <w:b/>
                <w:color w:val="1598CB"/>
                <w:sz w:val="28"/>
                <w:szCs w:val="28"/>
              </w:rPr>
            </w:pPr>
            <w:bookmarkStart w:id="26" w:name="_GoBack" w:colFirst="0" w:colLast="2"/>
            <w:r w:rsidRPr="00587CB6">
              <w:rPr>
                <w:b/>
                <w:color w:val="1598CB"/>
                <w:sz w:val="28"/>
                <w:szCs w:val="28"/>
              </w:rPr>
              <w:t xml:space="preserve">Median </w:t>
            </w:r>
            <w:r>
              <w:rPr>
                <w:b/>
                <w:color w:val="1598CB"/>
                <w:sz w:val="28"/>
                <w:szCs w:val="28"/>
              </w:rPr>
              <w:t>w</w:t>
            </w:r>
            <w:r w:rsidRPr="00587CB6">
              <w:rPr>
                <w:b/>
                <w:color w:val="1598CB"/>
                <w:sz w:val="28"/>
                <w:szCs w:val="28"/>
              </w:rPr>
              <w:t xml:space="preserve">eekly </w:t>
            </w:r>
            <w:r>
              <w:rPr>
                <w:b/>
                <w:color w:val="1598CB"/>
                <w:sz w:val="28"/>
                <w:szCs w:val="28"/>
              </w:rPr>
              <w:t>r</w:t>
            </w:r>
            <w:r w:rsidRPr="00587CB6">
              <w:rPr>
                <w:b/>
                <w:color w:val="1598CB"/>
                <w:sz w:val="28"/>
                <w:szCs w:val="28"/>
              </w:rPr>
              <w:t>ent in August 2024</w:t>
            </w:r>
          </w:p>
        </w:tc>
        <w:tc>
          <w:tcPr>
            <w:tcW w:w="283" w:type="dxa"/>
            <w:shd w:val="clear" w:color="auto" w:fill="auto"/>
          </w:tcPr>
          <w:p w14:paraId="2872D0D6" w14:textId="77777777" w:rsidR="007E6107" w:rsidRPr="00587CB6" w:rsidRDefault="007E6107" w:rsidP="001952AB">
            <w:pPr>
              <w:jc w:val="center"/>
              <w:rPr>
                <w:b/>
                <w:color w:val="1598CB"/>
                <w:sz w:val="28"/>
                <w:szCs w:val="28"/>
              </w:rPr>
            </w:pPr>
          </w:p>
        </w:tc>
        <w:tc>
          <w:tcPr>
            <w:tcW w:w="306" w:type="dxa"/>
            <w:shd w:val="clear" w:color="auto" w:fill="auto"/>
          </w:tcPr>
          <w:p w14:paraId="11C071AA" w14:textId="52A9512B" w:rsidR="007E6107" w:rsidRPr="00587CB6" w:rsidRDefault="007E6107" w:rsidP="001952AB">
            <w:pPr>
              <w:jc w:val="center"/>
              <w:rPr>
                <w:b/>
                <w:color w:val="1598CB"/>
                <w:sz w:val="28"/>
                <w:szCs w:val="28"/>
              </w:rPr>
            </w:pPr>
          </w:p>
        </w:tc>
      </w:tr>
      <w:bookmarkEnd w:id="26"/>
      <w:tr w:rsidR="008E5242" w:rsidRPr="00587CB6" w14:paraId="7636E9CB" w14:textId="77777777" w:rsidTr="00DA411B">
        <w:tc>
          <w:tcPr>
            <w:tcW w:w="3397" w:type="dxa"/>
            <w:shd w:val="clear" w:color="auto" w:fill="auto"/>
          </w:tcPr>
          <w:p w14:paraId="74394C33" w14:textId="77777777" w:rsidR="008E5242" w:rsidRPr="00587CB6" w:rsidRDefault="008E5242" w:rsidP="001952AB">
            <w:pPr>
              <w:jc w:val="center"/>
              <w:rPr>
                <w:b/>
                <w:color w:val="1598CB"/>
                <w:sz w:val="28"/>
                <w:szCs w:val="28"/>
              </w:rPr>
            </w:pPr>
            <w:r w:rsidRPr="00587CB6">
              <w:rPr>
                <w:b/>
                <w:color w:val="1598CB"/>
                <w:sz w:val="28"/>
                <w:szCs w:val="28"/>
              </w:rPr>
              <w:t>Hobart</w:t>
            </w:r>
          </w:p>
        </w:tc>
        <w:tc>
          <w:tcPr>
            <w:tcW w:w="3229" w:type="dxa"/>
            <w:shd w:val="clear" w:color="auto" w:fill="auto"/>
          </w:tcPr>
          <w:p w14:paraId="552D3D0F" w14:textId="77777777" w:rsidR="008E5242" w:rsidRPr="00587CB6" w:rsidRDefault="008E5242" w:rsidP="001952AB">
            <w:pPr>
              <w:jc w:val="center"/>
              <w:rPr>
                <w:b/>
                <w:color w:val="1598CB"/>
                <w:sz w:val="28"/>
                <w:szCs w:val="28"/>
              </w:rPr>
            </w:pPr>
            <w:r w:rsidRPr="00587CB6">
              <w:rPr>
                <w:b/>
                <w:color w:val="1598CB"/>
                <w:sz w:val="28"/>
                <w:szCs w:val="28"/>
              </w:rPr>
              <w:t xml:space="preserve">Launceston </w:t>
            </w:r>
          </w:p>
        </w:tc>
        <w:tc>
          <w:tcPr>
            <w:tcW w:w="3314" w:type="dxa"/>
            <w:gridSpan w:val="3"/>
            <w:shd w:val="clear" w:color="auto" w:fill="auto"/>
          </w:tcPr>
          <w:p w14:paraId="438C3E18" w14:textId="77777777" w:rsidR="008E5242" w:rsidRPr="00587CB6" w:rsidRDefault="008E5242" w:rsidP="001952AB">
            <w:pPr>
              <w:jc w:val="center"/>
              <w:rPr>
                <w:b/>
                <w:color w:val="1598CB"/>
                <w:sz w:val="28"/>
                <w:szCs w:val="28"/>
              </w:rPr>
            </w:pPr>
            <w:r w:rsidRPr="00587CB6">
              <w:rPr>
                <w:b/>
                <w:color w:val="1598CB"/>
                <w:sz w:val="28"/>
                <w:szCs w:val="28"/>
              </w:rPr>
              <w:t>Burnie</w:t>
            </w:r>
          </w:p>
        </w:tc>
      </w:tr>
      <w:tr w:rsidR="008E5242" w:rsidRPr="00587CB6" w14:paraId="36FCE331" w14:textId="77777777" w:rsidTr="00DA411B">
        <w:trPr>
          <w:trHeight w:val="792"/>
        </w:trPr>
        <w:tc>
          <w:tcPr>
            <w:tcW w:w="3397" w:type="dxa"/>
            <w:shd w:val="clear" w:color="auto" w:fill="auto"/>
          </w:tcPr>
          <w:p w14:paraId="33B41119" w14:textId="77777777" w:rsidR="008E5242" w:rsidRPr="00587CB6" w:rsidRDefault="008E5242" w:rsidP="001952AB">
            <w:pPr>
              <w:jc w:val="center"/>
              <w:rPr>
                <w:color w:val="1598CB"/>
                <w:sz w:val="40"/>
                <w:szCs w:val="40"/>
              </w:rPr>
            </w:pPr>
            <w:r w:rsidRPr="00587CB6">
              <w:rPr>
                <w:color w:val="1598CB"/>
                <w:sz w:val="40"/>
                <w:szCs w:val="40"/>
              </w:rPr>
              <w:t>$532.73</w:t>
            </w:r>
          </w:p>
          <w:p w14:paraId="45092DA6" w14:textId="77777777" w:rsidR="00F920DB" w:rsidRDefault="008E5242" w:rsidP="00F920DB">
            <w:pPr>
              <w:spacing w:before="0" w:after="0"/>
              <w:jc w:val="center"/>
              <w:rPr>
                <w:b/>
                <w:color w:val="1598CB"/>
                <w:sz w:val="28"/>
                <w:szCs w:val="28"/>
              </w:rPr>
            </w:pPr>
            <w:r w:rsidRPr="00F920DB">
              <w:rPr>
                <w:b/>
                <w:color w:val="1598CB"/>
                <w:sz w:val="28"/>
                <w:szCs w:val="28"/>
              </w:rPr>
              <w:t xml:space="preserve">5.5% higher </w:t>
            </w:r>
          </w:p>
          <w:p w14:paraId="1E00CBC5" w14:textId="2724ACE2" w:rsidR="008E5242" w:rsidRPr="00F920DB" w:rsidRDefault="008E5242" w:rsidP="00F920DB">
            <w:pPr>
              <w:spacing w:before="0" w:after="0"/>
              <w:jc w:val="center"/>
              <w:rPr>
                <w:b/>
                <w:color w:val="1598CB"/>
                <w:sz w:val="28"/>
                <w:szCs w:val="28"/>
              </w:rPr>
            </w:pPr>
            <w:r w:rsidRPr="00F920DB">
              <w:rPr>
                <w:b/>
                <w:color w:val="1598CB"/>
                <w:sz w:val="28"/>
                <w:szCs w:val="28"/>
              </w:rPr>
              <w:t>than in August 2023</w:t>
            </w:r>
          </w:p>
        </w:tc>
        <w:tc>
          <w:tcPr>
            <w:tcW w:w="3229" w:type="dxa"/>
            <w:shd w:val="clear" w:color="auto" w:fill="auto"/>
            <w:vAlign w:val="center"/>
          </w:tcPr>
          <w:p w14:paraId="1F95F652" w14:textId="77777777" w:rsidR="008E5242" w:rsidRPr="00587CB6" w:rsidRDefault="008E5242" w:rsidP="001952AB">
            <w:pPr>
              <w:jc w:val="center"/>
              <w:rPr>
                <w:color w:val="1598CB"/>
                <w:sz w:val="40"/>
                <w:szCs w:val="40"/>
              </w:rPr>
            </w:pPr>
            <w:r w:rsidRPr="00587CB6">
              <w:rPr>
                <w:color w:val="1598CB"/>
                <w:sz w:val="40"/>
                <w:szCs w:val="40"/>
              </w:rPr>
              <w:t>$497.52</w:t>
            </w:r>
          </w:p>
          <w:p w14:paraId="6E63A0AD" w14:textId="77777777" w:rsidR="00F920DB" w:rsidRDefault="008E5242" w:rsidP="00F920DB">
            <w:pPr>
              <w:spacing w:before="0" w:after="0"/>
              <w:jc w:val="center"/>
              <w:rPr>
                <w:b/>
                <w:color w:val="1598CB"/>
                <w:sz w:val="28"/>
                <w:szCs w:val="28"/>
              </w:rPr>
            </w:pPr>
            <w:r w:rsidRPr="00F920DB">
              <w:rPr>
                <w:b/>
                <w:color w:val="1598CB"/>
                <w:sz w:val="28"/>
                <w:szCs w:val="28"/>
              </w:rPr>
              <w:t xml:space="preserve">8% higher </w:t>
            </w:r>
          </w:p>
          <w:p w14:paraId="571772A4" w14:textId="17032308" w:rsidR="008E5242" w:rsidRPr="00C43E6D" w:rsidRDefault="008E5242" w:rsidP="00F920DB">
            <w:pPr>
              <w:spacing w:before="0" w:after="0"/>
              <w:jc w:val="center"/>
              <w:rPr>
                <w:color w:val="1598CB"/>
                <w:sz w:val="40"/>
                <w:szCs w:val="40"/>
              </w:rPr>
            </w:pPr>
            <w:r w:rsidRPr="00F920DB">
              <w:rPr>
                <w:b/>
                <w:color w:val="1598CB"/>
                <w:sz w:val="28"/>
                <w:szCs w:val="28"/>
              </w:rPr>
              <w:t>than in August 2023</w:t>
            </w:r>
          </w:p>
        </w:tc>
        <w:tc>
          <w:tcPr>
            <w:tcW w:w="3314" w:type="dxa"/>
            <w:gridSpan w:val="3"/>
            <w:shd w:val="clear" w:color="auto" w:fill="auto"/>
          </w:tcPr>
          <w:p w14:paraId="3995E907" w14:textId="77777777" w:rsidR="008E5242" w:rsidRDefault="008E5242" w:rsidP="001952AB">
            <w:pPr>
              <w:jc w:val="center"/>
              <w:rPr>
                <w:color w:val="1598CB"/>
                <w:sz w:val="40"/>
                <w:szCs w:val="40"/>
              </w:rPr>
            </w:pPr>
            <w:r w:rsidRPr="00587CB6">
              <w:rPr>
                <w:color w:val="1598CB"/>
                <w:sz w:val="40"/>
                <w:szCs w:val="40"/>
              </w:rPr>
              <w:t>$389.51</w:t>
            </w:r>
          </w:p>
          <w:p w14:paraId="3EF49376" w14:textId="77777777" w:rsidR="00F920DB" w:rsidRDefault="008E5242" w:rsidP="00F920DB">
            <w:pPr>
              <w:spacing w:before="0" w:after="0"/>
              <w:jc w:val="center"/>
              <w:rPr>
                <w:b/>
                <w:color w:val="1598CB"/>
                <w:sz w:val="28"/>
                <w:szCs w:val="28"/>
              </w:rPr>
            </w:pPr>
            <w:r w:rsidRPr="00F920DB">
              <w:rPr>
                <w:b/>
                <w:color w:val="1598CB"/>
                <w:sz w:val="28"/>
                <w:szCs w:val="28"/>
              </w:rPr>
              <w:t xml:space="preserve">9.3% higher </w:t>
            </w:r>
          </w:p>
          <w:p w14:paraId="272379C4" w14:textId="77777777" w:rsidR="00F920DB" w:rsidRDefault="008E5242" w:rsidP="00F920DB">
            <w:pPr>
              <w:spacing w:before="0" w:after="0"/>
              <w:jc w:val="center"/>
              <w:rPr>
                <w:b/>
                <w:color w:val="1598CB"/>
                <w:sz w:val="28"/>
                <w:szCs w:val="28"/>
              </w:rPr>
            </w:pPr>
            <w:r w:rsidRPr="00F920DB">
              <w:rPr>
                <w:b/>
                <w:color w:val="1598CB"/>
                <w:sz w:val="28"/>
                <w:szCs w:val="28"/>
              </w:rPr>
              <w:t xml:space="preserve">than in August 2023 </w:t>
            </w:r>
          </w:p>
          <w:p w14:paraId="47197727" w14:textId="47C9E358" w:rsidR="008E5242" w:rsidRPr="00587CB6" w:rsidRDefault="008E5242" w:rsidP="00F920DB">
            <w:pPr>
              <w:spacing w:before="0" w:after="0"/>
              <w:jc w:val="center"/>
              <w:rPr>
                <w:i/>
                <w:color w:val="FFFFFF" w:themeColor="background1"/>
                <w:sz w:val="18"/>
                <w:szCs w:val="18"/>
              </w:rPr>
            </w:pPr>
            <w:r w:rsidRPr="00F920DB">
              <w:rPr>
                <w:b/>
                <w:color w:val="1598CB"/>
                <w:sz w:val="28"/>
                <w:szCs w:val="28"/>
              </w:rPr>
              <w:t>(SQM Research 2024)</w:t>
            </w:r>
          </w:p>
        </w:tc>
      </w:tr>
    </w:tbl>
    <w:p w14:paraId="1EA4A858" w14:textId="77777777" w:rsidR="008E5242" w:rsidRDefault="008E5242" w:rsidP="001952AB">
      <w:pPr>
        <w:spacing w:before="0"/>
        <w:rPr>
          <w:b/>
          <w:i/>
          <w:color w:val="1598CB"/>
          <w:szCs w:val="24"/>
        </w:rPr>
      </w:pPr>
    </w:p>
    <w:p w14:paraId="2DDAEDC5" w14:textId="77777777" w:rsidR="008E5242" w:rsidRDefault="008E5242" w:rsidP="001952AB">
      <w:pPr>
        <w:pStyle w:val="IntenseQuote"/>
        <w:spacing w:after="0"/>
      </w:pPr>
      <w:r>
        <w:t>‘</w:t>
      </w:r>
      <w:r w:rsidRPr="005C153B">
        <w:t>Increases in rent for pre-existing leases can push people over the edge</w:t>
      </w:r>
      <w:r>
        <w:t>’</w:t>
      </w:r>
    </w:p>
    <w:p w14:paraId="42E06214" w14:textId="77777777" w:rsidR="008E5242" w:rsidRDefault="008E5242" w:rsidP="001952AB">
      <w:pPr>
        <w:pStyle w:val="IntenseQuote"/>
        <w:spacing w:before="0"/>
      </w:pPr>
      <w:r>
        <w:rPr>
          <w:rFonts w:ascii="Calibri" w:hAnsi="Calibri" w:cs="Calibri"/>
        </w:rPr>
        <w:t>—</w:t>
      </w:r>
      <w:r w:rsidRPr="005C153B">
        <w:t xml:space="preserve"> Financial Counse</w:t>
      </w:r>
      <w:r>
        <w:t>l</w:t>
      </w:r>
      <w:r w:rsidRPr="005C153B">
        <w:t>lor</w:t>
      </w:r>
      <w:r>
        <w:t>,</w:t>
      </w:r>
      <w:r w:rsidRPr="005C153B">
        <w:t xml:space="preserve"> Hobart </w:t>
      </w:r>
    </w:p>
    <w:p w14:paraId="351F65FE" w14:textId="77777777" w:rsidR="008E5242" w:rsidRDefault="008E5242" w:rsidP="001952AB">
      <w:pPr>
        <w:widowControl/>
        <w:autoSpaceDE/>
        <w:autoSpaceDN/>
        <w:spacing w:before="100" w:beforeAutospacing="1" w:after="100" w:afterAutospacing="1"/>
        <w:rPr>
          <w:rFonts w:ascii="Avenir Next LT Pro" w:hAnsi="Avenir Next LT Pro"/>
          <w:color w:val="575F61"/>
          <w:lang w:val="en-GB"/>
        </w:rPr>
      </w:pPr>
      <w:r>
        <w:rPr>
          <w:rFonts w:ascii="Avenir Next LT Pro" w:hAnsi="Avenir Next LT Pro"/>
          <w:color w:val="575F61"/>
          <w:lang w:val="en-GB"/>
        </w:rPr>
        <w:t xml:space="preserve">Under current regulations, renting families feel powerless to do anything other than to accept rent hikes. Frontline staff cited examples of families who, when attempting to negotiate on rent increases, were effectively evicted from their homes with no cause after which the property was re-advertised at an even higher rental price. </w:t>
      </w:r>
    </w:p>
    <w:p w14:paraId="10989B1E" w14:textId="77777777" w:rsidR="008E5242" w:rsidRDefault="008E5242" w:rsidP="001952AB">
      <w:pPr>
        <w:pStyle w:val="IntenseQuote"/>
        <w:spacing w:after="0"/>
      </w:pPr>
      <w:r>
        <w:t>‘</w:t>
      </w:r>
      <w:r w:rsidRPr="00AA4132">
        <w:t>Families are being forced to move into places with higher rent that are known to be unaffordable, just to get accommodation</w:t>
      </w:r>
      <w:r>
        <w:t>’</w:t>
      </w:r>
      <w:r w:rsidRPr="00AA4132">
        <w:t xml:space="preserve"> </w:t>
      </w:r>
    </w:p>
    <w:p w14:paraId="49837935" w14:textId="77777777" w:rsidR="008E5242" w:rsidRDefault="008E5242" w:rsidP="001952AB">
      <w:pPr>
        <w:pStyle w:val="IntenseQuote"/>
        <w:spacing w:before="0"/>
      </w:pPr>
      <w:r>
        <w:rPr>
          <w:rFonts w:ascii="Calibri" w:hAnsi="Calibri" w:cs="Calibri"/>
        </w:rPr>
        <w:t>—</w:t>
      </w:r>
      <w:r w:rsidRPr="00AA4132">
        <w:t xml:space="preserve"> Financial Counsel</w:t>
      </w:r>
      <w:r>
        <w:t>l</w:t>
      </w:r>
      <w:r w:rsidRPr="00AA4132">
        <w:t xml:space="preserve">or, Launceston </w:t>
      </w:r>
    </w:p>
    <w:p w14:paraId="53CDBFA4" w14:textId="77777777" w:rsidR="008E5242" w:rsidRPr="00C43E6D" w:rsidRDefault="008E5242" w:rsidP="001952AB">
      <w:pPr>
        <w:widowControl/>
        <w:autoSpaceDE/>
        <w:autoSpaceDN/>
        <w:spacing w:before="100" w:beforeAutospacing="1"/>
        <w:rPr>
          <w:rFonts w:ascii="Avenir Next LT Pro" w:hAnsi="Avenir Next LT Pro"/>
          <w:color w:val="575F61"/>
          <w:lang w:val="en-GB"/>
        </w:rPr>
      </w:pPr>
      <w:r w:rsidRPr="00C43E6D">
        <w:rPr>
          <w:rFonts w:ascii="Avenir Next LT Pro" w:hAnsi="Avenir Next LT Pro"/>
          <w:color w:val="575F61"/>
          <w:lang w:val="en-GB"/>
        </w:rPr>
        <w:t xml:space="preserve">We </w:t>
      </w:r>
      <w:r>
        <w:rPr>
          <w:rFonts w:ascii="Avenir Next LT Pro" w:hAnsi="Avenir Next LT Pro"/>
          <w:color w:val="575F61"/>
          <w:lang w:val="en-GB"/>
        </w:rPr>
        <w:t>urge</w:t>
      </w:r>
      <w:r w:rsidRPr="00C43E6D">
        <w:rPr>
          <w:rFonts w:ascii="Avenir Next LT Pro" w:hAnsi="Avenir Next LT Pro"/>
          <w:color w:val="575F61"/>
          <w:lang w:val="en-GB"/>
        </w:rPr>
        <w:t xml:space="preserve"> the Tasmanian Government </w:t>
      </w:r>
      <w:r>
        <w:rPr>
          <w:rFonts w:ascii="Avenir Next LT Pro" w:hAnsi="Avenir Next LT Pro"/>
          <w:color w:val="575F61"/>
          <w:lang w:val="en-GB"/>
        </w:rPr>
        <w:t>to improve security for renting</w:t>
      </w:r>
      <w:r w:rsidRPr="00C43E6D">
        <w:rPr>
          <w:rFonts w:ascii="Avenir Next LT Pro" w:hAnsi="Avenir Next LT Pro"/>
          <w:color w:val="575F61"/>
          <w:lang w:val="en-GB"/>
        </w:rPr>
        <w:t xml:space="preserve"> </w:t>
      </w:r>
      <w:r>
        <w:rPr>
          <w:rFonts w:ascii="Avenir Next LT Pro" w:hAnsi="Avenir Next LT Pro"/>
          <w:color w:val="575F61"/>
          <w:lang w:val="en-GB"/>
        </w:rPr>
        <w:t>families, including amending legislation to ban</w:t>
      </w:r>
      <w:r w:rsidRPr="00C43E6D">
        <w:rPr>
          <w:rFonts w:ascii="Avenir Next LT Pro" w:hAnsi="Avenir Next LT Pro"/>
          <w:color w:val="575F61"/>
          <w:lang w:val="en-GB"/>
        </w:rPr>
        <w:t xml:space="preserve"> no cause evictions, and limit the frequency and amount by which rents can be increased.</w:t>
      </w:r>
      <w:r>
        <w:rPr>
          <w:rFonts w:ascii="Avenir Next LT Pro" w:hAnsi="Avenir Next LT Pro"/>
          <w:color w:val="575F61"/>
          <w:lang w:val="en-GB"/>
        </w:rPr>
        <w:t xml:space="preserve"> </w:t>
      </w:r>
    </w:p>
    <w:p w14:paraId="173DEB2B" w14:textId="77777777" w:rsidR="008E5242" w:rsidRDefault="008E5242" w:rsidP="001952AB">
      <w:pPr>
        <w:pStyle w:val="Heading3"/>
      </w:pPr>
      <w:r>
        <w:t xml:space="preserve">Families with a mortgage </w:t>
      </w:r>
    </w:p>
    <w:p w14:paraId="3D739C60" w14:textId="77777777" w:rsidR="008E5242" w:rsidRDefault="008E5242" w:rsidP="001952AB">
      <w:pPr>
        <w:rPr>
          <w:rFonts w:ascii="Avenir Next LT Pro" w:hAnsi="Avenir Next LT Pro"/>
          <w:color w:val="575F61"/>
          <w:lang w:val="en-GB"/>
        </w:rPr>
      </w:pPr>
      <w:r w:rsidRPr="00BE08E5">
        <w:rPr>
          <w:rFonts w:ascii="Avenir Next LT Pro" w:hAnsi="Avenir Next LT Pro"/>
          <w:color w:val="575F61"/>
          <w:lang w:val="en-GB"/>
        </w:rPr>
        <w:t xml:space="preserve">Financial </w:t>
      </w:r>
      <w:r>
        <w:rPr>
          <w:rFonts w:ascii="Avenir Next LT Pro" w:hAnsi="Avenir Next LT Pro"/>
          <w:color w:val="575F61"/>
          <w:lang w:val="en-GB"/>
        </w:rPr>
        <w:t>C</w:t>
      </w:r>
      <w:r w:rsidRPr="00BE08E5">
        <w:rPr>
          <w:rFonts w:ascii="Avenir Next LT Pro" w:hAnsi="Avenir Next LT Pro"/>
          <w:color w:val="575F61"/>
          <w:lang w:val="en-GB"/>
        </w:rPr>
        <w:t xml:space="preserve">ounsellors </w:t>
      </w:r>
      <w:r>
        <w:rPr>
          <w:rFonts w:ascii="Avenir Next LT Pro" w:hAnsi="Avenir Next LT Pro"/>
          <w:color w:val="575F61"/>
          <w:lang w:val="en-GB"/>
        </w:rPr>
        <w:t>are now reporting</w:t>
      </w:r>
      <w:r w:rsidRPr="00BE08E5">
        <w:rPr>
          <w:rFonts w:ascii="Avenir Next LT Pro" w:hAnsi="Avenir Next LT Pro"/>
          <w:color w:val="575F61"/>
          <w:lang w:val="en-GB"/>
        </w:rPr>
        <w:t xml:space="preserve"> seeing more families in mortgage stress</w:t>
      </w:r>
      <w:r>
        <w:rPr>
          <w:rFonts w:ascii="Avenir Next LT Pro" w:hAnsi="Avenir Next LT Pro"/>
          <w:color w:val="575F61"/>
          <w:lang w:val="en-GB"/>
        </w:rPr>
        <w:t>, and are expecting this to increase over the next year</w:t>
      </w:r>
      <w:r w:rsidRPr="00BE08E5">
        <w:rPr>
          <w:rFonts w:ascii="Avenir Next LT Pro" w:hAnsi="Avenir Next LT Pro"/>
          <w:color w:val="575F61"/>
          <w:lang w:val="en-GB"/>
        </w:rPr>
        <w:t xml:space="preserve">. </w:t>
      </w:r>
    </w:p>
    <w:p w14:paraId="1742DADB" w14:textId="77777777" w:rsidR="008E5242" w:rsidRDefault="008E5242" w:rsidP="001952AB">
      <w:pPr>
        <w:pStyle w:val="IntenseQuote"/>
        <w:spacing w:after="0"/>
      </w:pPr>
      <w:r>
        <w:t>‘</w:t>
      </w:r>
      <w:r w:rsidRPr="00C43E6D">
        <w:t xml:space="preserve">We always assume people with mortgages are financially okay – that isn’t the case </w:t>
      </w:r>
      <w:r w:rsidRPr="00C43E6D">
        <w:lastRenderedPageBreak/>
        <w:t>anymore</w:t>
      </w:r>
      <w:r>
        <w:t>’</w:t>
      </w:r>
      <w:r w:rsidRPr="00C43E6D">
        <w:t xml:space="preserve"> </w:t>
      </w:r>
    </w:p>
    <w:p w14:paraId="7AD2BE13" w14:textId="77777777" w:rsidR="008E5242" w:rsidRPr="00C43E6D" w:rsidRDefault="008E5242" w:rsidP="001952AB">
      <w:pPr>
        <w:pStyle w:val="IntenseQuote"/>
        <w:spacing w:before="0"/>
      </w:pPr>
      <w:r w:rsidRPr="00C43E6D">
        <w:t xml:space="preserve">– Financial Counsellor, </w:t>
      </w:r>
      <w:r>
        <w:t>S</w:t>
      </w:r>
      <w:r w:rsidRPr="00872FDC">
        <w:t>or</w:t>
      </w:r>
      <w:r>
        <w:t>ell</w:t>
      </w:r>
    </w:p>
    <w:p w14:paraId="01D2D9CA" w14:textId="77777777" w:rsidR="008E5242" w:rsidRPr="005B0A1A" w:rsidRDefault="008E5242" w:rsidP="001952AB">
      <w:pPr>
        <w:rPr>
          <w:rFonts w:ascii="Avenir Next LT Pro" w:hAnsi="Avenir Next LT Pro"/>
          <w:color w:val="575F61"/>
          <w:lang w:val="en-GB"/>
        </w:rPr>
      </w:pPr>
      <w:r w:rsidRPr="007B2C94">
        <w:rPr>
          <w:rFonts w:ascii="Avenir Next LT Pro" w:hAnsi="Avenir Next LT Pro"/>
          <w:b/>
          <w:color w:val="575F61"/>
          <w:lang w:val="en-GB"/>
        </w:rPr>
        <w:t xml:space="preserve">The </w:t>
      </w:r>
      <w:r w:rsidRPr="005B0A1A">
        <w:rPr>
          <w:rFonts w:ascii="Avenir Next LT Pro" w:hAnsi="Avenir Next LT Pro"/>
          <w:b/>
          <w:color w:val="575F61"/>
          <w:lang w:val="en-GB"/>
        </w:rPr>
        <w:t>fixed-term delay</w:t>
      </w:r>
      <w:r w:rsidRPr="007B2C94">
        <w:rPr>
          <w:rFonts w:ascii="Avenir Next LT Pro" w:hAnsi="Avenir Next LT Pro"/>
          <w:b/>
          <w:color w:val="575F61"/>
          <w:lang w:val="en-GB"/>
        </w:rPr>
        <w:t xml:space="preserve"> is important to understanding why some families are experiencing the full brunt of the cost of living crisis in 2024, rather than when interest rates began increasing in 2022.</w:t>
      </w:r>
    </w:p>
    <w:p w14:paraId="10F9C9AA" w14:textId="77777777" w:rsidR="008E5242" w:rsidRDefault="008E5242" w:rsidP="001952AB">
      <w:pPr>
        <w:rPr>
          <w:rFonts w:ascii="Avenir Next LT Pro" w:hAnsi="Avenir Next LT Pro"/>
          <w:color w:val="575F61"/>
          <w:lang w:val="en-GB"/>
        </w:rPr>
      </w:pPr>
      <w:r>
        <w:rPr>
          <w:rFonts w:ascii="Avenir Next LT Pro" w:hAnsi="Avenir Next LT Pro"/>
          <w:color w:val="575F61"/>
          <w:lang w:val="en-GB"/>
        </w:rPr>
        <w:t>B</w:t>
      </w:r>
      <w:r w:rsidRPr="00036B0A">
        <w:rPr>
          <w:rFonts w:ascii="Avenir Next LT Pro" w:hAnsi="Avenir Next LT Pro"/>
          <w:color w:val="575F61"/>
          <w:lang w:val="en-GB"/>
        </w:rPr>
        <w:t xml:space="preserve">etween 2020 </w:t>
      </w:r>
      <w:r>
        <w:rPr>
          <w:rFonts w:ascii="Avenir Next LT Pro" w:hAnsi="Avenir Next LT Pro"/>
          <w:color w:val="575F61"/>
          <w:lang w:val="en-GB"/>
        </w:rPr>
        <w:t xml:space="preserve">and </w:t>
      </w:r>
      <w:r w:rsidRPr="00036B0A">
        <w:rPr>
          <w:rFonts w:ascii="Avenir Next LT Pro" w:hAnsi="Avenir Next LT Pro"/>
          <w:color w:val="575F61"/>
          <w:lang w:val="en-GB"/>
        </w:rPr>
        <w:t xml:space="preserve">2022, </w:t>
      </w:r>
      <w:r>
        <w:rPr>
          <w:rFonts w:ascii="Avenir Next LT Pro" w:hAnsi="Avenir Next LT Pro"/>
          <w:color w:val="575F61"/>
          <w:lang w:val="en-GB"/>
        </w:rPr>
        <w:t xml:space="preserve">most new home buyers </w:t>
      </w:r>
      <w:r w:rsidRPr="00036B0A">
        <w:rPr>
          <w:rFonts w:ascii="Avenir Next LT Pro" w:hAnsi="Avenir Next LT Pro"/>
          <w:color w:val="575F61"/>
          <w:lang w:val="en-GB"/>
        </w:rPr>
        <w:t>took out loans with fixed rates of around 2</w:t>
      </w:r>
      <w:r>
        <w:rPr>
          <w:rFonts w:ascii="Avenir Next LT Pro" w:hAnsi="Avenir Next LT Pro"/>
          <w:color w:val="575F61"/>
          <w:lang w:val="en-GB"/>
        </w:rPr>
        <w:t xml:space="preserve">% to </w:t>
      </w:r>
      <w:r w:rsidRPr="00036B0A">
        <w:rPr>
          <w:rFonts w:ascii="Avenir Next LT Pro" w:hAnsi="Avenir Next LT Pro"/>
          <w:color w:val="575F61"/>
          <w:lang w:val="en-GB"/>
        </w:rPr>
        <w:t>2.5</w:t>
      </w:r>
      <w:r>
        <w:rPr>
          <w:rFonts w:ascii="Avenir Next LT Pro" w:hAnsi="Avenir Next LT Pro"/>
          <w:color w:val="575F61"/>
          <w:lang w:val="en-GB"/>
        </w:rPr>
        <w:t>%. Many households also refinanced their mortgages to take advantage of low interest rates. I</w:t>
      </w:r>
      <w:r w:rsidRPr="00036B0A">
        <w:rPr>
          <w:rFonts w:ascii="Avenir Next LT Pro" w:hAnsi="Avenir Next LT Pro"/>
          <w:color w:val="575F61"/>
          <w:lang w:val="en-GB"/>
        </w:rPr>
        <w:t xml:space="preserve">n 2022 almost 40% </w:t>
      </w:r>
      <w:r>
        <w:rPr>
          <w:rFonts w:ascii="Avenir Next LT Pro" w:hAnsi="Avenir Next LT Pro"/>
          <w:color w:val="575F61"/>
          <w:lang w:val="en-GB"/>
        </w:rPr>
        <w:t xml:space="preserve">of all loan were on </w:t>
      </w:r>
      <w:r w:rsidRPr="00036B0A">
        <w:rPr>
          <w:rFonts w:ascii="Avenir Next LT Pro" w:hAnsi="Avenir Next LT Pro"/>
          <w:color w:val="575F61"/>
          <w:lang w:val="en-GB"/>
        </w:rPr>
        <w:t>fixed term rates, as compared to around 20% in 2020</w:t>
      </w:r>
      <w:r>
        <w:rPr>
          <w:rFonts w:ascii="Avenir Next LT Pro" w:hAnsi="Avenir Next LT Pro"/>
          <w:color w:val="575F61"/>
          <w:lang w:val="en-GB"/>
        </w:rPr>
        <w:t xml:space="preserve"> </w:t>
      </w:r>
      <w:r>
        <w:rPr>
          <w:rFonts w:ascii="Avenir Next LT Pro" w:hAnsi="Avenir Next LT Pro"/>
          <w:noProof/>
          <w:color w:val="575F61"/>
          <w:lang w:val="en-GB"/>
        </w:rPr>
        <w:t>(RBA 2024b; Ung 2024)</w:t>
      </w:r>
      <w:r w:rsidRPr="00036B0A">
        <w:rPr>
          <w:rFonts w:ascii="Avenir Next LT Pro" w:hAnsi="Avenir Next LT Pro"/>
          <w:color w:val="575F61"/>
          <w:lang w:val="en-GB"/>
        </w:rPr>
        <w:t>.</w:t>
      </w:r>
      <w:r>
        <w:rPr>
          <w:rFonts w:ascii="Avenir Next LT Pro" w:hAnsi="Avenir Next LT Pro"/>
          <w:color w:val="575F61"/>
          <w:lang w:val="en-GB"/>
        </w:rPr>
        <w:t xml:space="preserve"> </w:t>
      </w:r>
    </w:p>
    <w:p w14:paraId="59BA49D6" w14:textId="77777777" w:rsidR="008E5242" w:rsidRPr="0035242E" w:rsidRDefault="008E5242" w:rsidP="001952AB">
      <w:pPr>
        <w:rPr>
          <w:rFonts w:ascii="Avenir Next LT Pro" w:hAnsi="Avenir Next LT Pro"/>
          <w:color w:val="575F61"/>
          <w:lang w:val="en-GB"/>
        </w:rPr>
      </w:pPr>
      <w:r w:rsidRPr="0035242E">
        <w:rPr>
          <w:rFonts w:ascii="Avenir Next LT Pro" w:hAnsi="Avenir Next LT Pro"/>
          <w:color w:val="575F61"/>
          <w:lang w:val="en-GB"/>
        </w:rPr>
        <w:t>These low-rate fixed term loans started to expire in 2024, and will continue expiring over the remainder of the year</w:t>
      </w:r>
      <w:r>
        <w:rPr>
          <w:rFonts w:ascii="Avenir Next LT Pro" w:hAnsi="Avenir Next LT Pro"/>
          <w:color w:val="575F61"/>
          <w:lang w:val="en-GB"/>
        </w:rPr>
        <w:t xml:space="preserve"> </w:t>
      </w:r>
      <w:r>
        <w:rPr>
          <w:rFonts w:ascii="Avenir Next LT Pro" w:hAnsi="Avenir Next LT Pro"/>
          <w:noProof/>
          <w:color w:val="575F61"/>
          <w:lang w:val="en-GB"/>
        </w:rPr>
        <w:t>(Ung 2024)</w:t>
      </w:r>
      <w:r w:rsidRPr="0035242E">
        <w:rPr>
          <w:rFonts w:ascii="Avenir Next LT Pro" w:hAnsi="Avenir Next LT Pro"/>
          <w:color w:val="575F61"/>
          <w:lang w:val="en-GB"/>
        </w:rPr>
        <w:t>. If these fixed</w:t>
      </w:r>
      <w:r>
        <w:rPr>
          <w:rFonts w:ascii="Avenir Next LT Pro" w:hAnsi="Avenir Next LT Pro"/>
          <w:color w:val="575F61"/>
          <w:lang w:val="en-GB"/>
        </w:rPr>
        <w:t xml:space="preserve"> </w:t>
      </w:r>
      <w:r w:rsidRPr="0035242E">
        <w:rPr>
          <w:rFonts w:ascii="Avenir Next LT Pro" w:hAnsi="Avenir Next LT Pro"/>
          <w:color w:val="575F61"/>
          <w:lang w:val="en-GB"/>
        </w:rPr>
        <w:t xml:space="preserve">term loans reprice at the current variable rate, the </w:t>
      </w:r>
      <w:r>
        <w:rPr>
          <w:rFonts w:ascii="Avenir Next LT Pro" w:hAnsi="Avenir Next LT Pro"/>
          <w:color w:val="575F61"/>
          <w:lang w:val="en-GB"/>
        </w:rPr>
        <w:t xml:space="preserve">interest rate on the </w:t>
      </w:r>
      <w:r w:rsidRPr="0035242E">
        <w:rPr>
          <w:rFonts w:ascii="Avenir Next LT Pro" w:hAnsi="Avenir Next LT Pro"/>
          <w:color w:val="575F61"/>
          <w:lang w:val="en-GB"/>
        </w:rPr>
        <w:t xml:space="preserve">average </w:t>
      </w:r>
      <w:r>
        <w:rPr>
          <w:rFonts w:ascii="Avenir Next LT Pro" w:hAnsi="Avenir Next LT Pro"/>
          <w:color w:val="575F61"/>
          <w:lang w:val="en-GB"/>
        </w:rPr>
        <w:t>rollover</w:t>
      </w:r>
      <w:r w:rsidRPr="0035242E">
        <w:rPr>
          <w:rFonts w:ascii="Avenir Next LT Pro" w:hAnsi="Avenir Next LT Pro"/>
          <w:color w:val="575F61"/>
          <w:lang w:val="en-GB"/>
        </w:rPr>
        <w:t xml:space="preserve"> mortgage</w:t>
      </w:r>
      <w:r>
        <w:rPr>
          <w:rFonts w:ascii="Avenir Next LT Pro" w:hAnsi="Avenir Next LT Pro"/>
          <w:color w:val="575F61"/>
          <w:lang w:val="en-GB"/>
        </w:rPr>
        <w:t xml:space="preserve"> </w:t>
      </w:r>
      <w:r w:rsidRPr="0035242E">
        <w:rPr>
          <w:rFonts w:ascii="Avenir Next LT Pro" w:hAnsi="Avenir Next LT Pro"/>
          <w:color w:val="575F61"/>
          <w:lang w:val="en-GB"/>
        </w:rPr>
        <w:t xml:space="preserve">is expected to increase </w:t>
      </w:r>
      <w:r>
        <w:rPr>
          <w:rFonts w:ascii="Avenir Next LT Pro" w:hAnsi="Avenir Next LT Pro"/>
          <w:color w:val="575F61"/>
          <w:lang w:val="en-GB"/>
        </w:rPr>
        <w:t xml:space="preserve">by around 4% pa </w:t>
      </w:r>
      <w:r>
        <w:rPr>
          <w:rFonts w:ascii="Avenir Next LT Pro" w:hAnsi="Avenir Next LT Pro"/>
          <w:noProof/>
          <w:color w:val="575F61"/>
          <w:lang w:val="en-GB"/>
        </w:rPr>
        <w:t>(RBA 2024b)</w:t>
      </w:r>
      <w:r>
        <w:rPr>
          <w:rFonts w:ascii="Avenir Next LT Pro" w:hAnsi="Avenir Next LT Pro"/>
          <w:color w:val="575F61"/>
          <w:lang w:val="en-GB"/>
        </w:rPr>
        <w:t xml:space="preserve">. </w:t>
      </w:r>
    </w:p>
    <w:p w14:paraId="5AAF87BC" w14:textId="77777777" w:rsidR="008E5242" w:rsidRDefault="008E5242" w:rsidP="001952AB">
      <w:pPr>
        <w:rPr>
          <w:rFonts w:ascii="Avenir Next LT Pro" w:hAnsi="Avenir Next LT Pro"/>
          <w:color w:val="575F61"/>
          <w:lang w:val="en-GB"/>
        </w:rPr>
      </w:pPr>
      <w:r>
        <w:rPr>
          <w:rFonts w:ascii="Avenir Next LT Pro" w:hAnsi="Avenir Next LT Pro"/>
          <w:color w:val="575F61"/>
          <w:lang w:val="en-GB"/>
        </w:rPr>
        <w:t>Families</w:t>
      </w:r>
      <w:r w:rsidRPr="00BE08E5">
        <w:rPr>
          <w:rFonts w:ascii="Avenir Next LT Pro" w:hAnsi="Avenir Next LT Pro"/>
          <w:color w:val="575F61"/>
          <w:lang w:val="en-GB"/>
        </w:rPr>
        <w:t xml:space="preserve"> in mortgage stress have little choice but to 'try </w:t>
      </w:r>
      <w:r>
        <w:rPr>
          <w:rFonts w:ascii="Avenir Next LT Pro" w:hAnsi="Avenir Next LT Pro"/>
          <w:color w:val="575F61"/>
          <w:lang w:val="en-GB"/>
        </w:rPr>
        <w:t>to</w:t>
      </w:r>
      <w:r w:rsidRPr="00BE08E5">
        <w:rPr>
          <w:rFonts w:ascii="Avenir Next LT Pro" w:hAnsi="Avenir Next LT Pro"/>
          <w:color w:val="575F61"/>
          <w:lang w:val="en-GB"/>
        </w:rPr>
        <w:t xml:space="preserve"> find the money' for repayments. The alternative is to enter the equally unaffordable rental market</w:t>
      </w:r>
      <w:r>
        <w:rPr>
          <w:rFonts w:ascii="Avenir Next LT Pro" w:hAnsi="Avenir Next LT Pro"/>
          <w:color w:val="575F61"/>
          <w:lang w:val="en-GB"/>
        </w:rPr>
        <w:t>.</w:t>
      </w:r>
      <w:r w:rsidRPr="00BE08E5" w:rsidDel="00B63740">
        <w:rPr>
          <w:rFonts w:ascii="Avenir Next LT Pro" w:hAnsi="Avenir Next LT Pro"/>
          <w:color w:val="575F61"/>
          <w:lang w:val="en-GB"/>
        </w:rPr>
        <w:t xml:space="preserve"> </w:t>
      </w:r>
    </w:p>
    <w:p w14:paraId="1AF70DD7" w14:textId="77777777" w:rsidR="008E5242" w:rsidRDefault="008E5242" w:rsidP="001952AB">
      <w:pPr>
        <w:pStyle w:val="IntenseQuote"/>
        <w:spacing w:after="0"/>
      </w:pPr>
      <w:r>
        <w:t>‘</w:t>
      </w:r>
      <w:r w:rsidRPr="00BE08E5">
        <w:t>Previously we would have recommended selling and moving into a rental, but now that is as much as the mortgage if not more so – it’s not really an option anymore</w:t>
      </w:r>
      <w:r>
        <w:t>’</w:t>
      </w:r>
      <w:r w:rsidRPr="00BE08E5">
        <w:t xml:space="preserve"> </w:t>
      </w:r>
    </w:p>
    <w:p w14:paraId="12DAC315" w14:textId="77777777" w:rsidR="008E5242" w:rsidRPr="00691BD9" w:rsidRDefault="008E5242" w:rsidP="001952AB">
      <w:pPr>
        <w:pStyle w:val="IntenseQuote"/>
        <w:spacing w:before="0"/>
      </w:pPr>
      <w:r w:rsidRPr="00BE08E5">
        <w:t>– Financial Counsel</w:t>
      </w:r>
      <w:r>
        <w:t>l</w:t>
      </w:r>
      <w:r w:rsidRPr="00BE08E5">
        <w:t xml:space="preserve">or, Hobart </w:t>
      </w:r>
    </w:p>
    <w:tbl>
      <w:tblPr>
        <w:tblStyle w:val="TableGrid"/>
        <w:tblpPr w:leftFromText="180" w:rightFromText="180" w:vertAnchor="text" w:horzAnchor="margin" w:tblpY="119"/>
        <w:tblW w:w="0" w:type="auto"/>
        <w:tblLook w:val="04A0" w:firstRow="1" w:lastRow="0" w:firstColumn="1" w:lastColumn="0" w:noHBand="0" w:noVBand="1"/>
      </w:tblPr>
      <w:tblGrid>
        <w:gridCol w:w="9940"/>
      </w:tblGrid>
      <w:tr w:rsidR="008E5242" w14:paraId="66323EEB" w14:textId="77777777" w:rsidTr="00DA411B">
        <w:tc>
          <w:tcPr>
            <w:tcW w:w="9940" w:type="dxa"/>
            <w:shd w:val="clear" w:color="auto" w:fill="auto"/>
          </w:tcPr>
          <w:p w14:paraId="6D7AA52A" w14:textId="77777777" w:rsidR="008E5242" w:rsidRPr="0035242E" w:rsidRDefault="008E5242" w:rsidP="001952AB">
            <w:pPr>
              <w:rPr>
                <w:rFonts w:ascii="Avenir Next LT Pro" w:hAnsi="Avenir Next LT Pro"/>
                <w:b/>
                <w:color w:val="575F61"/>
                <w:lang w:val="en-GB"/>
              </w:rPr>
            </w:pPr>
            <w:r w:rsidRPr="0035242E">
              <w:rPr>
                <w:rFonts w:ascii="Avenir Next LT Pro" w:hAnsi="Avenir Next LT Pro"/>
                <w:b/>
                <w:color w:val="575F61"/>
                <w:lang w:val="en-GB"/>
              </w:rPr>
              <w:t>An example of the fixed term delay</w:t>
            </w:r>
          </w:p>
          <w:p w14:paraId="151F205D" w14:textId="77777777" w:rsidR="008E5242" w:rsidRPr="0035242E" w:rsidRDefault="008E5242" w:rsidP="001952AB">
            <w:pPr>
              <w:rPr>
                <w:rFonts w:ascii="Avenir Next LT Pro" w:hAnsi="Avenir Next LT Pro"/>
                <w:color w:val="575F61"/>
                <w:lang w:val="en-GB"/>
              </w:rPr>
            </w:pPr>
            <w:r w:rsidRPr="0035242E">
              <w:rPr>
                <w:rFonts w:ascii="Avenir Next LT Pro" w:hAnsi="Avenir Next LT Pro"/>
                <w:color w:val="575F61"/>
                <w:lang w:val="en-GB"/>
              </w:rPr>
              <w:t>The mean price for a home in Tasmania in December 2021 was $649,200</w:t>
            </w:r>
            <w:r>
              <w:rPr>
                <w:rFonts w:ascii="Avenir Next LT Pro" w:hAnsi="Avenir Next LT Pro"/>
                <w:noProof/>
                <w:color w:val="575F61"/>
                <w:lang w:val="en-GB"/>
              </w:rPr>
              <w:t xml:space="preserve"> (ABS 2021a)</w:t>
            </w:r>
            <w:r w:rsidRPr="0035242E">
              <w:rPr>
                <w:rFonts w:ascii="Avenir Next LT Pro" w:hAnsi="Avenir Next LT Pro"/>
                <w:color w:val="575F61"/>
                <w:lang w:val="en-GB"/>
              </w:rPr>
              <w:t xml:space="preserve">. </w:t>
            </w:r>
          </w:p>
          <w:p w14:paraId="66295D09" w14:textId="77777777" w:rsidR="008E5242" w:rsidRPr="0035242E" w:rsidRDefault="008E5242" w:rsidP="001952AB">
            <w:pPr>
              <w:rPr>
                <w:rFonts w:ascii="Avenir Next LT Pro" w:hAnsi="Avenir Next LT Pro"/>
                <w:color w:val="575F61"/>
                <w:lang w:val="en-GB"/>
              </w:rPr>
            </w:pPr>
            <w:r w:rsidRPr="0035242E">
              <w:rPr>
                <w:rFonts w:ascii="Avenir Next LT Pro" w:hAnsi="Avenir Next LT Pro"/>
                <w:color w:val="575F61"/>
                <w:lang w:val="en-GB"/>
              </w:rPr>
              <w:t xml:space="preserve">If </w:t>
            </w:r>
            <w:r>
              <w:rPr>
                <w:rFonts w:ascii="Avenir Next LT Pro" w:hAnsi="Avenir Next LT Pro"/>
                <w:color w:val="575F61"/>
                <w:lang w:val="en-GB"/>
              </w:rPr>
              <w:t>a family</w:t>
            </w:r>
            <w:r w:rsidRPr="0035242E">
              <w:rPr>
                <w:rFonts w:ascii="Avenir Next LT Pro" w:hAnsi="Avenir Next LT Pro"/>
                <w:color w:val="575F61"/>
                <w:lang w:val="en-GB"/>
              </w:rPr>
              <w:t xml:space="preserve"> purchased </w:t>
            </w:r>
            <w:r>
              <w:rPr>
                <w:rFonts w:ascii="Avenir Next LT Pro" w:hAnsi="Avenir Next LT Pro"/>
                <w:color w:val="575F61"/>
                <w:lang w:val="en-GB"/>
              </w:rPr>
              <w:t>their</w:t>
            </w:r>
            <w:r w:rsidRPr="0035242E">
              <w:rPr>
                <w:rFonts w:ascii="Avenir Next LT Pro" w:hAnsi="Avenir Next LT Pro"/>
                <w:color w:val="575F61"/>
                <w:lang w:val="en-GB"/>
              </w:rPr>
              <w:t xml:space="preserve"> home with a 20% down payment totalling $129,840</w:t>
            </w:r>
            <w:r>
              <w:rPr>
                <w:rFonts w:ascii="Avenir Next LT Pro" w:hAnsi="Avenir Next LT Pro"/>
                <w:color w:val="575F61"/>
                <w:lang w:val="en-GB"/>
              </w:rPr>
              <w:t>,</w:t>
            </w:r>
            <w:r w:rsidRPr="0035242E">
              <w:rPr>
                <w:rFonts w:ascii="Avenir Next LT Pro" w:hAnsi="Avenir Next LT Pro"/>
                <w:color w:val="575F61"/>
                <w:lang w:val="en-GB"/>
              </w:rPr>
              <w:t xml:space="preserve"> </w:t>
            </w:r>
            <w:r>
              <w:rPr>
                <w:rFonts w:ascii="Avenir Next LT Pro" w:hAnsi="Avenir Next LT Pro"/>
                <w:color w:val="575F61"/>
                <w:lang w:val="en-GB"/>
              </w:rPr>
              <w:t>they</w:t>
            </w:r>
            <w:r w:rsidRPr="0035242E">
              <w:rPr>
                <w:rFonts w:ascii="Avenir Next LT Pro" w:hAnsi="Avenir Next LT Pro"/>
                <w:color w:val="575F61"/>
                <w:lang w:val="en-GB"/>
              </w:rPr>
              <w:t xml:space="preserve"> would have borrowed $519,360 from the bank. </w:t>
            </w:r>
          </w:p>
          <w:p w14:paraId="5BE30686" w14:textId="77777777" w:rsidR="008E5242" w:rsidRPr="0035242E" w:rsidRDefault="008E5242" w:rsidP="001952AB">
            <w:pPr>
              <w:rPr>
                <w:rFonts w:ascii="Avenir Next LT Pro" w:hAnsi="Avenir Next LT Pro"/>
                <w:color w:val="575F61"/>
                <w:lang w:val="en-GB"/>
              </w:rPr>
            </w:pPr>
            <w:r>
              <w:rPr>
                <w:rFonts w:ascii="Avenir Next LT Pro" w:hAnsi="Avenir Next LT Pro"/>
                <w:color w:val="575F61"/>
                <w:lang w:val="en-GB"/>
              </w:rPr>
              <w:t>A loan with a</w:t>
            </w:r>
            <w:r w:rsidRPr="0035242E">
              <w:rPr>
                <w:rFonts w:ascii="Avenir Next LT Pro" w:hAnsi="Avenir Next LT Pro"/>
                <w:color w:val="575F61"/>
                <w:lang w:val="en-GB"/>
              </w:rPr>
              <w:t xml:space="preserve"> fixed rate </w:t>
            </w:r>
            <w:r>
              <w:rPr>
                <w:rFonts w:ascii="Avenir Next LT Pro" w:hAnsi="Avenir Next LT Pro"/>
                <w:color w:val="575F61"/>
                <w:lang w:val="en-GB"/>
              </w:rPr>
              <w:t>of</w:t>
            </w:r>
            <w:r w:rsidRPr="0035242E">
              <w:rPr>
                <w:rFonts w:ascii="Avenir Next LT Pro" w:hAnsi="Avenir Next LT Pro"/>
                <w:color w:val="575F61"/>
                <w:lang w:val="en-GB"/>
              </w:rPr>
              <w:t xml:space="preserve"> 2.5%</w:t>
            </w:r>
            <w:r>
              <w:rPr>
                <w:rFonts w:ascii="Avenir Next LT Pro" w:hAnsi="Avenir Next LT Pro"/>
                <w:color w:val="575F61"/>
                <w:lang w:val="en-GB"/>
              </w:rPr>
              <w:t xml:space="preserve"> pa would have a minimum monthly repayment of $2,053 for the period of the fixed rate contract. </w:t>
            </w:r>
          </w:p>
          <w:p w14:paraId="2F7E1DDE" w14:textId="77777777" w:rsidR="008E5242" w:rsidRPr="0035242E" w:rsidRDefault="008E5242" w:rsidP="001952AB">
            <w:pPr>
              <w:rPr>
                <w:rFonts w:ascii="Avenir Next LT Pro" w:hAnsi="Avenir Next LT Pro"/>
                <w:color w:val="575F61"/>
                <w:lang w:val="en-GB"/>
              </w:rPr>
            </w:pPr>
            <w:r w:rsidRPr="0035242E">
              <w:rPr>
                <w:rFonts w:ascii="Avenir Next LT Pro" w:hAnsi="Avenir Next LT Pro"/>
                <w:color w:val="575F61"/>
                <w:lang w:val="en-GB"/>
              </w:rPr>
              <w:t>I</w:t>
            </w:r>
            <w:r>
              <w:rPr>
                <w:rFonts w:ascii="Avenir Next LT Pro" w:hAnsi="Avenir Next LT Pro"/>
                <w:color w:val="575F61"/>
                <w:lang w:val="en-GB"/>
              </w:rPr>
              <w:t>f the term of the contract is 2 years, from</w:t>
            </w:r>
            <w:r w:rsidRPr="0035242E">
              <w:rPr>
                <w:rFonts w:ascii="Avenir Next LT Pro" w:hAnsi="Avenir Next LT Pro"/>
                <w:color w:val="575F61"/>
                <w:lang w:val="en-GB"/>
              </w:rPr>
              <w:t xml:space="preserve"> December 2023</w:t>
            </w:r>
            <w:r>
              <w:rPr>
                <w:rFonts w:ascii="Avenir Next LT Pro" w:hAnsi="Avenir Next LT Pro"/>
                <w:color w:val="575F61"/>
                <w:lang w:val="en-GB"/>
              </w:rPr>
              <w:t xml:space="preserve"> the interest on the loan would be charged at the variable rate of </w:t>
            </w:r>
            <w:r w:rsidRPr="0035242E">
              <w:rPr>
                <w:rFonts w:ascii="Avenir Next LT Pro" w:hAnsi="Avenir Next LT Pro"/>
                <w:color w:val="575F61"/>
                <w:lang w:val="en-GB"/>
              </w:rPr>
              <w:t xml:space="preserve">6.5%. </w:t>
            </w:r>
          </w:p>
          <w:p w14:paraId="144CA9AA" w14:textId="77777777" w:rsidR="008E5242" w:rsidRPr="0035242E" w:rsidRDefault="008E5242" w:rsidP="001952AB">
            <w:pPr>
              <w:rPr>
                <w:rFonts w:ascii="Avenir Next LT Pro" w:hAnsi="Avenir Next LT Pro"/>
                <w:color w:val="575F61"/>
                <w:lang w:val="en-GB"/>
              </w:rPr>
            </w:pPr>
            <w:r>
              <w:rPr>
                <w:rFonts w:ascii="Avenir Next LT Pro" w:hAnsi="Avenir Next LT Pro"/>
                <w:color w:val="575F61"/>
                <w:lang w:val="en-GB"/>
              </w:rPr>
              <w:t>This means the family’s</w:t>
            </w:r>
            <w:r w:rsidRPr="0035242E">
              <w:rPr>
                <w:rFonts w:ascii="Avenir Next LT Pro" w:hAnsi="Avenir Next LT Pro"/>
                <w:color w:val="575F61"/>
                <w:lang w:val="en-GB"/>
              </w:rPr>
              <w:t xml:space="preserve"> minimum monthly repayment </w:t>
            </w:r>
            <w:r>
              <w:rPr>
                <w:rFonts w:ascii="Avenir Next LT Pro" w:hAnsi="Avenir Next LT Pro"/>
                <w:color w:val="575F61"/>
                <w:lang w:val="en-GB"/>
              </w:rPr>
              <w:t>would</w:t>
            </w:r>
            <w:r w:rsidRPr="0035242E">
              <w:rPr>
                <w:rFonts w:ascii="Avenir Next LT Pro" w:hAnsi="Avenir Next LT Pro"/>
                <w:color w:val="575F61"/>
                <w:lang w:val="en-GB"/>
              </w:rPr>
              <w:t xml:space="preserve"> increas</w:t>
            </w:r>
            <w:r>
              <w:rPr>
                <w:rFonts w:ascii="Avenir Next LT Pro" w:hAnsi="Avenir Next LT Pro"/>
                <w:color w:val="575F61"/>
                <w:lang w:val="en-GB"/>
              </w:rPr>
              <w:t>e</w:t>
            </w:r>
            <w:r w:rsidRPr="0035242E">
              <w:rPr>
                <w:rFonts w:ascii="Avenir Next LT Pro" w:hAnsi="Avenir Next LT Pro"/>
                <w:color w:val="575F61"/>
                <w:lang w:val="en-GB"/>
              </w:rPr>
              <w:t xml:space="preserve"> to $3,126 per month. </w:t>
            </w:r>
          </w:p>
          <w:p w14:paraId="5C159455" w14:textId="77777777" w:rsidR="008E5242" w:rsidRPr="0035242E" w:rsidRDefault="008E5242" w:rsidP="001952AB">
            <w:pPr>
              <w:rPr>
                <w:rFonts w:ascii="Avenir Next LT Pro" w:hAnsi="Avenir Next LT Pro"/>
                <w:color w:val="575F61"/>
                <w:lang w:val="en-GB"/>
              </w:rPr>
            </w:pPr>
            <w:r w:rsidRPr="0035242E">
              <w:rPr>
                <w:rFonts w:ascii="Avenir Next LT Pro" w:hAnsi="Avenir Next LT Pro"/>
                <w:color w:val="575F61"/>
                <w:lang w:val="en-GB"/>
              </w:rPr>
              <w:t xml:space="preserve">This means every month </w:t>
            </w:r>
            <w:r>
              <w:rPr>
                <w:rFonts w:ascii="Avenir Next LT Pro" w:hAnsi="Avenir Next LT Pro"/>
                <w:color w:val="575F61"/>
                <w:lang w:val="en-GB"/>
              </w:rPr>
              <w:t>the family must</w:t>
            </w:r>
            <w:r w:rsidRPr="0035242E">
              <w:rPr>
                <w:rFonts w:ascii="Avenir Next LT Pro" w:hAnsi="Avenir Next LT Pro"/>
                <w:color w:val="575F61"/>
                <w:lang w:val="en-GB"/>
              </w:rPr>
              <w:t xml:space="preserve"> find </w:t>
            </w:r>
            <w:r w:rsidRPr="00691BD9">
              <w:rPr>
                <w:rFonts w:ascii="Avenir Next LT Pro" w:hAnsi="Avenir Next LT Pro"/>
                <w:b/>
                <w:color w:val="575F61"/>
                <w:lang w:val="en-GB"/>
              </w:rPr>
              <w:t>an extra $1,073</w:t>
            </w:r>
            <w:r w:rsidRPr="0035242E">
              <w:rPr>
                <w:rFonts w:ascii="Avenir Next LT Pro" w:hAnsi="Avenir Next LT Pro"/>
                <w:color w:val="575F61"/>
                <w:lang w:val="en-GB"/>
              </w:rPr>
              <w:t xml:space="preserve"> in </w:t>
            </w:r>
            <w:r>
              <w:rPr>
                <w:rFonts w:ascii="Avenir Next LT Pro" w:hAnsi="Avenir Next LT Pro"/>
                <w:color w:val="575F61"/>
                <w:lang w:val="en-GB"/>
              </w:rPr>
              <w:t>their</w:t>
            </w:r>
            <w:r w:rsidRPr="0035242E">
              <w:rPr>
                <w:rFonts w:ascii="Avenir Next LT Pro" w:hAnsi="Avenir Next LT Pro"/>
                <w:color w:val="575F61"/>
                <w:lang w:val="en-GB"/>
              </w:rPr>
              <w:t xml:space="preserve"> budget to cover the principal and interest on </w:t>
            </w:r>
            <w:r>
              <w:rPr>
                <w:rFonts w:ascii="Avenir Next LT Pro" w:hAnsi="Avenir Next LT Pro"/>
                <w:color w:val="575F61"/>
                <w:lang w:val="en-GB"/>
              </w:rPr>
              <w:t>their</w:t>
            </w:r>
            <w:r w:rsidRPr="0035242E">
              <w:rPr>
                <w:rFonts w:ascii="Avenir Next LT Pro" w:hAnsi="Avenir Next LT Pro"/>
                <w:color w:val="575F61"/>
                <w:lang w:val="en-GB"/>
              </w:rPr>
              <w:t xml:space="preserve"> mortgage. </w:t>
            </w:r>
          </w:p>
          <w:p w14:paraId="42E855D9" w14:textId="77777777" w:rsidR="008E5242" w:rsidRPr="00B00501" w:rsidRDefault="008E5242" w:rsidP="001952AB">
            <w:pPr>
              <w:rPr>
                <w:b/>
                <w:vertAlign w:val="superscript"/>
              </w:rPr>
            </w:pPr>
            <w:r w:rsidRPr="00B00501">
              <w:rPr>
                <w:rFonts w:ascii="Avenir Next LT Pro" w:hAnsi="Avenir Next LT Pro"/>
                <w:color w:val="575F61"/>
                <w:vertAlign w:val="superscript"/>
                <w:lang w:val="en-GB"/>
              </w:rPr>
              <w:t>These repayment estimates have been calculated using Finder.com.au</w:t>
            </w:r>
            <w:r>
              <w:rPr>
                <w:rFonts w:ascii="Avenir Next LT Pro" w:hAnsi="Avenir Next LT Pro"/>
                <w:color w:val="575F61"/>
                <w:vertAlign w:val="superscript"/>
                <w:lang w:val="en-GB"/>
              </w:rPr>
              <w:t xml:space="preserve"> mortgage repayment calculator </w:t>
            </w:r>
            <w:r>
              <w:rPr>
                <w:rFonts w:ascii="Avenir Next LT Pro" w:hAnsi="Avenir Next LT Pro"/>
                <w:noProof/>
                <w:color w:val="575F61"/>
                <w:vertAlign w:val="superscript"/>
                <w:lang w:val="en-GB"/>
              </w:rPr>
              <w:t>(Whitten 2024)</w:t>
            </w:r>
            <w:r>
              <w:rPr>
                <w:rFonts w:ascii="Avenir Next LT Pro" w:hAnsi="Avenir Next LT Pro"/>
                <w:color w:val="575F61"/>
                <w:vertAlign w:val="superscript"/>
                <w:lang w:val="en-GB"/>
              </w:rPr>
              <w:t xml:space="preserve"> </w:t>
            </w:r>
          </w:p>
        </w:tc>
      </w:tr>
    </w:tbl>
    <w:p w14:paraId="30A4BC73" w14:textId="77777777" w:rsidR="008E5242" w:rsidRDefault="008E5242" w:rsidP="001952AB">
      <w:pPr>
        <w:pStyle w:val="IntenseQuote"/>
        <w:spacing w:after="0"/>
      </w:pPr>
      <w:r>
        <w:t>‘</w:t>
      </w:r>
      <w:r w:rsidRPr="000437BC">
        <w:t>Looking at a family’s budget, they just don’t have the wiggle room – they can’t pay their mortgage but then they don’t have anywhere else to get that money from in the budget</w:t>
      </w:r>
      <w:r>
        <w:t>’</w:t>
      </w:r>
    </w:p>
    <w:p w14:paraId="3ADE6404" w14:textId="77777777" w:rsidR="008E5242" w:rsidRDefault="008E5242" w:rsidP="001952AB">
      <w:pPr>
        <w:pStyle w:val="IntenseQuote"/>
        <w:spacing w:before="0"/>
      </w:pPr>
      <w:r w:rsidRPr="000437BC">
        <w:lastRenderedPageBreak/>
        <w:t xml:space="preserve"> – Financial Counsel</w:t>
      </w:r>
      <w:r>
        <w:t>l</w:t>
      </w:r>
      <w:r w:rsidRPr="000437BC">
        <w:t>or</w:t>
      </w:r>
      <w:r>
        <w:t>, Hobart</w:t>
      </w:r>
      <w:r w:rsidRPr="000437BC">
        <w:t xml:space="preserve"> </w:t>
      </w:r>
    </w:p>
    <w:p w14:paraId="0E66DDA5" w14:textId="77777777" w:rsidR="00DA411B" w:rsidRDefault="00DA411B">
      <w:pPr>
        <w:widowControl/>
        <w:autoSpaceDE/>
        <w:autoSpaceDN/>
        <w:spacing w:before="0" w:after="160" w:line="259" w:lineRule="auto"/>
        <w:rPr>
          <w:rFonts w:ascii="Avenir Next Demi Bold" w:hAnsi="Avenir Next Demi Bold"/>
          <w:b/>
          <w:color w:val="1598CB"/>
          <w:sz w:val="32"/>
          <w:szCs w:val="32"/>
        </w:rPr>
      </w:pPr>
      <w:r>
        <w:br w:type="page"/>
      </w:r>
    </w:p>
    <w:p w14:paraId="00AFB7F0" w14:textId="535C138D" w:rsidR="008E5242" w:rsidRDefault="008E5242" w:rsidP="001952AB">
      <w:pPr>
        <w:pStyle w:val="Heading3"/>
      </w:pPr>
      <w:r>
        <w:lastRenderedPageBreak/>
        <w:t>When there are no affordable houses</w:t>
      </w:r>
    </w:p>
    <w:p w14:paraId="7030146D" w14:textId="77777777" w:rsidR="008E5242" w:rsidRPr="00340197" w:rsidRDefault="008E5242" w:rsidP="001952AB">
      <w:pPr>
        <w:rPr>
          <w:rFonts w:ascii="Avenir Next LT Pro" w:hAnsi="Avenir Next LT Pro"/>
          <w:color w:val="575F61"/>
          <w:lang w:val="en-GB"/>
        </w:rPr>
      </w:pPr>
      <w:r w:rsidRPr="00340197">
        <w:rPr>
          <w:rFonts w:ascii="Avenir Next LT Pro" w:hAnsi="Avenir Next LT Pro"/>
          <w:color w:val="575F61"/>
          <w:lang w:val="en-GB"/>
        </w:rPr>
        <w:t xml:space="preserve">Families </w:t>
      </w:r>
      <w:r>
        <w:rPr>
          <w:rFonts w:ascii="Avenir Next LT Pro" w:hAnsi="Avenir Next LT Pro"/>
          <w:color w:val="575F61"/>
          <w:lang w:val="en-GB"/>
        </w:rPr>
        <w:t>are struggling with rising living costs, including higher mortgage payments and rents</w:t>
      </w:r>
      <w:r w:rsidRPr="00340197">
        <w:rPr>
          <w:rFonts w:ascii="Avenir Next LT Pro" w:hAnsi="Avenir Next LT Pro"/>
          <w:color w:val="575F61"/>
          <w:lang w:val="en-GB"/>
        </w:rPr>
        <w:t xml:space="preserve">. Demand for social housing in Tasmania </w:t>
      </w:r>
      <w:r>
        <w:rPr>
          <w:rFonts w:ascii="Avenir Next LT Pro" w:hAnsi="Avenir Next LT Pro"/>
          <w:color w:val="575F61"/>
          <w:lang w:val="en-GB"/>
        </w:rPr>
        <w:t xml:space="preserve">is also increasing, with the number of applications on the social housing register increasing by 288 (6.4%) to 4792 over the two years to September 2024 </w:t>
      </w:r>
      <w:r>
        <w:rPr>
          <w:rFonts w:ascii="Avenir Next LT Pro" w:hAnsi="Avenir Next LT Pro"/>
          <w:noProof/>
          <w:color w:val="575F61"/>
          <w:lang w:val="en-GB"/>
        </w:rPr>
        <w:t>(Homes Tasmania 2024)</w:t>
      </w:r>
      <w:r w:rsidRPr="00340197">
        <w:rPr>
          <w:rFonts w:ascii="Avenir Next LT Pro" w:hAnsi="Avenir Next LT Pro"/>
          <w:color w:val="575F61"/>
          <w:lang w:val="en-GB"/>
        </w:rPr>
        <w:t>.</w:t>
      </w:r>
      <w:r>
        <w:rPr>
          <w:rFonts w:ascii="Avenir Next LT Pro" w:hAnsi="Avenir Next LT Pro"/>
          <w:color w:val="575F61"/>
          <w:lang w:val="en-GB"/>
        </w:rPr>
        <w:t xml:space="preserve"> </w:t>
      </w:r>
    </w:p>
    <w:p w14:paraId="7F8C9A2C" w14:textId="77777777" w:rsidR="008E5242" w:rsidRDefault="008E5242" w:rsidP="001952AB">
      <w:pPr>
        <w:rPr>
          <w:rFonts w:ascii="Avenir Next LT Pro" w:hAnsi="Avenir Next LT Pro"/>
          <w:color w:val="575F61"/>
          <w:lang w:val="en-GB"/>
        </w:rPr>
      </w:pPr>
      <w:r w:rsidRPr="00340197">
        <w:rPr>
          <w:rFonts w:ascii="Avenir Next LT Pro" w:hAnsi="Avenir Next LT Pro"/>
          <w:color w:val="575F61"/>
          <w:lang w:val="en-GB"/>
        </w:rPr>
        <w:t xml:space="preserve">In 2022-23, </w:t>
      </w:r>
      <w:r>
        <w:rPr>
          <w:rFonts w:ascii="Avenir Next LT Pro" w:hAnsi="Avenir Next LT Pro"/>
          <w:color w:val="575F61"/>
          <w:lang w:val="en-GB"/>
        </w:rPr>
        <w:t xml:space="preserve">the proportion of Tasmanians accessing specialised homelessness services was higher than the national rate. </w:t>
      </w:r>
      <w:r w:rsidRPr="00340197">
        <w:rPr>
          <w:rFonts w:ascii="Avenir Next LT Pro" w:hAnsi="Avenir Next LT Pro"/>
          <w:color w:val="575F61"/>
          <w:lang w:val="en-GB"/>
        </w:rPr>
        <w:t>93</w:t>
      </w:r>
      <w:r>
        <w:rPr>
          <w:rFonts w:ascii="Avenir Next LT Pro" w:hAnsi="Avenir Next LT Pro"/>
          <w:color w:val="575F61"/>
          <w:lang w:val="en-GB"/>
        </w:rPr>
        <w:t xml:space="preserve">% </w:t>
      </w:r>
      <w:r w:rsidRPr="00340197">
        <w:rPr>
          <w:rFonts w:ascii="Avenir Next LT Pro" w:hAnsi="Avenir Next LT Pro"/>
          <w:color w:val="575F61"/>
          <w:lang w:val="en-GB"/>
        </w:rPr>
        <w:t>of speciali</w:t>
      </w:r>
      <w:r>
        <w:rPr>
          <w:rFonts w:ascii="Avenir Next LT Pro" w:hAnsi="Avenir Next LT Pro"/>
          <w:color w:val="575F61"/>
          <w:lang w:val="en-GB"/>
        </w:rPr>
        <w:t>s</w:t>
      </w:r>
      <w:r w:rsidRPr="00340197">
        <w:rPr>
          <w:rFonts w:ascii="Avenir Next LT Pro" w:hAnsi="Avenir Next LT Pro"/>
          <w:color w:val="575F61"/>
          <w:lang w:val="en-GB"/>
        </w:rPr>
        <w:t xml:space="preserve">ed homelessness service </w:t>
      </w:r>
      <w:r>
        <w:rPr>
          <w:rFonts w:ascii="Avenir Next LT Pro" w:hAnsi="Avenir Next LT Pro"/>
          <w:color w:val="575F61"/>
          <w:lang w:val="en-GB"/>
        </w:rPr>
        <w:t xml:space="preserve">clients </w:t>
      </w:r>
      <w:r w:rsidRPr="00340197">
        <w:rPr>
          <w:rFonts w:ascii="Avenir Next LT Pro" w:hAnsi="Avenir Next LT Pro"/>
          <w:color w:val="575F61"/>
          <w:lang w:val="en-GB"/>
        </w:rPr>
        <w:t>needed accommodation</w:t>
      </w:r>
      <w:r>
        <w:rPr>
          <w:rFonts w:ascii="Avenir Next LT Pro" w:hAnsi="Avenir Next LT Pro"/>
          <w:color w:val="575F61"/>
          <w:lang w:val="en-GB"/>
        </w:rPr>
        <w:t>, but</w:t>
      </w:r>
      <w:r w:rsidRPr="00340197">
        <w:rPr>
          <w:rFonts w:ascii="Avenir Next LT Pro" w:hAnsi="Avenir Next LT Pro"/>
          <w:color w:val="575F61"/>
          <w:lang w:val="en-GB"/>
        </w:rPr>
        <w:t xml:space="preserve"> </w:t>
      </w:r>
      <w:r>
        <w:rPr>
          <w:rFonts w:ascii="Avenir Next LT Pro" w:hAnsi="Avenir Next LT Pro"/>
          <w:color w:val="575F61"/>
          <w:lang w:val="en-GB"/>
        </w:rPr>
        <w:t xml:space="preserve">only 40% of those already homeless found housing </w:t>
      </w:r>
      <w:r>
        <w:rPr>
          <w:rFonts w:ascii="Avenir Next LT Pro" w:hAnsi="Avenir Next LT Pro"/>
          <w:noProof/>
          <w:color w:val="575F61"/>
          <w:lang w:val="en-GB"/>
        </w:rPr>
        <w:t>(AIHW 2024)</w:t>
      </w:r>
      <w:r>
        <w:rPr>
          <w:rFonts w:ascii="Avenir Next LT Pro" w:hAnsi="Avenir Next LT Pro"/>
          <w:color w:val="575F61"/>
          <w:lang w:val="en-GB"/>
        </w:rPr>
        <w:t xml:space="preserve">. </w:t>
      </w:r>
    </w:p>
    <w:p w14:paraId="50038A09" w14:textId="77777777" w:rsidR="008E5242" w:rsidRDefault="008E5242" w:rsidP="001952AB">
      <w:pPr>
        <w:rPr>
          <w:rFonts w:ascii="Avenir Next LT Pro" w:hAnsi="Avenir Next LT Pro"/>
          <w:color w:val="575F61"/>
          <w:lang w:val="en-GB"/>
        </w:rPr>
      </w:pPr>
      <w:r w:rsidRPr="00340197">
        <w:rPr>
          <w:rFonts w:ascii="Avenir Next LT Pro" w:hAnsi="Avenir Next LT Pro"/>
          <w:color w:val="575F61"/>
          <w:lang w:val="en-GB"/>
        </w:rPr>
        <w:t xml:space="preserve">Families </w:t>
      </w:r>
      <w:r>
        <w:rPr>
          <w:rFonts w:ascii="Avenir Next LT Pro" w:hAnsi="Avenir Next LT Pro"/>
          <w:color w:val="575F61"/>
          <w:lang w:val="en-GB"/>
        </w:rPr>
        <w:t>face a tough housing market with few affordable options. This means more</w:t>
      </w:r>
      <w:r w:rsidRPr="00340197">
        <w:rPr>
          <w:rFonts w:ascii="Avenir Next LT Pro" w:hAnsi="Avenir Next LT Pro"/>
          <w:color w:val="575F61"/>
          <w:lang w:val="en-GB"/>
        </w:rPr>
        <w:t xml:space="preserve"> children are exposed to the harsh realities of homelessness. In Tasmania in 2022-23</w:t>
      </w:r>
      <w:r>
        <w:rPr>
          <w:rFonts w:ascii="Avenir Next LT Pro" w:hAnsi="Avenir Next LT Pro"/>
          <w:color w:val="575F61"/>
          <w:lang w:val="en-GB"/>
        </w:rPr>
        <w:t xml:space="preserve">, </w:t>
      </w:r>
      <w:r w:rsidRPr="00340197">
        <w:rPr>
          <w:rFonts w:ascii="Avenir Next LT Pro" w:hAnsi="Avenir Next LT Pro"/>
          <w:color w:val="575F61"/>
          <w:lang w:val="en-GB"/>
        </w:rPr>
        <w:t>816</w:t>
      </w:r>
      <w:r>
        <w:rPr>
          <w:rFonts w:ascii="Avenir Next LT Pro" w:hAnsi="Avenir Next LT Pro"/>
          <w:color w:val="575F61"/>
          <w:lang w:val="en-GB"/>
        </w:rPr>
        <w:t xml:space="preserve"> children under 18 sought support from specialist homelessness services </w:t>
      </w:r>
      <w:r w:rsidRPr="00340197">
        <w:rPr>
          <w:rFonts w:ascii="Avenir Next LT Pro" w:hAnsi="Avenir Next LT Pro"/>
          <w:color w:val="575F61"/>
          <w:lang w:val="en-GB"/>
        </w:rPr>
        <w:t>alongside their parents, and alarmingly</w:t>
      </w:r>
      <w:r>
        <w:rPr>
          <w:rFonts w:ascii="Avenir Next LT Pro" w:hAnsi="Avenir Next LT Pro"/>
          <w:color w:val="575F61"/>
          <w:lang w:val="en-GB"/>
        </w:rPr>
        <w:t>,</w:t>
      </w:r>
      <w:r w:rsidRPr="00340197">
        <w:rPr>
          <w:rFonts w:ascii="Avenir Next LT Pro" w:hAnsi="Avenir Next LT Pro"/>
          <w:color w:val="575F61"/>
          <w:lang w:val="en-GB"/>
        </w:rPr>
        <w:t xml:space="preserve"> 413 children </w:t>
      </w:r>
      <w:r>
        <w:rPr>
          <w:rFonts w:ascii="Avenir Next LT Pro" w:hAnsi="Avenir Next LT Pro"/>
          <w:color w:val="575F61"/>
          <w:lang w:val="en-GB"/>
        </w:rPr>
        <w:t xml:space="preserve">attended </w:t>
      </w:r>
      <w:r w:rsidRPr="00340197">
        <w:rPr>
          <w:rFonts w:ascii="Avenir Next LT Pro" w:hAnsi="Avenir Next LT Pro"/>
          <w:color w:val="575F61"/>
          <w:lang w:val="en-GB"/>
        </w:rPr>
        <w:t>alone</w:t>
      </w:r>
      <w:r>
        <w:rPr>
          <w:rFonts w:ascii="Avenir Next LT Pro" w:hAnsi="Avenir Next LT Pro"/>
          <w:color w:val="575F61"/>
          <w:lang w:val="en-GB"/>
        </w:rPr>
        <w:t xml:space="preserve"> </w:t>
      </w:r>
      <w:r>
        <w:rPr>
          <w:rFonts w:ascii="Avenir Next LT Pro" w:hAnsi="Avenir Next LT Pro"/>
          <w:noProof/>
          <w:color w:val="575F61"/>
          <w:lang w:val="en-GB"/>
        </w:rPr>
        <w:t>(Homelessness Australia 2024)</w:t>
      </w:r>
      <w:r>
        <w:rPr>
          <w:rFonts w:ascii="Avenir Next LT Pro" w:hAnsi="Avenir Next LT Pro"/>
          <w:color w:val="575F61"/>
          <w:lang w:val="en-GB"/>
        </w:rPr>
        <w:t>.</w:t>
      </w:r>
    </w:p>
    <w:p w14:paraId="32D36572" w14:textId="77777777" w:rsidR="008E5242" w:rsidRDefault="008E5242" w:rsidP="001952AB">
      <w:pPr>
        <w:pStyle w:val="Heading3"/>
        <w:rPr>
          <w:lang w:val="en-GB"/>
        </w:rPr>
      </w:pPr>
      <w:bookmarkStart w:id="27" w:name="_Toc179382435"/>
      <w:r>
        <w:rPr>
          <w:lang w:val="en-GB"/>
        </w:rPr>
        <w:t xml:space="preserve">The impacts of family homelessness </w:t>
      </w:r>
      <w:bookmarkEnd w:id="27"/>
    </w:p>
    <w:p w14:paraId="72E788A6" w14:textId="77777777" w:rsidR="008E5242" w:rsidRDefault="008E5242" w:rsidP="001952AB">
      <w:pPr>
        <w:rPr>
          <w:rFonts w:ascii="Avenir Next LT Pro" w:hAnsi="Avenir Next LT Pro"/>
          <w:color w:val="575F61"/>
          <w:lang w:val="en-GB"/>
        </w:rPr>
      </w:pPr>
      <w:r w:rsidRPr="00340197">
        <w:rPr>
          <w:rFonts w:ascii="Avenir Next LT Pro" w:hAnsi="Avenir Next LT Pro"/>
          <w:color w:val="575F61"/>
          <w:lang w:val="en-GB"/>
        </w:rPr>
        <w:t xml:space="preserve">Anglicare </w:t>
      </w:r>
      <w:r>
        <w:rPr>
          <w:rFonts w:ascii="Avenir Next LT Pro" w:hAnsi="Avenir Next LT Pro"/>
          <w:color w:val="575F61"/>
          <w:lang w:val="en-GB"/>
        </w:rPr>
        <w:t>C</w:t>
      </w:r>
      <w:r w:rsidRPr="00340197">
        <w:rPr>
          <w:rFonts w:ascii="Avenir Next LT Pro" w:hAnsi="Avenir Next LT Pro"/>
          <w:color w:val="575F61"/>
          <w:lang w:val="en-GB"/>
        </w:rPr>
        <w:t>hild</w:t>
      </w:r>
      <w:r>
        <w:rPr>
          <w:rFonts w:ascii="Avenir Next LT Pro" w:hAnsi="Avenir Next LT Pro"/>
          <w:color w:val="575F61"/>
          <w:lang w:val="en-GB"/>
        </w:rPr>
        <w:t>, Youth</w:t>
      </w:r>
      <w:r w:rsidRPr="00340197">
        <w:rPr>
          <w:rFonts w:ascii="Avenir Next LT Pro" w:hAnsi="Avenir Next LT Pro"/>
          <w:color w:val="575F61"/>
          <w:lang w:val="en-GB"/>
        </w:rPr>
        <w:t xml:space="preserve"> and </w:t>
      </w:r>
      <w:r>
        <w:rPr>
          <w:rFonts w:ascii="Avenir Next LT Pro" w:hAnsi="Avenir Next LT Pro"/>
          <w:color w:val="575F61"/>
          <w:lang w:val="en-GB"/>
        </w:rPr>
        <w:t>F</w:t>
      </w:r>
      <w:r w:rsidRPr="00340197">
        <w:rPr>
          <w:rFonts w:ascii="Avenir Next LT Pro" w:hAnsi="Avenir Next LT Pro"/>
          <w:color w:val="575F61"/>
          <w:lang w:val="en-GB"/>
        </w:rPr>
        <w:t xml:space="preserve">amily staff expressed </w:t>
      </w:r>
      <w:r>
        <w:rPr>
          <w:rFonts w:ascii="Avenir Next LT Pro" w:hAnsi="Avenir Next LT Pro"/>
          <w:color w:val="575F61"/>
          <w:lang w:val="en-GB"/>
        </w:rPr>
        <w:t xml:space="preserve">deep concern that there is a growing social acceptance of family homelessness. Staff reported seeing more families </w:t>
      </w:r>
      <w:r w:rsidRPr="00340197">
        <w:rPr>
          <w:rFonts w:ascii="Avenir Next LT Pro" w:hAnsi="Avenir Next LT Pro"/>
          <w:color w:val="575F61"/>
          <w:lang w:val="en-GB"/>
        </w:rPr>
        <w:t>surviving by couch surfing</w:t>
      </w:r>
      <w:r>
        <w:rPr>
          <w:rFonts w:ascii="Avenir Next LT Pro" w:hAnsi="Avenir Next LT Pro"/>
          <w:color w:val="575F61"/>
          <w:lang w:val="en-GB"/>
        </w:rPr>
        <w:t>, living in overcrowded conditions</w:t>
      </w:r>
      <w:r w:rsidRPr="00340197">
        <w:rPr>
          <w:rFonts w:ascii="Avenir Next LT Pro" w:hAnsi="Avenir Next LT Pro"/>
          <w:color w:val="575F61"/>
          <w:lang w:val="en-GB"/>
        </w:rPr>
        <w:t xml:space="preserve"> or sleeping rough in campgrounds while they wait for</w:t>
      </w:r>
      <w:r>
        <w:rPr>
          <w:rFonts w:ascii="Avenir Next LT Pro" w:hAnsi="Avenir Next LT Pro"/>
          <w:color w:val="575F61"/>
          <w:lang w:val="en-GB"/>
        </w:rPr>
        <w:t xml:space="preserve"> affordable rentals or</w:t>
      </w:r>
      <w:r w:rsidRPr="00340197">
        <w:rPr>
          <w:rFonts w:ascii="Avenir Next LT Pro" w:hAnsi="Avenir Next LT Pro"/>
          <w:color w:val="575F61"/>
          <w:lang w:val="en-GB"/>
        </w:rPr>
        <w:t xml:space="preserve"> social housing to become available.</w:t>
      </w:r>
    </w:p>
    <w:p w14:paraId="37723806" w14:textId="77777777" w:rsidR="008E5242" w:rsidRDefault="008E5242" w:rsidP="001952AB">
      <w:pPr>
        <w:rPr>
          <w:rFonts w:ascii="Avenir Next LT Pro" w:hAnsi="Avenir Next LT Pro"/>
          <w:color w:val="575F61"/>
          <w:lang w:val="en-GB"/>
        </w:rPr>
      </w:pPr>
      <w:r w:rsidRPr="00340197">
        <w:rPr>
          <w:rFonts w:ascii="Avenir Next LT Pro" w:hAnsi="Avenir Next LT Pro"/>
          <w:color w:val="575F61"/>
          <w:lang w:val="en-GB"/>
        </w:rPr>
        <w:t>Staff reflected that previously</w:t>
      </w:r>
      <w:r>
        <w:rPr>
          <w:rFonts w:ascii="Avenir Next LT Pro" w:hAnsi="Avenir Next LT Pro"/>
          <w:color w:val="575F61"/>
          <w:lang w:val="en-GB"/>
        </w:rPr>
        <w:t xml:space="preserve">, the statutory system protecting children would have activated a response when homelessness first occurred. With the current lack of alternative housing, interventions can be delayed. This means that children are experiencing greater depths and duration of homelessness. </w:t>
      </w:r>
    </w:p>
    <w:p w14:paraId="33DC116D" w14:textId="77777777" w:rsidR="008E5242" w:rsidRDefault="008E5242" w:rsidP="001952AB">
      <w:pPr>
        <w:rPr>
          <w:rFonts w:ascii="Avenir Next LT Pro" w:hAnsi="Avenir Next LT Pro"/>
          <w:color w:val="575F61"/>
          <w:lang w:val="en-GB"/>
        </w:rPr>
      </w:pPr>
      <w:r>
        <w:rPr>
          <w:rFonts w:ascii="Avenir Next LT Pro" w:hAnsi="Avenir Next LT Pro"/>
          <w:color w:val="575F61"/>
          <w:lang w:val="en-GB"/>
        </w:rPr>
        <w:t xml:space="preserve">Research shows that children who experience family homelessness are at greater risk of becoming homeless again, particularly in adulthood </w:t>
      </w:r>
      <w:r>
        <w:rPr>
          <w:rFonts w:ascii="Avenir Next LT Pro" w:hAnsi="Avenir Next LT Pro"/>
          <w:noProof/>
          <w:color w:val="575F61"/>
          <w:lang w:val="en-GB"/>
        </w:rPr>
        <w:t>(AIHW 2021)</w:t>
      </w:r>
      <w:r>
        <w:rPr>
          <w:rFonts w:ascii="Avenir Next LT Pro" w:hAnsi="Avenir Next LT Pro"/>
          <w:color w:val="575F61"/>
          <w:lang w:val="en-GB"/>
        </w:rPr>
        <w:t xml:space="preserve">. We also know these experiences have lifelong impacts, and can increase children’s risk of exposure to violence, abuse or child exploitation </w:t>
      </w:r>
      <w:r>
        <w:rPr>
          <w:rFonts w:ascii="Avenir Next LT Pro" w:hAnsi="Avenir Next LT Pro"/>
          <w:noProof/>
          <w:color w:val="575F61"/>
          <w:lang w:val="en-GB"/>
        </w:rPr>
        <w:t>(CCYP 2024)</w:t>
      </w:r>
      <w:r>
        <w:rPr>
          <w:rFonts w:ascii="Avenir Next LT Pro" w:hAnsi="Avenir Next LT Pro"/>
          <w:color w:val="575F61"/>
          <w:lang w:val="en-GB"/>
        </w:rPr>
        <w:t xml:space="preserve">. It is imperative that families experiencing homelessness get early and responsive support to protect children and reduce their likelihood of future episodes of homelessness. </w:t>
      </w:r>
    </w:p>
    <w:p w14:paraId="1C9554DF" w14:textId="77777777" w:rsidR="008E5242" w:rsidRDefault="008E5242" w:rsidP="001952AB">
      <w:pPr>
        <w:pStyle w:val="IntenseQuote"/>
        <w:spacing w:after="0"/>
      </w:pPr>
      <w:r>
        <w:t>‘</w:t>
      </w:r>
      <w:r w:rsidRPr="005C153B">
        <w:t>When children are in unsafe and neglected spaces they are at increased vulnerability to exploitation</w:t>
      </w:r>
      <w:r>
        <w:t>’</w:t>
      </w:r>
      <w:r w:rsidRPr="005C153B">
        <w:t xml:space="preserve"> </w:t>
      </w:r>
    </w:p>
    <w:p w14:paraId="27E5B36C" w14:textId="77777777" w:rsidR="008E5242" w:rsidRDefault="008E5242" w:rsidP="001952AB">
      <w:pPr>
        <w:pStyle w:val="IntenseQuote"/>
        <w:spacing w:before="0"/>
      </w:pPr>
      <w:r w:rsidRPr="005C153B">
        <w:t xml:space="preserve">– Program Manager, North West </w:t>
      </w:r>
    </w:p>
    <w:p w14:paraId="322109DB" w14:textId="77777777" w:rsidR="008E5242" w:rsidRDefault="008E5242" w:rsidP="001952AB">
      <w:pPr>
        <w:pStyle w:val="IntenseQuote"/>
        <w:spacing w:after="0"/>
      </w:pPr>
      <w:r w:rsidRPr="00C42D36">
        <w:t>Children are having to be adults before their time</w:t>
      </w:r>
      <w:r>
        <w:t>’</w:t>
      </w:r>
      <w:r w:rsidRPr="00C42D36">
        <w:t xml:space="preserve"> </w:t>
      </w:r>
    </w:p>
    <w:p w14:paraId="3883E54F" w14:textId="77777777" w:rsidR="008E5242" w:rsidRDefault="008E5242" w:rsidP="001952AB">
      <w:pPr>
        <w:pStyle w:val="IntenseQuote"/>
        <w:spacing w:before="0"/>
      </w:pPr>
      <w:r w:rsidRPr="00C42D36">
        <w:t xml:space="preserve">– Program Manager, Child and Family Services, North West </w:t>
      </w:r>
    </w:p>
    <w:p w14:paraId="3700DDDE" w14:textId="77777777" w:rsidR="008E5242" w:rsidRDefault="008E5242" w:rsidP="001952AB">
      <w:pPr>
        <w:pStyle w:val="IntenseQuote"/>
        <w:spacing w:after="0"/>
      </w:pPr>
      <w:r>
        <w:t>‘</w:t>
      </w:r>
      <w:r w:rsidRPr="00C42D36">
        <w:t>Children are having to make really hard decisions to survive</w:t>
      </w:r>
      <w:r>
        <w:t>’</w:t>
      </w:r>
    </w:p>
    <w:p w14:paraId="374C6324" w14:textId="77777777" w:rsidR="008E5242" w:rsidRDefault="008E5242" w:rsidP="001952AB">
      <w:pPr>
        <w:pStyle w:val="IntenseQuote"/>
        <w:spacing w:before="0"/>
      </w:pPr>
      <w:r>
        <w:t xml:space="preserve">– Child and Family Services, North West </w:t>
      </w:r>
    </w:p>
    <w:p w14:paraId="08843F96" w14:textId="77777777" w:rsidR="008E5242" w:rsidRDefault="008E5242">
      <w:pPr>
        <w:spacing w:before="0" w:after="0"/>
        <w:rPr>
          <w:rFonts w:ascii="Avenir Next Demi Bold" w:eastAsia="AvenirNextLTPro-Demi" w:hAnsi="Avenir Next Demi Bold" w:cs="AvenirNextLTPro-Demi"/>
          <w:b/>
          <w:color w:val="1598CB"/>
          <w:spacing w:val="-6"/>
          <w:sz w:val="36"/>
          <w:szCs w:val="36"/>
        </w:rPr>
      </w:pPr>
      <w:r>
        <w:br w:type="page"/>
      </w:r>
    </w:p>
    <w:p w14:paraId="5488195C" w14:textId="77777777" w:rsidR="008E5242" w:rsidRDefault="008E5242" w:rsidP="001952AB">
      <w:pPr>
        <w:pStyle w:val="Heading2"/>
      </w:pPr>
      <w:bookmarkStart w:id="28" w:name="_Toc179814530"/>
      <w:r>
        <w:lastRenderedPageBreak/>
        <w:t>Adequate and nutritious food</w:t>
      </w:r>
      <w:bookmarkEnd w:id="28"/>
      <w:r>
        <w:t xml:space="preserve"> </w:t>
      </w:r>
    </w:p>
    <w:p w14:paraId="0441BD49" w14:textId="77777777" w:rsidR="008E5242" w:rsidRDefault="008E5242" w:rsidP="001952AB">
      <w:pPr>
        <w:pStyle w:val="Heading3"/>
        <w:rPr>
          <w:shd w:val="clear" w:color="auto" w:fill="FFFFFF"/>
        </w:rPr>
      </w:pPr>
      <w:bookmarkStart w:id="29" w:name="_Toc179382437"/>
      <w:r>
        <w:rPr>
          <w:shd w:val="clear" w:color="auto" w:fill="FFFFFF"/>
        </w:rPr>
        <w:t>Why it is important</w:t>
      </w:r>
      <w:bookmarkEnd w:id="29"/>
    </w:p>
    <w:p w14:paraId="69074B58" w14:textId="77777777" w:rsidR="008E5242" w:rsidRPr="00B670B1" w:rsidRDefault="008E5242" w:rsidP="001952AB">
      <w:pPr>
        <w:rPr>
          <w:rFonts w:ascii="Avenir Next LT Pro" w:hAnsi="Avenir Next LT Pro"/>
          <w:color w:val="575F61"/>
          <w:lang w:val="en-GB"/>
        </w:rPr>
      </w:pPr>
      <w:r w:rsidRPr="00B670B1">
        <w:rPr>
          <w:rFonts w:ascii="Avenir Next LT Pro" w:hAnsi="Avenir Next LT Pro"/>
          <w:color w:val="575F61"/>
          <w:lang w:val="en-GB"/>
        </w:rPr>
        <w:t>All children require adequat</w:t>
      </w:r>
      <w:r>
        <w:rPr>
          <w:rFonts w:ascii="Avenir Next LT Pro" w:hAnsi="Avenir Next LT Pro"/>
          <w:color w:val="575F61"/>
          <w:lang w:val="en-GB"/>
        </w:rPr>
        <w:t xml:space="preserve">e </w:t>
      </w:r>
      <w:r w:rsidRPr="00B670B1">
        <w:rPr>
          <w:rFonts w:ascii="Avenir Next LT Pro" w:hAnsi="Avenir Next LT Pro"/>
          <w:color w:val="575F61"/>
          <w:lang w:val="en-GB"/>
        </w:rPr>
        <w:t xml:space="preserve">and nutritious food. Without </w:t>
      </w:r>
      <w:r>
        <w:rPr>
          <w:rFonts w:ascii="Avenir Next LT Pro" w:hAnsi="Avenir Next LT Pro"/>
          <w:color w:val="575F61"/>
          <w:lang w:val="en-GB"/>
        </w:rPr>
        <w:t>it,</w:t>
      </w:r>
      <w:r w:rsidRPr="00B670B1">
        <w:rPr>
          <w:rFonts w:ascii="Avenir Next LT Pro" w:hAnsi="Avenir Next LT Pro"/>
          <w:color w:val="575F61"/>
          <w:lang w:val="en-GB"/>
        </w:rPr>
        <w:t xml:space="preserve"> children’s mental and physical development </w:t>
      </w:r>
      <w:r>
        <w:rPr>
          <w:rFonts w:ascii="Avenir Next LT Pro" w:hAnsi="Avenir Next LT Pro"/>
          <w:color w:val="575F61"/>
          <w:lang w:val="en-GB"/>
        </w:rPr>
        <w:t>are</w:t>
      </w:r>
      <w:r w:rsidRPr="00B670B1">
        <w:rPr>
          <w:rFonts w:ascii="Avenir Next LT Pro" w:hAnsi="Avenir Next LT Pro"/>
          <w:color w:val="575F61"/>
          <w:lang w:val="en-GB"/>
        </w:rPr>
        <w:t xml:space="preserve"> at risk</w:t>
      </w:r>
      <w:r>
        <w:rPr>
          <w:rFonts w:ascii="Avenir Next LT Pro" w:hAnsi="Avenir Next LT Pro"/>
          <w:color w:val="575F61"/>
          <w:lang w:val="en-GB"/>
        </w:rPr>
        <w:t xml:space="preserve"> </w:t>
      </w:r>
      <w:r>
        <w:rPr>
          <w:rFonts w:ascii="Avenir Next LT Pro" w:hAnsi="Avenir Next LT Pro"/>
          <w:noProof/>
          <w:color w:val="575F61"/>
          <w:lang w:val="en-GB"/>
        </w:rPr>
        <w:t>(RCH n. d.)</w:t>
      </w:r>
      <w:r w:rsidRPr="00B670B1">
        <w:rPr>
          <w:rFonts w:ascii="Avenir Next LT Pro" w:hAnsi="Avenir Next LT Pro"/>
          <w:color w:val="575F61"/>
          <w:lang w:val="en-GB"/>
        </w:rPr>
        <w:t xml:space="preserve">. </w:t>
      </w:r>
    </w:p>
    <w:p w14:paraId="57E26727" w14:textId="77777777" w:rsidR="008E5242" w:rsidRPr="001622EE" w:rsidRDefault="008E5242" w:rsidP="001952AB">
      <w:pPr>
        <w:rPr>
          <w:rFonts w:ascii="Avenir Next LT Pro" w:hAnsi="Avenir Next LT Pro"/>
          <w:color w:val="575F61"/>
          <w:lang w:val="en-GB"/>
        </w:rPr>
      </w:pPr>
      <w:r>
        <w:rPr>
          <w:rFonts w:ascii="Avenir Next LT Pro" w:hAnsi="Avenir Next LT Pro"/>
          <w:color w:val="575F61"/>
          <w:lang w:val="en-GB"/>
        </w:rPr>
        <w:t xml:space="preserve">In July 2024, fruit and vegetable prices were 7.5% higher than in July the previous year </w:t>
      </w:r>
      <w:r>
        <w:rPr>
          <w:rFonts w:ascii="Avenir Next LT Pro" w:hAnsi="Avenir Next LT Pro"/>
          <w:noProof/>
          <w:color w:val="575F61"/>
          <w:lang w:val="en-GB"/>
        </w:rPr>
        <w:t>(ABS 2024b)</w:t>
      </w:r>
      <w:r>
        <w:rPr>
          <w:rFonts w:ascii="Avenir Next LT Pro" w:hAnsi="Avenir Next LT Pro"/>
          <w:color w:val="575F61"/>
          <w:lang w:val="en-GB"/>
        </w:rPr>
        <w:t xml:space="preserve">. </w:t>
      </w:r>
      <w:r w:rsidRPr="00B670B1">
        <w:rPr>
          <w:rFonts w:ascii="Avenir Next LT Pro" w:hAnsi="Avenir Next LT Pro"/>
          <w:color w:val="575F61"/>
          <w:lang w:val="en-GB"/>
        </w:rPr>
        <w:t xml:space="preserve">Anglicare staff </w:t>
      </w:r>
      <w:r>
        <w:rPr>
          <w:rFonts w:ascii="Avenir Next LT Pro" w:hAnsi="Avenir Next LT Pro"/>
          <w:color w:val="575F61"/>
          <w:lang w:val="en-GB"/>
        </w:rPr>
        <w:t>reported that families are struggling to afford fresh produce and consequently often reach for low cost, high volume food which is low in nutritional value. There is significant concern that the foods containing nutrients essential for healthy child development are becoming the least affordable.</w:t>
      </w:r>
    </w:p>
    <w:p w14:paraId="239C2A7F" w14:textId="77777777" w:rsidR="008E5242" w:rsidRDefault="008E5242" w:rsidP="001952AB">
      <w:pPr>
        <w:pStyle w:val="IntenseQuote"/>
        <w:spacing w:after="0"/>
      </w:pPr>
      <w:r>
        <w:t>‘</w:t>
      </w:r>
      <w:r w:rsidRPr="00BA3F7F">
        <w:t>It is the fresh food that is missing</w:t>
      </w:r>
      <w:r>
        <w:t xml:space="preserve"> </w:t>
      </w:r>
      <w:r w:rsidRPr="00BA3F7F">
        <w:t>…</w:t>
      </w:r>
      <w:r>
        <w:t xml:space="preserve"> </w:t>
      </w:r>
      <w:r w:rsidRPr="00BA3F7F">
        <w:t>families have the pantry items like the creamed corn and the tinned beans but it’s the fresh stuff they really need</w:t>
      </w:r>
      <w:r>
        <w:t>’</w:t>
      </w:r>
      <w:r w:rsidRPr="00BA3F7F">
        <w:t xml:space="preserve"> </w:t>
      </w:r>
    </w:p>
    <w:p w14:paraId="3917101F" w14:textId="77777777" w:rsidR="008E5242" w:rsidRPr="00A852DC" w:rsidRDefault="008E5242" w:rsidP="001952AB">
      <w:pPr>
        <w:pStyle w:val="IntenseQuote"/>
        <w:spacing w:before="0"/>
      </w:pPr>
      <w:r w:rsidRPr="00BA3F7F">
        <w:t>–</w:t>
      </w:r>
      <w:r>
        <w:t xml:space="preserve"> </w:t>
      </w:r>
      <w:r w:rsidRPr="00BA3F7F">
        <w:t>Financial Counse</w:t>
      </w:r>
      <w:r>
        <w:t>l</w:t>
      </w:r>
      <w:r w:rsidRPr="00BA3F7F">
        <w:t xml:space="preserve">lor, Glenorchy </w:t>
      </w:r>
    </w:p>
    <w:p w14:paraId="44D241C3" w14:textId="77777777" w:rsidR="008E5242" w:rsidRPr="00BA3F7F" w:rsidRDefault="008E5242" w:rsidP="001952AB">
      <w:pPr>
        <w:pStyle w:val="Heading3"/>
      </w:pPr>
      <w:r>
        <w:t xml:space="preserve">Food insecurity on the rise </w:t>
      </w:r>
    </w:p>
    <w:p w14:paraId="5131C123" w14:textId="77777777" w:rsidR="008E5242" w:rsidRPr="002A1C1D" w:rsidRDefault="008E5242" w:rsidP="001952AB">
      <w:pPr>
        <w:rPr>
          <w:rFonts w:ascii="Avenir Next LT Pro" w:hAnsi="Avenir Next LT Pro"/>
          <w:color w:val="575F61"/>
          <w:lang w:val="en-GB"/>
        </w:rPr>
      </w:pPr>
      <w:r>
        <w:rPr>
          <w:rFonts w:ascii="Avenir Next LT Pro" w:hAnsi="Avenir Next LT Pro"/>
          <w:color w:val="575F61"/>
          <w:lang w:val="en-GB"/>
        </w:rPr>
        <w:t xml:space="preserve">Many individuals across Australia are experiencing food insecurity. </w:t>
      </w:r>
      <w:r w:rsidRPr="002A1C1D">
        <w:rPr>
          <w:rFonts w:ascii="Avenir Next LT Pro" w:hAnsi="Avenir Next LT Pro"/>
          <w:color w:val="575F61"/>
          <w:lang w:val="en-GB"/>
        </w:rPr>
        <w:t>In 202</w:t>
      </w:r>
      <w:r>
        <w:rPr>
          <w:rFonts w:ascii="Avenir Next LT Pro" w:hAnsi="Avenir Next LT Pro"/>
          <w:color w:val="575F61"/>
          <w:lang w:val="en-GB"/>
        </w:rPr>
        <w:t>4</w:t>
      </w:r>
      <w:r w:rsidRPr="002A1C1D">
        <w:rPr>
          <w:rFonts w:ascii="Avenir Next LT Pro" w:hAnsi="Avenir Next LT Pro"/>
          <w:color w:val="575F61"/>
          <w:lang w:val="en-GB"/>
        </w:rPr>
        <w:t>, Foodbank reported 3.</w:t>
      </w:r>
      <w:r>
        <w:rPr>
          <w:rFonts w:ascii="Avenir Next LT Pro" w:hAnsi="Avenir Next LT Pro"/>
          <w:color w:val="575F61"/>
          <w:lang w:val="en-GB"/>
        </w:rPr>
        <w:t>4</w:t>
      </w:r>
      <w:r w:rsidRPr="002A1C1D">
        <w:rPr>
          <w:rFonts w:ascii="Avenir Next LT Pro" w:hAnsi="Avenir Next LT Pro"/>
          <w:color w:val="575F61"/>
          <w:lang w:val="en-GB"/>
        </w:rPr>
        <w:t xml:space="preserve"> million households</w:t>
      </w:r>
      <w:r>
        <w:rPr>
          <w:rFonts w:ascii="Avenir Next LT Pro" w:hAnsi="Avenir Next LT Pro"/>
          <w:color w:val="575F61"/>
          <w:lang w:val="en-GB"/>
        </w:rPr>
        <w:t xml:space="preserve"> (32%) faced</w:t>
      </w:r>
      <w:r w:rsidRPr="002A1C1D">
        <w:rPr>
          <w:rFonts w:ascii="Avenir Next LT Pro" w:hAnsi="Avenir Next LT Pro"/>
          <w:color w:val="575F61"/>
          <w:lang w:val="en-GB"/>
        </w:rPr>
        <w:t xml:space="preserve"> moderate to severe food insecurity</w:t>
      </w:r>
      <w:r>
        <w:rPr>
          <w:rFonts w:ascii="Avenir Next LT Pro" w:hAnsi="Avenir Next LT Pro"/>
          <w:color w:val="575F61"/>
          <w:lang w:val="en-GB"/>
        </w:rPr>
        <w:t xml:space="preserve"> </w:t>
      </w:r>
      <w:r>
        <w:rPr>
          <w:rFonts w:ascii="Avenir Next LT Pro" w:hAnsi="Avenir Next LT Pro"/>
          <w:noProof/>
          <w:color w:val="575F61"/>
          <w:lang w:val="en-GB"/>
        </w:rPr>
        <w:t>(Foodbank 2023)</w:t>
      </w:r>
      <w:r>
        <w:rPr>
          <w:rFonts w:ascii="Avenir Next LT Pro" w:hAnsi="Avenir Next LT Pro"/>
          <w:color w:val="575F61"/>
          <w:lang w:val="en-GB"/>
        </w:rPr>
        <w:t>. M</w:t>
      </w:r>
      <w:r w:rsidRPr="002A1C1D">
        <w:rPr>
          <w:rFonts w:ascii="Avenir Next LT Pro" w:hAnsi="Avenir Next LT Pro"/>
          <w:color w:val="575F61"/>
          <w:lang w:val="en-GB"/>
        </w:rPr>
        <w:t>any of those households were experiencing food insecurity for the first time</w:t>
      </w:r>
      <w:r>
        <w:rPr>
          <w:rFonts w:ascii="Avenir Next LT Pro" w:hAnsi="Avenir Next LT Pro"/>
          <w:color w:val="575F61"/>
          <w:lang w:val="en-GB"/>
        </w:rPr>
        <w:t xml:space="preserve"> </w:t>
      </w:r>
      <w:r>
        <w:rPr>
          <w:rFonts w:ascii="Avenir Next LT Pro" w:hAnsi="Avenir Next LT Pro"/>
          <w:noProof/>
          <w:color w:val="575F61"/>
          <w:lang w:val="en-GB"/>
        </w:rPr>
        <w:t>(Foodbank 2023)</w:t>
      </w:r>
      <w:r w:rsidRPr="002A1C1D">
        <w:rPr>
          <w:rFonts w:ascii="Avenir Next LT Pro" w:hAnsi="Avenir Next LT Pro"/>
          <w:color w:val="575F61"/>
          <w:lang w:val="en-GB"/>
        </w:rPr>
        <w:t xml:space="preserve">. </w:t>
      </w:r>
    </w:p>
    <w:p w14:paraId="7CCB39BF" w14:textId="14FB1083" w:rsidR="008E5242" w:rsidRDefault="008E5242" w:rsidP="001952AB">
      <w:pPr>
        <w:rPr>
          <w:rFonts w:ascii="Avenir Next LT Pro" w:hAnsi="Avenir Next LT Pro"/>
          <w:color w:val="575F61"/>
          <w:lang w:val="en-GB"/>
        </w:rPr>
      </w:pPr>
      <w:r>
        <w:rPr>
          <w:rFonts w:ascii="Avenir Next LT Pro" w:hAnsi="Avenir Next LT Pro"/>
          <w:color w:val="575F61"/>
          <w:lang w:val="en-GB"/>
        </w:rPr>
        <w:t>The</w:t>
      </w:r>
      <w:r w:rsidRPr="002A1C1D">
        <w:rPr>
          <w:rFonts w:ascii="Avenir Next LT Pro" w:hAnsi="Avenir Next LT Pro"/>
          <w:color w:val="575F61"/>
          <w:lang w:val="en-GB"/>
        </w:rPr>
        <w:t xml:space="preserve"> Tasmania</w:t>
      </w:r>
      <w:r>
        <w:rPr>
          <w:rFonts w:ascii="Avenir Next LT Pro" w:hAnsi="Avenir Next LT Pro"/>
          <w:color w:val="575F61"/>
          <w:lang w:val="en-GB"/>
        </w:rPr>
        <w:t xml:space="preserve"> </w:t>
      </w:r>
      <w:r w:rsidRPr="002A1C1D">
        <w:rPr>
          <w:rFonts w:ascii="Avenir Next LT Pro" w:hAnsi="Avenir Next LT Pro"/>
          <w:color w:val="575F61"/>
          <w:lang w:val="en-GB"/>
        </w:rPr>
        <w:t>Project Food and Food Purchasing Survey</w:t>
      </w:r>
      <w:r>
        <w:rPr>
          <w:rFonts w:ascii="Avenir Next LT Pro" w:hAnsi="Avenir Next LT Pro"/>
          <w:color w:val="575F61"/>
          <w:lang w:val="en-GB"/>
        </w:rPr>
        <w:t xml:space="preserve"> found similar results, with one in four adults and children experienced some level of food insecurity between December 2023 and January 2024 </w:t>
      </w:r>
      <w:r>
        <w:rPr>
          <w:rFonts w:ascii="Avenir Next LT Pro" w:hAnsi="Avenir Next LT Pro"/>
          <w:noProof/>
          <w:color w:val="575F61"/>
          <w:lang w:val="en-GB"/>
        </w:rPr>
        <w:t>(Kent et al. 2024)</w:t>
      </w:r>
      <w:r>
        <w:rPr>
          <w:rFonts w:ascii="Avenir Next LT Pro" w:hAnsi="Avenir Next LT Pro"/>
          <w:color w:val="575F61"/>
          <w:lang w:val="en-GB"/>
        </w:rPr>
        <w:t>.</w:t>
      </w:r>
      <w:r w:rsidRPr="002A1C1D">
        <w:rPr>
          <w:rFonts w:ascii="Avenir Next LT Pro" w:hAnsi="Avenir Next LT Pro"/>
          <w:color w:val="575F61"/>
          <w:vertAlign w:val="superscript"/>
          <w:lang w:val="en-GB"/>
        </w:rPr>
        <w:t>.</w:t>
      </w:r>
      <w:r w:rsidRPr="002A1C1D">
        <w:rPr>
          <w:rFonts w:ascii="Avenir Next LT Pro" w:hAnsi="Avenir Next LT Pro"/>
          <w:color w:val="575F61"/>
          <w:lang w:val="en-GB"/>
        </w:rPr>
        <w:t xml:space="preserve"> </w:t>
      </w:r>
    </w:p>
    <w:p w14:paraId="7EB5230A" w14:textId="2C1475A8" w:rsidR="00867219" w:rsidRDefault="00867219" w:rsidP="00867219">
      <w:pPr>
        <w:pStyle w:val="ListParagraph"/>
      </w:pPr>
      <w:r w:rsidRPr="0061085D">
        <w:rPr>
          <w:b/>
        </w:rPr>
        <w:t>29%</w:t>
      </w:r>
      <w:r w:rsidRPr="00BA3F7F">
        <w:t xml:space="preserve"> of adults experienced food insecurity within past 30 days</w:t>
      </w:r>
    </w:p>
    <w:p w14:paraId="1AA1923C" w14:textId="77777777" w:rsidR="00867219" w:rsidRPr="001919DA" w:rsidRDefault="00867219" w:rsidP="00867219">
      <w:pPr>
        <w:pStyle w:val="ListParagraph"/>
        <w:numPr>
          <w:ilvl w:val="1"/>
          <w:numId w:val="9"/>
        </w:numPr>
      </w:pPr>
      <w:r w:rsidRPr="001919DA">
        <w:t>9% of adults were marginally food insecure</w:t>
      </w:r>
    </w:p>
    <w:p w14:paraId="4373C7F0" w14:textId="77777777" w:rsidR="00867219" w:rsidRPr="001919DA" w:rsidRDefault="00867219" w:rsidP="00867219">
      <w:pPr>
        <w:pStyle w:val="ListParagraph"/>
        <w:numPr>
          <w:ilvl w:val="1"/>
          <w:numId w:val="9"/>
        </w:numPr>
      </w:pPr>
      <w:r w:rsidRPr="00AB6749">
        <w:t>(</w:t>
      </w:r>
      <w:r>
        <w:t>a</w:t>
      </w:r>
      <w:r w:rsidRPr="00AB6749">
        <w:t>nxious over food or a shortage of food)</w:t>
      </w:r>
    </w:p>
    <w:p w14:paraId="4BCA083F" w14:textId="77777777" w:rsidR="00867219" w:rsidRPr="001919DA" w:rsidRDefault="00867219" w:rsidP="00867219">
      <w:pPr>
        <w:pStyle w:val="ListParagraph"/>
        <w:numPr>
          <w:ilvl w:val="1"/>
          <w:numId w:val="9"/>
        </w:numPr>
      </w:pPr>
      <w:r w:rsidRPr="001919DA">
        <w:t>12% of adults were moderately food insecure</w:t>
      </w:r>
    </w:p>
    <w:p w14:paraId="20AB2C5C" w14:textId="77777777" w:rsidR="00867219" w:rsidRPr="00AB6749" w:rsidRDefault="00867219" w:rsidP="00867219">
      <w:pPr>
        <w:pStyle w:val="ListParagraph"/>
        <w:numPr>
          <w:ilvl w:val="1"/>
          <w:numId w:val="9"/>
        </w:numPr>
      </w:pPr>
      <w:r w:rsidRPr="00AB6749">
        <w:t>(</w:t>
      </w:r>
      <w:r>
        <w:t>r</w:t>
      </w:r>
      <w:r w:rsidRPr="00AB6749">
        <w:t>educed quality, variety or desirability of food eaten)</w:t>
      </w:r>
    </w:p>
    <w:p w14:paraId="61D1863C" w14:textId="1FD9B3F9" w:rsidR="00867219" w:rsidRDefault="00867219" w:rsidP="00867219">
      <w:pPr>
        <w:pStyle w:val="ListParagraph"/>
        <w:numPr>
          <w:ilvl w:val="1"/>
          <w:numId w:val="9"/>
        </w:numPr>
      </w:pPr>
      <w:r w:rsidRPr="001919DA">
        <w:t>9% of adults were severely food insecure</w:t>
      </w:r>
    </w:p>
    <w:p w14:paraId="35B64CE3" w14:textId="17C2BF7C" w:rsidR="00867219" w:rsidRDefault="00867219" w:rsidP="00867219">
      <w:pPr>
        <w:pStyle w:val="ListParagraph"/>
      </w:pPr>
      <w:r w:rsidRPr="0061085D">
        <w:rPr>
          <w:b/>
        </w:rPr>
        <w:t>29%</w:t>
      </w:r>
      <w:r w:rsidRPr="00BA3F7F">
        <w:t xml:space="preserve"> of </w:t>
      </w:r>
      <w:r>
        <w:t>children</w:t>
      </w:r>
      <w:r w:rsidRPr="00BA3F7F">
        <w:t xml:space="preserve"> experienced food insecurity within past 30 </w:t>
      </w:r>
      <w:r>
        <w:t>da</w:t>
      </w:r>
      <w:r w:rsidRPr="00BA3F7F">
        <w:t>ys</w:t>
      </w:r>
    </w:p>
    <w:p w14:paraId="0BBF9258" w14:textId="77777777" w:rsidR="00867219" w:rsidRPr="001919DA" w:rsidRDefault="00867219" w:rsidP="00867219">
      <w:pPr>
        <w:pStyle w:val="ListParagraph"/>
        <w:numPr>
          <w:ilvl w:val="1"/>
          <w:numId w:val="9"/>
        </w:numPr>
      </w:pPr>
      <w:r w:rsidRPr="001919DA">
        <w:t>16% of children were marginally food insecure</w:t>
      </w:r>
      <w:r>
        <w:t xml:space="preserve">  </w:t>
      </w:r>
    </w:p>
    <w:p w14:paraId="628D5306" w14:textId="02F24388" w:rsidR="00867219" w:rsidRPr="001919DA" w:rsidRDefault="00867219" w:rsidP="00867219">
      <w:pPr>
        <w:pStyle w:val="ListParagraph"/>
        <w:numPr>
          <w:ilvl w:val="1"/>
          <w:numId w:val="9"/>
        </w:numPr>
      </w:pPr>
      <w:r w:rsidRPr="001919DA">
        <w:t>13% of children were moderately food insecure</w:t>
      </w:r>
      <w:r>
        <w:t xml:space="preserve"> </w:t>
      </w:r>
      <w:r w:rsidRPr="005154CB">
        <w:rPr>
          <w:color w:val="575F61"/>
        </w:rPr>
        <w:t>(Kent et al. 2024)</w:t>
      </w:r>
      <w:r>
        <w:t>.</w:t>
      </w:r>
    </w:p>
    <w:p w14:paraId="6A9532EB" w14:textId="77777777" w:rsidR="008E5242" w:rsidRPr="002A1C1D" w:rsidRDefault="008E5242" w:rsidP="001952AB">
      <w:pPr>
        <w:rPr>
          <w:rFonts w:ascii="Avenir Next LT Pro" w:hAnsi="Avenir Next LT Pro"/>
          <w:color w:val="575F61"/>
          <w:lang w:val="en-GB"/>
        </w:rPr>
      </w:pPr>
      <w:r>
        <w:rPr>
          <w:rFonts w:ascii="Avenir Next LT Pro" w:hAnsi="Avenir Next LT Pro"/>
          <w:color w:val="575F61"/>
          <w:lang w:val="en-GB"/>
        </w:rPr>
        <w:t>Notably,</w:t>
      </w:r>
      <w:r w:rsidRPr="002A1C1D">
        <w:rPr>
          <w:rFonts w:ascii="Avenir Next LT Pro" w:hAnsi="Avenir Next LT Pro"/>
          <w:color w:val="575F61"/>
          <w:lang w:val="en-GB"/>
        </w:rPr>
        <w:t xml:space="preserve"> </w:t>
      </w:r>
      <w:r>
        <w:rPr>
          <w:rFonts w:ascii="Avenir Next LT Pro" w:hAnsi="Avenir Next LT Pro"/>
          <w:color w:val="575F61"/>
          <w:lang w:val="en-GB"/>
        </w:rPr>
        <w:t xml:space="preserve">survey results showed </w:t>
      </w:r>
      <w:r w:rsidRPr="002A1C1D">
        <w:rPr>
          <w:rFonts w:ascii="Avenir Next LT Pro" w:hAnsi="Avenir Next LT Pro"/>
          <w:color w:val="575F61"/>
          <w:lang w:val="en-GB"/>
        </w:rPr>
        <w:t xml:space="preserve">no Tasmanian children were </w:t>
      </w:r>
      <w:r>
        <w:rPr>
          <w:rFonts w:ascii="Avenir Next LT Pro" w:hAnsi="Avenir Next LT Pro"/>
          <w:color w:val="575F61"/>
          <w:lang w:val="en-GB"/>
        </w:rPr>
        <w:t>severely food</w:t>
      </w:r>
      <w:r w:rsidRPr="002A1C1D">
        <w:rPr>
          <w:rFonts w:ascii="Avenir Next LT Pro" w:hAnsi="Avenir Next LT Pro"/>
          <w:color w:val="575F61"/>
          <w:lang w:val="en-GB"/>
        </w:rPr>
        <w:t xml:space="preserve"> insecure</w:t>
      </w:r>
      <w:r>
        <w:rPr>
          <w:rFonts w:ascii="Avenir Next LT Pro" w:hAnsi="Avenir Next LT Pro"/>
          <w:color w:val="575F61"/>
          <w:lang w:val="en-GB"/>
        </w:rPr>
        <w:t xml:space="preserve">. Anglicare staff suggest this is probably because parents prioritise their children’s needs over their own, noting that clients often report skipping meals to feed their children. </w:t>
      </w:r>
    </w:p>
    <w:p w14:paraId="78CF45EC" w14:textId="77777777" w:rsidR="008E5242" w:rsidRDefault="008E5242" w:rsidP="001952AB">
      <w:pPr>
        <w:pStyle w:val="IntenseQuote"/>
        <w:spacing w:after="0"/>
      </w:pPr>
      <w:r>
        <w:t xml:space="preserve">‘Parents simply don’t eat so that their kids can’ </w:t>
      </w:r>
    </w:p>
    <w:p w14:paraId="42BA65CC" w14:textId="77777777" w:rsidR="008E5242" w:rsidRDefault="008E5242" w:rsidP="001952AB">
      <w:pPr>
        <w:pStyle w:val="IntenseQuote"/>
        <w:spacing w:before="0"/>
      </w:pPr>
      <w:r>
        <w:lastRenderedPageBreak/>
        <w:t xml:space="preserve">– Child and Family Program Manager, South </w:t>
      </w:r>
    </w:p>
    <w:p w14:paraId="03E00EB7" w14:textId="77777777" w:rsidR="008E5242" w:rsidRPr="002F711A" w:rsidRDefault="008E5242" w:rsidP="001952AB">
      <w:pPr>
        <w:pStyle w:val="Heading3"/>
        <w:rPr>
          <w:lang w:val="en-GB"/>
        </w:rPr>
      </w:pPr>
      <w:bookmarkStart w:id="30" w:name="_Toc179382439"/>
      <w:r w:rsidRPr="002F711A">
        <w:rPr>
          <w:lang w:val="en-GB"/>
        </w:rPr>
        <w:t xml:space="preserve">Emergency </w:t>
      </w:r>
      <w:r>
        <w:rPr>
          <w:lang w:val="en-GB"/>
        </w:rPr>
        <w:t>r</w:t>
      </w:r>
      <w:r w:rsidRPr="002F711A">
        <w:rPr>
          <w:lang w:val="en-GB"/>
        </w:rPr>
        <w:t>elief</w:t>
      </w:r>
      <w:bookmarkEnd w:id="30"/>
      <w:r w:rsidRPr="002F711A">
        <w:rPr>
          <w:lang w:val="en-GB"/>
        </w:rPr>
        <w:t xml:space="preserve"> </w:t>
      </w:r>
    </w:p>
    <w:p w14:paraId="45A14085" w14:textId="4F1EA23A" w:rsidR="008E5242" w:rsidRDefault="008E5242" w:rsidP="001952AB">
      <w:pPr>
        <w:rPr>
          <w:rFonts w:ascii="Avenir Next LT Pro" w:hAnsi="Avenir Next LT Pro"/>
          <w:color w:val="575F61"/>
          <w:lang w:val="en-GB"/>
        </w:rPr>
      </w:pPr>
      <w:r>
        <w:rPr>
          <w:rFonts w:ascii="Avenir Next LT Pro" w:hAnsi="Avenir Next LT Pro"/>
          <w:color w:val="575F61"/>
          <w:lang w:val="en-GB"/>
        </w:rPr>
        <w:t xml:space="preserve">Food costs have risen significantly during the cost of living crisis and Anglicare staff have seen more families using emergency food relief. However, some families are hesitant to use emergency relief as they feel ashamed or think someone else needs it more. Shame and stigma often cause families to delay accessing food relief (see Figure </w:t>
      </w:r>
      <w:r w:rsidR="00F237D4">
        <w:rPr>
          <w:rFonts w:ascii="Avenir Next LT Pro" w:hAnsi="Avenir Next LT Pro"/>
          <w:color w:val="575F61"/>
          <w:lang w:val="en-GB"/>
        </w:rPr>
        <w:t>6</w:t>
      </w:r>
      <w:r>
        <w:rPr>
          <w:rFonts w:ascii="Avenir Next LT Pro" w:hAnsi="Avenir Next LT Pro"/>
          <w:color w:val="575F61"/>
          <w:lang w:val="en-GB"/>
        </w:rPr>
        <w:t xml:space="preserve">). As a result, families may accumulate debt to pay for groceries or caregivers might skip meals so children can eat. </w:t>
      </w:r>
    </w:p>
    <w:p w14:paraId="56351771" w14:textId="77777777" w:rsidR="008E5242" w:rsidRDefault="008E5242" w:rsidP="001952AB">
      <w:pPr>
        <w:pStyle w:val="IntenseQuote"/>
        <w:spacing w:after="0"/>
      </w:pPr>
      <w:r>
        <w:t>‘</w:t>
      </w:r>
      <w:r w:rsidRPr="00BA3F7F">
        <w:t>There is a lot of shame in using emergency relief</w:t>
      </w:r>
      <w:r>
        <w:t>’</w:t>
      </w:r>
      <w:r w:rsidRPr="00BA3F7F">
        <w:t xml:space="preserve"> </w:t>
      </w:r>
    </w:p>
    <w:p w14:paraId="4DD11DD2" w14:textId="77777777" w:rsidR="008E5242" w:rsidRDefault="008E5242" w:rsidP="001952AB">
      <w:pPr>
        <w:pStyle w:val="IntenseQuote"/>
        <w:spacing w:before="0"/>
      </w:pPr>
      <w:r w:rsidRPr="00BA3F7F">
        <w:t>– Financial Counse</w:t>
      </w:r>
      <w:r>
        <w:t>l</w:t>
      </w:r>
      <w:r w:rsidRPr="00BA3F7F">
        <w:t xml:space="preserve">lor, Glenorchy </w:t>
      </w:r>
    </w:p>
    <w:p w14:paraId="6A71DDF9" w14:textId="77777777" w:rsidR="008E5242" w:rsidRPr="00577BD8" w:rsidRDefault="008E5242" w:rsidP="001952AB">
      <w:pPr>
        <w:rPr>
          <w:rFonts w:ascii="Avenir Next LT Pro" w:hAnsi="Avenir Next LT Pro"/>
          <w:color w:val="575F61"/>
          <w:lang w:val="en-GB"/>
        </w:rPr>
      </w:pPr>
      <w:r w:rsidRPr="00193703">
        <w:rPr>
          <w:rFonts w:ascii="Avenir Next LT Pro" w:hAnsi="Avenir Next LT Pro"/>
          <w:b/>
          <w:color w:val="575F61"/>
          <w:lang w:val="en-GB"/>
        </w:rPr>
        <w:t>Figure 6</w:t>
      </w:r>
      <w:r>
        <w:rPr>
          <w:rFonts w:ascii="Avenir Next LT Pro" w:hAnsi="Avenir Next LT Pro"/>
          <w:b/>
          <w:color w:val="575F61"/>
          <w:lang w:val="en-GB"/>
        </w:rPr>
        <w:t>:</w:t>
      </w:r>
      <w:r>
        <w:rPr>
          <w:rFonts w:ascii="Avenir Next LT Pro" w:hAnsi="Avenir Next LT Pro"/>
          <w:color w:val="575F61"/>
          <w:lang w:val="en-GB"/>
        </w:rPr>
        <w:t xml:space="preserve"> Barriers to food insecure individuals accessing food relief </w:t>
      </w:r>
    </w:p>
    <w:p w14:paraId="2D5D8DBF" w14:textId="77777777" w:rsidR="008E5242" w:rsidRDefault="008E5242" w:rsidP="001952AB">
      <w:pPr>
        <w:rPr>
          <w:rFonts w:ascii="Segoe UI" w:hAnsi="Segoe UI" w:cs="Segoe UI"/>
          <w:color w:val="000000"/>
          <w:shd w:val="clear" w:color="auto" w:fill="FFFFFF"/>
        </w:rPr>
      </w:pPr>
      <w:r>
        <w:rPr>
          <w:noProof/>
        </w:rPr>
        <w:drawing>
          <wp:inline distT="0" distB="0" distL="0" distR="0" wp14:anchorId="703F3940" wp14:editId="6FE00636">
            <wp:extent cx="6101621" cy="3186259"/>
            <wp:effectExtent l="0" t="0" r="0" b="0"/>
            <wp:docPr id="60" name="Picture 60" descr="Bar graph showing the most common barrier was feeling that other people needed food relief more, at 86%. Other barriers were feeling too ashamed (52%), worrying about being judged by service staff (34%), not knowing what services were available (32%), not knowing if they were eligible (32%), worrying about it affecting other areas of their life (e.g. workplace finding out, access to children being jeopardised) (16%) and no services clos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t="9251"/>
                    <a:stretch/>
                  </pic:blipFill>
                  <pic:spPr bwMode="auto">
                    <a:xfrm>
                      <a:off x="0" y="0"/>
                      <a:ext cx="6177618" cy="3225945"/>
                    </a:xfrm>
                    <a:prstGeom prst="rect">
                      <a:avLst/>
                    </a:prstGeom>
                    <a:ln>
                      <a:noFill/>
                    </a:ln>
                    <a:extLst>
                      <a:ext uri="{53640926-AAD7-44D8-BBD7-CCE9431645EC}">
                        <a14:shadowObscured xmlns:a14="http://schemas.microsoft.com/office/drawing/2010/main"/>
                      </a:ext>
                    </a:extLst>
                  </pic:spPr>
                </pic:pic>
              </a:graphicData>
            </a:graphic>
          </wp:inline>
        </w:drawing>
      </w:r>
      <w:r w:rsidRPr="005154CB">
        <w:rPr>
          <w:rFonts w:ascii="Avenir Next LT Pro" w:hAnsi="Avenir Next LT Pro"/>
          <w:color w:val="575F61"/>
          <w:lang w:val="en-GB"/>
        </w:rPr>
        <w:t>Source:</w:t>
      </w:r>
      <w:r>
        <w:rPr>
          <w:rFonts w:ascii="Segoe UI" w:hAnsi="Segoe UI" w:cs="Segoe UI"/>
          <w:color w:val="000000"/>
          <w:shd w:val="clear" w:color="auto" w:fill="FFFFFF"/>
        </w:rPr>
        <w:t xml:space="preserve"> </w:t>
      </w:r>
      <w:r w:rsidRPr="005154CB">
        <w:rPr>
          <w:rFonts w:ascii="Avenir Next LT Pro" w:hAnsi="Avenir Next LT Pro"/>
          <w:color w:val="575F61"/>
          <w:lang w:val="en-GB"/>
        </w:rPr>
        <w:t>(Kent et al. 2024)</w:t>
      </w:r>
    </w:p>
    <w:p w14:paraId="7913AEA0" w14:textId="77777777" w:rsidR="008E5242" w:rsidRDefault="008E5242" w:rsidP="001952AB">
      <w:pPr>
        <w:rPr>
          <w:rFonts w:ascii="Avenir Next LT Pro" w:hAnsi="Avenir Next LT Pro"/>
          <w:color w:val="575F61"/>
          <w:lang w:val="en-GB"/>
        </w:rPr>
      </w:pPr>
      <w:r w:rsidRPr="00470A86">
        <w:rPr>
          <w:rFonts w:ascii="Avenir Next LT Pro" w:hAnsi="Avenir Next LT Pro"/>
          <w:color w:val="575F61"/>
          <w:lang w:val="en-GB"/>
        </w:rPr>
        <w:t xml:space="preserve">The shame </w:t>
      </w:r>
      <w:r>
        <w:rPr>
          <w:rFonts w:ascii="Avenir Next LT Pro" w:hAnsi="Avenir Next LT Pro"/>
          <w:color w:val="575F61"/>
          <w:lang w:val="en-GB"/>
        </w:rPr>
        <w:t>of</w:t>
      </w:r>
      <w:r w:rsidRPr="00470A86">
        <w:rPr>
          <w:rFonts w:ascii="Avenir Next LT Pro" w:hAnsi="Avenir Next LT Pro"/>
          <w:color w:val="575F61"/>
          <w:lang w:val="en-GB"/>
        </w:rPr>
        <w:t xml:space="preserve"> using emergency relief often </w:t>
      </w:r>
      <w:r>
        <w:rPr>
          <w:rFonts w:ascii="Avenir Next LT Pro" w:hAnsi="Avenir Next LT Pro"/>
          <w:color w:val="575F61"/>
          <w:lang w:val="en-GB"/>
        </w:rPr>
        <w:t>means</w:t>
      </w:r>
      <w:r w:rsidRPr="00470A86">
        <w:rPr>
          <w:rFonts w:ascii="Avenir Next LT Pro" w:hAnsi="Avenir Next LT Pro"/>
          <w:color w:val="575F61"/>
          <w:lang w:val="en-GB"/>
        </w:rPr>
        <w:t xml:space="preserve"> Anglicare staff </w:t>
      </w:r>
      <w:r>
        <w:rPr>
          <w:rFonts w:ascii="Avenir Next LT Pro" w:hAnsi="Avenir Next LT Pro"/>
          <w:color w:val="575F61"/>
          <w:lang w:val="en-GB"/>
        </w:rPr>
        <w:t xml:space="preserve">have to work with families over several sessions before they will access food relief. This prolongs the time families go without enough food. </w:t>
      </w:r>
    </w:p>
    <w:p w14:paraId="031F32F4" w14:textId="60CE9846" w:rsidR="0061085D" w:rsidRDefault="0061085D">
      <w:pPr>
        <w:widowControl/>
        <w:autoSpaceDE/>
        <w:autoSpaceDN/>
        <w:spacing w:before="0" w:after="160" w:line="259" w:lineRule="auto"/>
        <w:rPr>
          <w:rFonts w:ascii="Avenir Next LT Pro" w:hAnsi="Avenir Next LT Pro"/>
          <w:color w:val="575F61"/>
          <w:lang w:val="en-GB"/>
        </w:rPr>
      </w:pPr>
      <w:r>
        <w:rPr>
          <w:rFonts w:ascii="Avenir Next LT Pro" w:hAnsi="Avenir Next LT Pro"/>
          <w:color w:val="575F61"/>
          <w:lang w:val="en-GB"/>
        </w:rPr>
        <w:br w:type="page"/>
      </w:r>
    </w:p>
    <w:p w14:paraId="70B49D5A" w14:textId="77777777" w:rsidR="008E5242" w:rsidRPr="00470A86" w:rsidRDefault="008E5242" w:rsidP="001952AB">
      <w:pPr>
        <w:rPr>
          <w:rFonts w:ascii="Avenir Next LT Pro" w:hAnsi="Avenir Next LT Pro"/>
          <w:color w:val="575F61"/>
          <w:lang w:val="en-GB"/>
        </w:rPr>
      </w:pPr>
    </w:p>
    <w:p w14:paraId="5EF273CF" w14:textId="77777777" w:rsidR="008E5242" w:rsidRDefault="008E5242" w:rsidP="001952AB">
      <w:pPr>
        <w:pStyle w:val="IntenseQuote"/>
        <w:spacing w:after="0"/>
      </w:pPr>
      <w:r>
        <w:t>‘</w:t>
      </w:r>
      <w:r w:rsidRPr="00BA3F7F">
        <w:t xml:space="preserve">You hear from clients afterwards say </w:t>
      </w:r>
      <w:r>
        <w:t>“</w:t>
      </w:r>
      <w:r w:rsidRPr="00BA3F7F">
        <w:t>I wish I’d done that earlier</w:t>
      </w:r>
      <w:r>
        <w:t>”’</w:t>
      </w:r>
    </w:p>
    <w:p w14:paraId="1651BCBF" w14:textId="77777777" w:rsidR="008E5242" w:rsidRPr="00BA3F7F" w:rsidRDefault="008E5242" w:rsidP="001952AB">
      <w:pPr>
        <w:pStyle w:val="IntenseQuote"/>
        <w:spacing w:before="0"/>
      </w:pPr>
      <w:r w:rsidRPr="00BA3F7F">
        <w:t>– Financial Counse</w:t>
      </w:r>
      <w:r>
        <w:t>l</w:t>
      </w:r>
      <w:r w:rsidRPr="00BA3F7F">
        <w:t xml:space="preserve">lor, Glenorchy </w:t>
      </w:r>
    </w:p>
    <w:p w14:paraId="58C2AF1F" w14:textId="77777777" w:rsidR="008E5242" w:rsidRPr="00470A86" w:rsidRDefault="008E5242" w:rsidP="001952AB">
      <w:pPr>
        <w:rPr>
          <w:rFonts w:ascii="Avenir Next LT Pro" w:hAnsi="Avenir Next LT Pro"/>
          <w:color w:val="575F61"/>
          <w:lang w:val="en-GB"/>
        </w:rPr>
      </w:pPr>
      <w:r w:rsidRPr="00470A86">
        <w:rPr>
          <w:rFonts w:ascii="Avenir Next LT Pro" w:hAnsi="Avenir Next LT Pro"/>
          <w:color w:val="575F61"/>
          <w:lang w:val="en-GB"/>
        </w:rPr>
        <w:t xml:space="preserve">Anglicare staff </w:t>
      </w:r>
      <w:r>
        <w:rPr>
          <w:rFonts w:ascii="Avenir Next LT Pro" w:hAnsi="Avenir Next LT Pro"/>
          <w:color w:val="575F61"/>
          <w:lang w:val="en-GB"/>
        </w:rPr>
        <w:t xml:space="preserve">have also noticed changes in how families use emergency relief. Instead of using it briefly during unexpected crises, families are using it regularly to afford basic necessities. Without it, families have few options to access sufficient nutritious food. </w:t>
      </w:r>
    </w:p>
    <w:p w14:paraId="3FC519E5" w14:textId="77777777" w:rsidR="008E5242" w:rsidRDefault="008E5242" w:rsidP="001952AB">
      <w:pPr>
        <w:pStyle w:val="IntenseQuote"/>
        <w:spacing w:after="0"/>
      </w:pPr>
      <w:r>
        <w:t>‘</w:t>
      </w:r>
      <w:r w:rsidRPr="00BA3F7F">
        <w:t xml:space="preserve">Families are using emergency relief every fortnight or so. There are caps on how often you can go, but emergency relief services are working around guidelines just to make sure families have </w:t>
      </w:r>
      <w:r>
        <w:t>f</w:t>
      </w:r>
      <w:r w:rsidRPr="00BA3F7F">
        <w:t>ood but they shouldn’t be needing to use emergency relief that often</w:t>
      </w:r>
      <w:r>
        <w:t>’</w:t>
      </w:r>
    </w:p>
    <w:p w14:paraId="077F33AC" w14:textId="77777777" w:rsidR="008E5242" w:rsidRDefault="008E5242" w:rsidP="001952AB">
      <w:pPr>
        <w:pStyle w:val="IntenseQuote"/>
        <w:spacing w:before="0"/>
      </w:pPr>
      <w:r w:rsidRPr="00BA3F7F">
        <w:t>– Child</w:t>
      </w:r>
      <w:r>
        <w:t xml:space="preserve"> </w:t>
      </w:r>
      <w:r w:rsidRPr="00BA3F7F">
        <w:t xml:space="preserve">and </w:t>
      </w:r>
      <w:r>
        <w:t>F</w:t>
      </w:r>
      <w:r w:rsidRPr="00BA3F7F">
        <w:t xml:space="preserve">amily Worker, </w:t>
      </w:r>
      <w:r>
        <w:t>Devonport</w:t>
      </w:r>
    </w:p>
    <w:p w14:paraId="35EDF9EB" w14:textId="77777777" w:rsidR="008E5242" w:rsidRPr="00647384" w:rsidRDefault="008E5242" w:rsidP="001952AB">
      <w:pPr>
        <w:rPr>
          <w:rFonts w:ascii="Avenir Next Demi Bold" w:hAnsi="Avenir Next Demi Bold"/>
          <w:b/>
          <w:color w:val="1598CB"/>
          <w:sz w:val="32"/>
          <w:szCs w:val="32"/>
          <w:lang w:val="en-GB"/>
        </w:rPr>
      </w:pPr>
      <w:r>
        <w:rPr>
          <w:rFonts w:ascii="Avenir Next Demi Bold" w:hAnsi="Avenir Next Demi Bold"/>
          <w:b/>
          <w:color w:val="1598CB"/>
          <w:sz w:val="32"/>
          <w:szCs w:val="32"/>
          <w:lang w:val="en-GB"/>
        </w:rPr>
        <w:t>Targeted support: H</w:t>
      </w:r>
      <w:r w:rsidRPr="00647384">
        <w:rPr>
          <w:rFonts w:ascii="Avenir Next Demi Bold" w:hAnsi="Avenir Next Demi Bold"/>
          <w:b/>
          <w:color w:val="1598CB"/>
          <w:sz w:val="32"/>
          <w:szCs w:val="32"/>
          <w:lang w:val="en-GB"/>
        </w:rPr>
        <w:t>ealthy School Lunch</w:t>
      </w:r>
      <w:r>
        <w:rPr>
          <w:rFonts w:ascii="Avenir Next Demi Bold" w:hAnsi="Avenir Next Demi Bold"/>
          <w:b/>
          <w:color w:val="1598CB"/>
          <w:sz w:val="32"/>
          <w:szCs w:val="32"/>
          <w:lang w:val="en-GB"/>
        </w:rPr>
        <w:t xml:space="preserve">es </w:t>
      </w:r>
    </w:p>
    <w:p w14:paraId="05997B33" w14:textId="77777777" w:rsidR="008E5242" w:rsidRDefault="008E5242" w:rsidP="001952AB">
      <w:pPr>
        <w:rPr>
          <w:rFonts w:ascii="Avenir Next LT Pro" w:hAnsi="Avenir Next LT Pro"/>
          <w:color w:val="575F61"/>
          <w:lang w:val="en-GB"/>
        </w:rPr>
      </w:pPr>
      <w:r w:rsidRPr="00B670B1">
        <w:rPr>
          <w:rFonts w:ascii="Avenir Next LT Pro" w:hAnsi="Avenir Next LT Pro"/>
          <w:color w:val="575F61"/>
          <w:lang w:val="en-GB"/>
        </w:rPr>
        <w:t xml:space="preserve">The Tasmanian Healthy School Lunch Project </w:t>
      </w:r>
      <w:r>
        <w:rPr>
          <w:rFonts w:ascii="Avenir Next LT Pro" w:hAnsi="Avenir Next LT Pro"/>
          <w:color w:val="575F61"/>
          <w:lang w:val="en-GB"/>
        </w:rPr>
        <w:t xml:space="preserve">provides affordable, healthy lunches to all children at participating schools </w:t>
      </w:r>
      <w:r>
        <w:rPr>
          <w:rFonts w:ascii="Avenir Next LT Pro" w:hAnsi="Avenir Next LT Pro"/>
          <w:noProof/>
          <w:color w:val="575F61"/>
          <w:lang w:val="en-GB"/>
        </w:rPr>
        <w:t>(Tasmanian Liberals n. d.)</w:t>
      </w:r>
      <w:r>
        <w:rPr>
          <w:rFonts w:ascii="Avenir Next LT Pro" w:hAnsi="Avenir Next LT Pro"/>
          <w:color w:val="575F61"/>
          <w:lang w:val="en-GB"/>
        </w:rPr>
        <w:t xml:space="preserve">. The program, which </w:t>
      </w:r>
      <w:r w:rsidRPr="00B670B1">
        <w:rPr>
          <w:rFonts w:ascii="Avenir Next LT Pro" w:hAnsi="Avenir Next LT Pro"/>
          <w:color w:val="575F61"/>
          <w:lang w:val="en-GB"/>
        </w:rPr>
        <w:t>began</w:t>
      </w:r>
      <w:r>
        <w:rPr>
          <w:rFonts w:ascii="Avenir Next LT Pro" w:hAnsi="Avenir Next LT Pro"/>
          <w:color w:val="575F61"/>
          <w:lang w:val="en-GB"/>
        </w:rPr>
        <w:t xml:space="preserve"> as a trial in </w:t>
      </w:r>
      <w:r w:rsidRPr="00B670B1">
        <w:rPr>
          <w:rFonts w:ascii="Avenir Next LT Pro" w:hAnsi="Avenir Next LT Pro"/>
          <w:color w:val="575F61"/>
          <w:lang w:val="en-GB"/>
        </w:rPr>
        <w:t>15 schools in 2022</w:t>
      </w:r>
      <w:r>
        <w:rPr>
          <w:rFonts w:ascii="Avenir Next LT Pro" w:hAnsi="Avenir Next LT Pro"/>
          <w:color w:val="575F61"/>
          <w:lang w:val="en-GB"/>
        </w:rPr>
        <w:t>,</w:t>
      </w:r>
      <w:r w:rsidRPr="00B670B1">
        <w:rPr>
          <w:rFonts w:ascii="Avenir Next LT Pro" w:hAnsi="Avenir Next LT Pro"/>
          <w:color w:val="575F61"/>
          <w:lang w:val="en-GB"/>
        </w:rPr>
        <w:t xml:space="preserve"> </w:t>
      </w:r>
      <w:r>
        <w:rPr>
          <w:rFonts w:ascii="Avenir Next LT Pro" w:hAnsi="Avenir Next LT Pro"/>
          <w:color w:val="575F61"/>
          <w:lang w:val="en-GB"/>
        </w:rPr>
        <w:t xml:space="preserve">is now operating in 30 Tasmanian public primary and secondary schools </w:t>
      </w:r>
      <w:r>
        <w:rPr>
          <w:rFonts w:ascii="Avenir Next LT Pro" w:hAnsi="Avenir Next LT Pro"/>
          <w:noProof/>
          <w:color w:val="575F61"/>
          <w:lang w:val="en-GB"/>
        </w:rPr>
        <w:t>(Jose et al. 2024)</w:t>
      </w:r>
      <w:r w:rsidRPr="00B670B1">
        <w:rPr>
          <w:rFonts w:ascii="Avenir Next LT Pro" w:hAnsi="Avenir Next LT Pro"/>
          <w:color w:val="575F61"/>
          <w:lang w:val="en-GB"/>
        </w:rPr>
        <w:t xml:space="preserve">. </w:t>
      </w:r>
    </w:p>
    <w:p w14:paraId="6C180A4C" w14:textId="4969F169" w:rsidR="008E5242" w:rsidRDefault="007E6107" w:rsidP="001952AB">
      <w:pPr>
        <w:rPr>
          <w:rFonts w:ascii="Avenir Next LT Pro" w:hAnsi="Avenir Next LT Pro"/>
          <w:color w:val="575F61"/>
          <w:lang w:val="en-GB"/>
        </w:rPr>
      </w:pPr>
      <w:sdt>
        <w:sdtPr>
          <w:rPr>
            <w:noProof/>
          </w:rPr>
          <w:id w:val="12500223"/>
          <w:lock w:val="contentLocked"/>
          <w:placeholder>
            <w:docPart w:val="DefaultPlaceholder_-1854013440"/>
          </w:placeholder>
          <w:group/>
        </w:sdtPr>
        <w:sdtContent>
          <w:r w:rsidR="008E5242">
            <w:rPr>
              <w:noProof/>
            </w:rPr>
            <w:drawing>
              <wp:inline distT="0" distB="0" distL="0" distR="0" wp14:anchorId="2036E9C1" wp14:editId="0868C571">
                <wp:extent cx="2131508" cy="3647029"/>
                <wp:effectExtent l="0" t="0" r="2540" b="0"/>
                <wp:docPr id="8" name="Picture 8" descr="Map of Tasmania showing locations of schools with Healthy Lunch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154531" cy="3686421"/>
                        </a:xfrm>
                        <a:prstGeom prst="rect">
                          <a:avLst/>
                        </a:prstGeom>
                      </pic:spPr>
                    </pic:pic>
                  </a:graphicData>
                </a:graphic>
              </wp:inline>
            </w:drawing>
          </w:r>
          <w:r w:rsidR="008E5242" w:rsidRPr="00E72AAA">
            <w:rPr>
              <w:noProof/>
            </w:rPr>
            <w:t xml:space="preserve"> </w:t>
          </w:r>
          <w:r w:rsidR="008E5242">
            <w:rPr>
              <w:noProof/>
            </w:rPr>
            <w:drawing>
              <wp:inline distT="0" distB="0" distL="0" distR="0" wp14:anchorId="56C11B34" wp14:editId="16F20A3E">
                <wp:extent cx="1943100" cy="4019550"/>
                <wp:effectExtent l="0" t="0" r="0" b="0"/>
                <wp:docPr id="11" name="Picture 11" descr="The schools are Beaconsfield Primary School, Austins Ferry Primary School, Herdsmans Cove Primary School, Mountain Heights School, Oatlands District School, Smithton High School, East Devonport Primary School, JRLP Gagebrook Primary School, Rokeby Primary School, Warrane Primary School, Triabunna Primary School, Sorell School, Rosebery District School, Yolla District School, New Norfolk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943100" cy="4019550"/>
                        </a:xfrm>
                        <a:prstGeom prst="rect">
                          <a:avLst/>
                        </a:prstGeom>
                      </pic:spPr>
                    </pic:pic>
                  </a:graphicData>
                </a:graphic>
              </wp:inline>
            </w:drawing>
          </w:r>
          <w:r w:rsidR="008E5242" w:rsidRPr="00E72AAA">
            <w:rPr>
              <w:noProof/>
            </w:rPr>
            <w:t xml:space="preserve"> </w:t>
          </w:r>
          <w:r w:rsidR="008E5242">
            <w:rPr>
              <w:noProof/>
            </w:rPr>
            <w:drawing>
              <wp:inline distT="0" distB="0" distL="0" distR="0" wp14:anchorId="55935E59" wp14:editId="2B2FEFA0">
                <wp:extent cx="2009775" cy="4034636"/>
                <wp:effectExtent l="0" t="0" r="0" b="4445"/>
                <wp:docPr id="19" name="Picture 19" descr="Mole Creek Primary School, Waverley Primary School, Bridport Primary School, Clarendon Vale Primary School, Huonville Primary School, JRLF East Derwent Primary School, Dodges Ferry Primary School, Fairview Primary School, Swansea Primary School, Montello Primary School, Havenview Primary School, Campbell Town District High School, Winnaleah District High School, JRLF Senior School, and Cosgrove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013822" cy="4042761"/>
                        </a:xfrm>
                        <a:prstGeom prst="rect">
                          <a:avLst/>
                        </a:prstGeom>
                      </pic:spPr>
                    </pic:pic>
                  </a:graphicData>
                </a:graphic>
              </wp:inline>
            </w:drawing>
          </w:r>
        </w:sdtContent>
      </w:sdt>
      <w:r w:rsidR="008E5242" w:rsidRPr="005154CB">
        <w:rPr>
          <w:rFonts w:ascii="Avenir Next LT Pro" w:hAnsi="Avenir Next LT Pro"/>
          <w:color w:val="575F61"/>
          <w:lang w:val="en-GB"/>
        </w:rPr>
        <w:t>Source: (Jose et al. 2024)</w:t>
      </w:r>
    </w:p>
    <w:p w14:paraId="29E71CBE" w14:textId="77777777" w:rsidR="00325DDF" w:rsidRDefault="00325DDF">
      <w:pPr>
        <w:widowControl/>
        <w:autoSpaceDE/>
        <w:autoSpaceDN/>
        <w:spacing w:before="0" w:after="160" w:line="259" w:lineRule="auto"/>
        <w:rPr>
          <w:rFonts w:ascii="Avenir Next LT Pro" w:hAnsi="Avenir Next LT Pro"/>
          <w:color w:val="575F61"/>
          <w:lang w:val="en-GB"/>
        </w:rPr>
      </w:pPr>
      <w:r>
        <w:rPr>
          <w:rFonts w:ascii="Avenir Next LT Pro" w:hAnsi="Avenir Next LT Pro"/>
          <w:color w:val="575F61"/>
          <w:lang w:val="en-GB"/>
        </w:rPr>
        <w:lastRenderedPageBreak/>
        <w:br w:type="page"/>
      </w:r>
    </w:p>
    <w:p w14:paraId="714FFD58" w14:textId="534F7277" w:rsidR="008E5242" w:rsidRDefault="008E5242" w:rsidP="001952AB">
      <w:pPr>
        <w:rPr>
          <w:rFonts w:ascii="Avenir Next LT Pro" w:hAnsi="Avenir Next LT Pro"/>
          <w:color w:val="575F61"/>
          <w:lang w:val="en-GB"/>
        </w:rPr>
      </w:pPr>
      <w:r>
        <w:rPr>
          <w:rFonts w:ascii="Avenir Next LT Pro" w:hAnsi="Avenir Next LT Pro"/>
          <w:color w:val="575F61"/>
          <w:lang w:val="en-GB"/>
        </w:rPr>
        <w:lastRenderedPageBreak/>
        <w:t xml:space="preserve">In a number of interviews, Anglicare staff commented on the positive impact of the program, which provides children with one or more highly nutritious meals per week. In addition to ensuring children’s nutritional needs are met, we heard that it is also reducing barriers to school attendance. </w:t>
      </w:r>
    </w:p>
    <w:p w14:paraId="24B6FD00" w14:textId="77777777" w:rsidR="008E5242" w:rsidRDefault="008E5242" w:rsidP="001952AB">
      <w:pPr>
        <w:pStyle w:val="IntenseQuote"/>
        <w:spacing w:after="0"/>
      </w:pPr>
      <w:r>
        <w:t>‘</w:t>
      </w:r>
      <w:r w:rsidRPr="00FB4762">
        <w:t>We know kids don’t go to school because they don’t have anything for lunch – that isn’t to say there isn’t anything in the cupboard at home but there isn’t anything to put in what is considered an appropriate mea</w:t>
      </w:r>
      <w:r>
        <w:t>l</w:t>
      </w:r>
      <w:r w:rsidRPr="00FB4762">
        <w:t xml:space="preserve"> to take to school</w:t>
      </w:r>
      <w:r>
        <w:t>’</w:t>
      </w:r>
    </w:p>
    <w:p w14:paraId="1B14AF5C" w14:textId="77777777" w:rsidR="008E5242" w:rsidRPr="00FB4762" w:rsidRDefault="008E5242" w:rsidP="001952AB">
      <w:pPr>
        <w:pStyle w:val="IntenseQuote"/>
        <w:spacing w:before="0"/>
      </w:pPr>
      <w:r w:rsidRPr="00FB4762">
        <w:t>– Financial Counselling Manager</w:t>
      </w:r>
    </w:p>
    <w:p w14:paraId="03982568" w14:textId="77777777" w:rsidR="008E5242" w:rsidRPr="00BA3F7F" w:rsidRDefault="008E5242" w:rsidP="001952AB">
      <w:pPr>
        <w:rPr>
          <w:b/>
          <w:i/>
          <w:color w:val="1598CB"/>
        </w:rPr>
      </w:pPr>
      <w:r w:rsidRPr="002F711A">
        <w:rPr>
          <w:rFonts w:ascii="Avenir Next LT Pro" w:hAnsi="Avenir Next LT Pro"/>
          <w:color w:val="575F61"/>
          <w:lang w:val="en-GB"/>
        </w:rPr>
        <w:t>Anglicare Tasmania encourages the Tasmanian Government to continue working to expand the project</w:t>
      </w:r>
      <w:r>
        <w:rPr>
          <w:rFonts w:ascii="Avenir Next LT Pro" w:hAnsi="Avenir Next LT Pro"/>
          <w:color w:val="575F61"/>
          <w:lang w:val="en-GB"/>
        </w:rPr>
        <w:t xml:space="preserve">, with the aim of rolling it out to all public schools, prioritising schools in lower socioeconomic areas and those with lower school completion rates. </w:t>
      </w:r>
    </w:p>
    <w:p w14:paraId="7EDFB71B" w14:textId="77777777" w:rsidR="008E5242" w:rsidRPr="007B2C94" w:rsidRDefault="008E5242" w:rsidP="001952AB">
      <w:pPr>
        <w:spacing w:before="0" w:after="0"/>
        <w:rPr>
          <w:rFonts w:ascii="Avenir Next Demi Bold" w:hAnsi="Avenir Next Demi Bold"/>
          <w:b/>
          <w:color w:val="1598CB"/>
          <w:sz w:val="32"/>
          <w:szCs w:val="32"/>
        </w:rPr>
      </w:pPr>
      <w:r w:rsidRPr="007B2C94">
        <w:rPr>
          <w:rStyle w:val="Heading3Char"/>
        </w:rPr>
        <w:t>Buy essentials now, pay debt</w:t>
      </w:r>
      <w:r>
        <w:t xml:space="preserve"> </w:t>
      </w:r>
      <w:r w:rsidRPr="007B2C94">
        <w:rPr>
          <w:rStyle w:val="Heading3Char"/>
        </w:rPr>
        <w:t>later</w:t>
      </w:r>
      <w:r>
        <w:t xml:space="preserve"> </w:t>
      </w:r>
    </w:p>
    <w:p w14:paraId="67808D14" w14:textId="77777777" w:rsidR="008E5242" w:rsidRDefault="008E5242" w:rsidP="001952AB">
      <w:pPr>
        <w:rPr>
          <w:rFonts w:ascii="Avenir Next LT Pro" w:hAnsi="Avenir Next LT Pro"/>
          <w:color w:val="575F61"/>
          <w:lang w:val="en-GB"/>
        </w:rPr>
      </w:pPr>
      <w:r>
        <w:rPr>
          <w:rFonts w:ascii="Avenir Next LT Pro" w:hAnsi="Avenir Next LT Pro"/>
          <w:color w:val="575F61"/>
          <w:lang w:val="en-GB"/>
        </w:rPr>
        <w:t xml:space="preserve">Anglicare staff are extremely concerned about families’ increasing reliance on Buy Now Pay Later (BNPL) products to pay for material basics. </w:t>
      </w:r>
    </w:p>
    <w:p w14:paraId="49B12549" w14:textId="77777777" w:rsidR="008E5242" w:rsidRDefault="008E5242" w:rsidP="001952AB">
      <w:pPr>
        <w:rPr>
          <w:rFonts w:ascii="Avenir Next LT Pro" w:hAnsi="Avenir Next LT Pro"/>
          <w:color w:val="575F61"/>
          <w:lang w:val="en-GB"/>
        </w:rPr>
      </w:pPr>
      <w:r>
        <w:rPr>
          <w:rFonts w:ascii="Avenir Next LT Pro" w:hAnsi="Avenir Next LT Pro"/>
          <w:color w:val="575F61"/>
          <w:lang w:val="en-GB"/>
        </w:rPr>
        <w:t>From</w:t>
      </w:r>
      <w:r w:rsidRPr="0083237E">
        <w:rPr>
          <w:rFonts w:ascii="Avenir Next LT Pro" w:hAnsi="Avenir Next LT Pro"/>
          <w:color w:val="575F61"/>
          <w:lang w:val="en-GB"/>
        </w:rPr>
        <w:t xml:space="preserve"> June 2024, </w:t>
      </w:r>
      <w:r>
        <w:rPr>
          <w:rFonts w:ascii="Avenir Next LT Pro" w:hAnsi="Avenir Next LT Pro"/>
          <w:color w:val="575F61"/>
          <w:lang w:val="en-GB"/>
        </w:rPr>
        <w:t xml:space="preserve">BNPL lenders were classified as consumer credit providers under Australian law </w:t>
      </w:r>
      <w:r>
        <w:rPr>
          <w:rFonts w:ascii="Avenir Next LT Pro" w:hAnsi="Avenir Next LT Pro"/>
          <w:noProof/>
          <w:color w:val="575F61"/>
          <w:lang w:val="en-GB"/>
        </w:rPr>
        <w:t>(Treasury 2024)</w:t>
      </w:r>
      <w:r>
        <w:rPr>
          <w:rFonts w:ascii="Avenir Next LT Pro" w:hAnsi="Avenir Next LT Pro"/>
          <w:color w:val="575F61"/>
          <w:lang w:val="en-GB"/>
        </w:rPr>
        <w:t xml:space="preserve">. The legislative amendments aimed at holding BNPL operators accountable for the credit they provide are welcomed. Yet Financial Counsellors report that easy and quick access to BNPL credit is still causing harm to individuals. They report that families often see BNPL products as a ‘lifeline’, despite it frequently leading to a spiral of debt. </w:t>
      </w:r>
    </w:p>
    <w:p w14:paraId="2BF04660" w14:textId="77777777" w:rsidR="008E5242" w:rsidRDefault="008E5242" w:rsidP="001952AB">
      <w:pPr>
        <w:pStyle w:val="IntenseQuote"/>
        <w:spacing w:after="0"/>
      </w:pPr>
      <w:r>
        <w:t>‘</w:t>
      </w:r>
      <w:r w:rsidRPr="00C43E6D">
        <w:t>BNPL are becoming a trap – [families] use them as a tool to get essentials but it just puts you further back later</w:t>
      </w:r>
      <w:r>
        <w:t>’</w:t>
      </w:r>
      <w:r w:rsidRPr="00C43E6D">
        <w:t xml:space="preserve"> </w:t>
      </w:r>
    </w:p>
    <w:p w14:paraId="3BC89715" w14:textId="77777777" w:rsidR="008E5242" w:rsidRDefault="008E5242" w:rsidP="001952AB">
      <w:pPr>
        <w:pStyle w:val="IntenseQuote"/>
        <w:spacing w:before="0"/>
      </w:pPr>
      <w:r w:rsidRPr="00C43E6D">
        <w:t xml:space="preserve">– Child and </w:t>
      </w:r>
      <w:r>
        <w:t>F</w:t>
      </w:r>
      <w:r w:rsidRPr="00C43E6D">
        <w:t xml:space="preserve">amily </w:t>
      </w:r>
      <w:r>
        <w:t>S</w:t>
      </w:r>
      <w:r w:rsidRPr="00C43E6D">
        <w:t xml:space="preserve">ervice </w:t>
      </w:r>
      <w:r>
        <w:t>W</w:t>
      </w:r>
      <w:r w:rsidRPr="00C43E6D">
        <w:t xml:space="preserve">orker, Glenorchy </w:t>
      </w:r>
    </w:p>
    <w:p w14:paraId="1958E20A" w14:textId="77777777" w:rsidR="008E5242" w:rsidRDefault="008E5242" w:rsidP="001952AB">
      <w:pPr>
        <w:pStyle w:val="IntenseQuote"/>
        <w:spacing w:after="0"/>
      </w:pPr>
      <w:r>
        <w:t xml:space="preserve">‘We are seeing BNPL everywhere – it is being advertised on social media, in the shops – it is everywhere’ </w:t>
      </w:r>
    </w:p>
    <w:p w14:paraId="01E45235" w14:textId="77777777" w:rsidR="008E5242" w:rsidRPr="00C43E6D" w:rsidRDefault="008E5242" w:rsidP="001952AB">
      <w:pPr>
        <w:pStyle w:val="IntenseQuote"/>
        <w:spacing w:before="0" w:after="0"/>
      </w:pPr>
      <w:r>
        <w:t>– Financial Counsellor, Launceston</w:t>
      </w:r>
    </w:p>
    <w:p w14:paraId="5A8FBEA5" w14:textId="77777777" w:rsidR="0061085D" w:rsidRDefault="0061085D">
      <w:pPr>
        <w:widowControl/>
        <w:autoSpaceDE/>
        <w:autoSpaceDN/>
        <w:spacing w:before="0" w:after="160" w:line="259" w:lineRule="auto"/>
        <w:rPr>
          <w:rFonts w:ascii="Avenir Next LT Pro" w:hAnsi="Avenir Next LT Pro"/>
          <w:color w:val="575F61"/>
          <w:lang w:val="en-GB"/>
        </w:rPr>
      </w:pPr>
      <w:r>
        <w:rPr>
          <w:rFonts w:ascii="Avenir Next LT Pro" w:hAnsi="Avenir Next LT Pro"/>
          <w:color w:val="575F61"/>
          <w:lang w:val="en-GB"/>
        </w:rPr>
        <w:br w:type="page"/>
      </w:r>
    </w:p>
    <w:p w14:paraId="2F32740D" w14:textId="5C05836C" w:rsidR="008E5242" w:rsidRDefault="008E5242" w:rsidP="001952AB">
      <w:pPr>
        <w:rPr>
          <w:rFonts w:ascii="Avenir Next LT Pro" w:hAnsi="Avenir Next LT Pro"/>
          <w:color w:val="575F61"/>
          <w:lang w:val="en-GB"/>
        </w:rPr>
      </w:pPr>
      <w:r>
        <w:rPr>
          <w:rFonts w:ascii="Avenir Next LT Pro" w:hAnsi="Avenir Next LT Pro"/>
          <w:color w:val="575F61"/>
          <w:lang w:val="en-GB"/>
        </w:rPr>
        <w:lastRenderedPageBreak/>
        <w:t xml:space="preserve">The Anglicare Tasmania report </w:t>
      </w:r>
      <w:hyperlink r:id="rId23" w:history="1">
        <w:r w:rsidRPr="00706F4F">
          <w:rPr>
            <w:rStyle w:val="Hyperlink"/>
            <w:rFonts w:ascii="Avenir Next LT Pro" w:hAnsi="Avenir Next LT Pro"/>
            <w:i/>
            <w:lang w:val="en-GB"/>
          </w:rPr>
          <w:t>Buy Now, Struggle Later</w:t>
        </w:r>
      </w:hyperlink>
      <w:r>
        <w:rPr>
          <w:rFonts w:ascii="Avenir Next LT Pro" w:hAnsi="Avenir Next LT Pro"/>
          <w:color w:val="575F61"/>
          <w:lang w:val="en-GB"/>
        </w:rPr>
        <w:t xml:space="preserve"> provides more detail on the harms of BNPL lending. The report has a number of recommended actions, and we call attention to recommendation 3: </w:t>
      </w:r>
    </w:p>
    <w:tbl>
      <w:tblPr>
        <w:tblStyle w:val="TableGrid"/>
        <w:tblW w:w="0" w:type="auto"/>
        <w:tblLook w:val="04A0" w:firstRow="1" w:lastRow="0" w:firstColumn="1" w:lastColumn="0" w:noHBand="0" w:noVBand="1"/>
      </w:tblPr>
      <w:tblGrid>
        <w:gridCol w:w="9940"/>
      </w:tblGrid>
      <w:tr w:rsidR="008E5242" w14:paraId="4452C9F8" w14:textId="77777777" w:rsidTr="001952AB">
        <w:tc>
          <w:tcPr>
            <w:tcW w:w="9940" w:type="dxa"/>
          </w:tcPr>
          <w:p w14:paraId="3D9AE46D" w14:textId="77777777" w:rsidR="008E5242" w:rsidRPr="00DB2AB6" w:rsidRDefault="008E5242" w:rsidP="001952AB">
            <w:pPr>
              <w:rPr>
                <w:rFonts w:ascii="Avenir Next LT Pro" w:hAnsi="Avenir Next LT Pro"/>
                <w:b/>
                <w:color w:val="575F61"/>
                <w:lang w:val="en-GB"/>
              </w:rPr>
            </w:pPr>
            <w:r w:rsidRPr="00DB2AB6">
              <w:rPr>
                <w:rFonts w:ascii="Avenir Next LT Pro" w:hAnsi="Avenir Next LT Pro"/>
                <w:b/>
                <w:color w:val="575F61"/>
                <w:lang w:val="en-GB"/>
              </w:rPr>
              <w:t xml:space="preserve">Box </w:t>
            </w:r>
            <w:r>
              <w:rPr>
                <w:rFonts w:ascii="Avenir Next LT Pro" w:hAnsi="Avenir Next LT Pro"/>
                <w:b/>
                <w:color w:val="575F61"/>
                <w:lang w:val="en-GB"/>
              </w:rPr>
              <w:t>2</w:t>
            </w:r>
            <w:r w:rsidRPr="00DB2AB6">
              <w:rPr>
                <w:rFonts w:ascii="Avenir Next LT Pro" w:hAnsi="Avenir Next LT Pro"/>
                <w:b/>
                <w:color w:val="575F61"/>
                <w:lang w:val="en-GB"/>
              </w:rPr>
              <w:t xml:space="preserve"> – Recommendation 3 from Buy Now Struggle Later </w:t>
            </w:r>
          </w:p>
          <w:p w14:paraId="7A3A01EF" w14:textId="77777777" w:rsidR="008E5242" w:rsidRPr="00DB2AB6" w:rsidRDefault="008E5242" w:rsidP="001952AB">
            <w:pPr>
              <w:rPr>
                <w:rFonts w:ascii="Avenir Next LT Pro" w:hAnsi="Avenir Next LT Pro"/>
                <w:color w:val="575F61"/>
                <w:lang w:val="en-GB"/>
              </w:rPr>
            </w:pPr>
            <w:r w:rsidRPr="00DB2AB6">
              <w:rPr>
                <w:rFonts w:ascii="Avenir Next LT Pro" w:hAnsi="Avenir Next LT Pro"/>
                <w:color w:val="575F61"/>
                <w:lang w:val="en-GB"/>
              </w:rPr>
              <w:t>For people facing financial stress or disadvantage, improve access to services such as the No Interest Loan Scheme which have promotion of the interests and wellbeing of the ‘borrower’ as their primary aim. This includes:</w:t>
            </w:r>
          </w:p>
          <w:p w14:paraId="1E6933F3" w14:textId="77777777" w:rsidR="008E5242" w:rsidRPr="00DB2AB6" w:rsidRDefault="008E5242" w:rsidP="001952AB">
            <w:pPr>
              <w:rPr>
                <w:rFonts w:ascii="Avenir Next LT Pro" w:hAnsi="Avenir Next LT Pro"/>
                <w:color w:val="575F61"/>
                <w:lang w:val="en-GB"/>
              </w:rPr>
            </w:pPr>
            <w:r w:rsidRPr="00DB2AB6">
              <w:rPr>
                <w:rFonts w:ascii="Avenir Next LT Pro" w:hAnsi="Avenir Next LT Pro"/>
                <w:color w:val="575F61"/>
                <w:lang w:val="en-GB"/>
              </w:rPr>
              <w:t>• exploring options to integrate features of fintech into such credit products</w:t>
            </w:r>
          </w:p>
          <w:p w14:paraId="44FAAA26" w14:textId="77777777" w:rsidR="008E5242" w:rsidRPr="00DB2AB6" w:rsidRDefault="008E5242" w:rsidP="001952AB">
            <w:pPr>
              <w:rPr>
                <w:rFonts w:ascii="Avenir Next LT Pro" w:hAnsi="Avenir Next LT Pro"/>
                <w:color w:val="575F61"/>
                <w:lang w:val="en-GB"/>
              </w:rPr>
            </w:pPr>
            <w:r w:rsidRPr="00DB2AB6">
              <w:rPr>
                <w:rFonts w:ascii="Avenir Next LT Pro" w:hAnsi="Avenir Next LT Pro"/>
                <w:color w:val="575F61"/>
                <w:lang w:val="en-GB"/>
              </w:rPr>
              <w:t>• expanding the funds available for the No Interest Loan Scheme (NILS)</w:t>
            </w:r>
          </w:p>
          <w:p w14:paraId="5F5E4879" w14:textId="77777777" w:rsidR="008E5242" w:rsidRPr="00DB2AB6" w:rsidRDefault="008E5242" w:rsidP="001952AB">
            <w:pPr>
              <w:rPr>
                <w:rFonts w:ascii="Avenir Next LT Pro" w:hAnsi="Avenir Next LT Pro"/>
                <w:color w:val="575F61"/>
                <w:lang w:val="en-GB"/>
              </w:rPr>
            </w:pPr>
            <w:r w:rsidRPr="00DB2AB6">
              <w:rPr>
                <w:rFonts w:ascii="Avenir Next LT Pro" w:hAnsi="Avenir Next LT Pro"/>
                <w:color w:val="575F61"/>
                <w:lang w:val="en-GB"/>
              </w:rPr>
              <w:t>• regulatory and funding support from public sector to support expanded access</w:t>
            </w:r>
          </w:p>
          <w:p w14:paraId="3F0F2D8A" w14:textId="77777777" w:rsidR="008E5242" w:rsidRDefault="008E5242" w:rsidP="001952AB">
            <w:pPr>
              <w:rPr>
                <w:rFonts w:ascii="Avenir Next LT Pro" w:hAnsi="Avenir Next LT Pro"/>
                <w:color w:val="575F61"/>
                <w:lang w:val="en-GB"/>
              </w:rPr>
            </w:pPr>
            <w:r w:rsidRPr="00DB2AB6">
              <w:rPr>
                <w:rFonts w:ascii="Avenir Next LT Pro" w:hAnsi="Avenir Next LT Pro"/>
                <w:color w:val="575F61"/>
                <w:lang w:val="en-GB"/>
              </w:rPr>
              <w:t>• appropriate partnerships with commercial credit provider</w:t>
            </w:r>
            <w:r>
              <w:rPr>
                <w:rFonts w:ascii="Avenir Next LT Pro" w:hAnsi="Avenir Next LT Pro"/>
                <w:color w:val="575F61"/>
                <w:lang w:val="en-GB"/>
              </w:rPr>
              <w:t>s.</w:t>
            </w:r>
          </w:p>
        </w:tc>
      </w:tr>
    </w:tbl>
    <w:p w14:paraId="371B09D5" w14:textId="77777777" w:rsidR="008E5242" w:rsidRDefault="008E5242" w:rsidP="001952AB">
      <w:pPr>
        <w:rPr>
          <w:shd w:val="clear" w:color="auto" w:fill="FFFFFF"/>
        </w:rPr>
      </w:pPr>
      <w:r>
        <w:rPr>
          <w:rFonts w:ascii="Avenir Next LT Pro" w:hAnsi="Avenir Next LT Pro"/>
          <w:color w:val="575F61"/>
          <w:lang w:val="en-GB"/>
        </w:rPr>
        <w:t xml:space="preserve">The Tasmanian Government announcement of funding in the 2025 State Budget to expand NILS capacity with an additional 2000 loans is a welcome investment budget </w:t>
      </w:r>
      <w:r>
        <w:rPr>
          <w:rFonts w:ascii="Avenir Next LT Pro" w:hAnsi="Avenir Next LT Pro"/>
          <w:noProof/>
          <w:color w:val="575F61"/>
          <w:lang w:val="en-GB"/>
        </w:rPr>
        <w:t>(Tasmanian Government 2024)</w:t>
      </w:r>
      <w:r>
        <w:rPr>
          <w:rFonts w:ascii="Avenir Next LT Pro" w:hAnsi="Avenir Next LT Pro"/>
          <w:color w:val="575F61"/>
          <w:lang w:val="en-GB"/>
        </w:rPr>
        <w:t>. Alongside continued funding, we urge the Government to work towards rapidly equipping NILS and similar safe credit products with</w:t>
      </w:r>
      <w:r w:rsidRPr="00BC7A2C">
        <w:rPr>
          <w:rFonts w:ascii="Avenir Next LT Pro" w:hAnsi="Avenir Next LT Pro"/>
          <w:color w:val="575F61"/>
          <w:lang w:val="en-GB"/>
        </w:rPr>
        <w:t xml:space="preserve"> </w:t>
      </w:r>
      <w:r>
        <w:rPr>
          <w:rFonts w:ascii="Avenir Next LT Pro" w:hAnsi="Avenir Next LT Pro"/>
          <w:color w:val="575F61"/>
          <w:lang w:val="en-GB"/>
        </w:rPr>
        <w:t xml:space="preserve">fintech. This would offer a cost-free alternative to BNPL for families, allowing them to afford material basics without having to pay a lender premium. </w:t>
      </w:r>
    </w:p>
    <w:p w14:paraId="235508F2" w14:textId="77777777" w:rsidR="008E5242" w:rsidRDefault="008E5242">
      <w:pPr>
        <w:spacing w:before="0" w:after="0"/>
        <w:rPr>
          <w:shd w:val="clear" w:color="auto" w:fill="FFFFFF"/>
        </w:rPr>
      </w:pPr>
      <w:r>
        <w:rPr>
          <w:shd w:val="clear" w:color="auto" w:fill="FFFFFF"/>
        </w:rPr>
        <w:br w:type="page"/>
      </w:r>
    </w:p>
    <w:p w14:paraId="1044FA38" w14:textId="77777777" w:rsidR="008E5242" w:rsidRDefault="008E5242" w:rsidP="001952AB">
      <w:pPr>
        <w:pStyle w:val="Heading2"/>
        <w:rPr>
          <w:shd w:val="clear" w:color="auto" w:fill="FFFFFF"/>
        </w:rPr>
      </w:pPr>
      <w:bookmarkStart w:id="31" w:name="_Toc179814531"/>
      <w:r>
        <w:rPr>
          <w:shd w:val="clear" w:color="auto" w:fill="FFFFFF"/>
        </w:rPr>
        <w:lastRenderedPageBreak/>
        <w:t>Access to medical services</w:t>
      </w:r>
      <w:bookmarkEnd w:id="31"/>
    </w:p>
    <w:p w14:paraId="413FE2B4" w14:textId="77777777" w:rsidR="008E5242" w:rsidRPr="00647384" w:rsidRDefault="008E5242" w:rsidP="001952AB">
      <w:pPr>
        <w:rPr>
          <w:rFonts w:ascii="Avenir Next Demi Bold" w:hAnsi="Avenir Next Demi Bold"/>
          <w:b/>
          <w:color w:val="1598CB"/>
          <w:sz w:val="32"/>
          <w:szCs w:val="32"/>
        </w:rPr>
      </w:pPr>
      <w:r w:rsidRPr="00647384">
        <w:rPr>
          <w:rFonts w:ascii="Avenir Next Demi Bold" w:hAnsi="Avenir Next Demi Bold"/>
          <w:b/>
          <w:color w:val="1598CB"/>
          <w:sz w:val="32"/>
          <w:szCs w:val="32"/>
        </w:rPr>
        <w:t>Why it is important</w:t>
      </w:r>
    </w:p>
    <w:p w14:paraId="4AE8DB3F" w14:textId="77777777" w:rsidR="008E5242" w:rsidRDefault="008E5242" w:rsidP="001952AB">
      <w:pPr>
        <w:rPr>
          <w:rFonts w:ascii="Avenir Next LT Pro" w:hAnsi="Avenir Next LT Pro"/>
          <w:color w:val="575F61"/>
          <w:lang w:val="en-GB"/>
        </w:rPr>
      </w:pPr>
      <w:r>
        <w:rPr>
          <w:rFonts w:ascii="Avenir Next LT Pro" w:hAnsi="Avenir Next LT Pro"/>
          <w:color w:val="575F61"/>
          <w:lang w:val="en-GB"/>
        </w:rPr>
        <w:t xml:space="preserve">For children, high quality healthcare early in life sets them up for healthy adulthood. Many chronic health problems, such as asthma, heart disease, diabetes and mental health conditions have origins in childhood </w:t>
      </w:r>
      <w:r>
        <w:rPr>
          <w:rFonts w:ascii="Avenir Next LT Pro" w:hAnsi="Avenir Next LT Pro"/>
          <w:noProof/>
          <w:color w:val="575F61"/>
          <w:lang w:val="en-GB"/>
        </w:rPr>
        <w:t>(Department of Health 2019)</w:t>
      </w:r>
      <w:r>
        <w:rPr>
          <w:rFonts w:ascii="Avenir Next LT Pro" w:hAnsi="Avenir Next LT Pro"/>
          <w:color w:val="575F61"/>
          <w:lang w:val="en-GB"/>
        </w:rPr>
        <w:t xml:space="preserve">. </w:t>
      </w:r>
    </w:p>
    <w:p w14:paraId="622FE124" w14:textId="77777777" w:rsidR="008E5242" w:rsidRDefault="008E5242" w:rsidP="001952AB">
      <w:pPr>
        <w:pStyle w:val="IntenseQuote"/>
        <w:spacing w:after="0"/>
      </w:pPr>
      <w:r>
        <w:t xml:space="preserve">‘If the kids have health issues the family has to pay the medical bill but even for those on dual incomes it is difficult to afford’ </w:t>
      </w:r>
    </w:p>
    <w:p w14:paraId="61DD1970" w14:textId="77777777" w:rsidR="008E5242" w:rsidRDefault="008E5242" w:rsidP="001952AB">
      <w:pPr>
        <w:pStyle w:val="IntenseQuote"/>
        <w:spacing w:before="0"/>
      </w:pPr>
      <w:r>
        <w:t xml:space="preserve">– Financial Counsellor, Launceston </w:t>
      </w:r>
    </w:p>
    <w:p w14:paraId="7A25C516" w14:textId="77777777" w:rsidR="008E5242" w:rsidRDefault="008E5242" w:rsidP="001952AB">
      <w:pPr>
        <w:rPr>
          <w:rFonts w:ascii="Avenir Next LT Pro" w:hAnsi="Avenir Next LT Pro"/>
          <w:color w:val="575F61"/>
          <w:lang w:val="en-GB"/>
        </w:rPr>
      </w:pPr>
      <w:r>
        <w:rPr>
          <w:rFonts w:ascii="Avenir Next LT Pro" w:hAnsi="Avenir Next LT Pro"/>
          <w:color w:val="575F61"/>
          <w:lang w:val="en-GB"/>
        </w:rPr>
        <w:t xml:space="preserve">Poor medical care in childhood increases the chance of developing chronic health problems which, in turn, can reduce participation in society as an adult </w:t>
      </w:r>
      <w:r>
        <w:rPr>
          <w:rFonts w:ascii="Avenir Next LT Pro" w:hAnsi="Avenir Next LT Pro"/>
          <w:noProof/>
          <w:color w:val="575F61"/>
          <w:lang w:val="en-GB"/>
        </w:rPr>
        <w:t>(NSCDC 2020)</w:t>
      </w:r>
      <w:r>
        <w:rPr>
          <w:rFonts w:ascii="Avenir Next LT Pro" w:hAnsi="Avenir Next LT Pro"/>
          <w:color w:val="575F61"/>
          <w:lang w:val="en-GB"/>
        </w:rPr>
        <w:t xml:space="preserve"> </w:t>
      </w:r>
      <w:r>
        <w:rPr>
          <w:rFonts w:ascii="Avenir Next LT Pro" w:hAnsi="Avenir Next LT Pro"/>
          <w:noProof/>
          <w:color w:val="575F61"/>
          <w:lang w:val="en-GB"/>
        </w:rPr>
        <w:t>(Neppl et al. 2016)</w:t>
      </w:r>
      <w:r>
        <w:rPr>
          <w:rFonts w:ascii="Avenir Next LT Pro" w:hAnsi="Avenir Next LT Pro"/>
          <w:color w:val="575F61"/>
          <w:lang w:val="en-GB"/>
        </w:rPr>
        <w:t xml:space="preserve">. </w:t>
      </w:r>
    </w:p>
    <w:p w14:paraId="1606D04F" w14:textId="77777777" w:rsidR="008E5242" w:rsidRDefault="008E5242" w:rsidP="001952AB">
      <w:pPr>
        <w:pStyle w:val="IntenseQuote"/>
        <w:spacing w:after="0"/>
      </w:pPr>
      <w:r>
        <w:t>‘Clients are choosing between paying for their home or their medication’</w:t>
      </w:r>
    </w:p>
    <w:p w14:paraId="1E722F28" w14:textId="77777777" w:rsidR="008E5242" w:rsidRDefault="008E5242" w:rsidP="001952AB">
      <w:pPr>
        <w:pStyle w:val="IntenseQuote"/>
        <w:spacing w:before="0"/>
      </w:pPr>
      <w:r>
        <w:t xml:space="preserve">– Financial Counsellor, Launceston </w:t>
      </w:r>
    </w:p>
    <w:p w14:paraId="1D87DDD0" w14:textId="77777777" w:rsidR="008E5242" w:rsidRDefault="008E5242" w:rsidP="001952AB">
      <w:pPr>
        <w:pStyle w:val="Heading3"/>
      </w:pPr>
      <w:bookmarkStart w:id="32" w:name="_Toc179382443"/>
      <w:r w:rsidRPr="006756C0">
        <w:t>The cost of medical care in Tasmania</w:t>
      </w:r>
      <w:bookmarkEnd w:id="32"/>
      <w:r w:rsidRPr="006756C0">
        <w:t xml:space="preserve"> </w:t>
      </w:r>
    </w:p>
    <w:p w14:paraId="00552499" w14:textId="77777777" w:rsidR="008E5242" w:rsidRPr="005154CB" w:rsidRDefault="008E5242" w:rsidP="001952AB">
      <w:pPr>
        <w:rPr>
          <w:color w:val="1598CB"/>
        </w:rPr>
      </w:pPr>
      <w:r>
        <w:rPr>
          <w:rFonts w:ascii="Avenir Next LT Pro" w:hAnsi="Avenir Next LT Pro"/>
          <w:color w:val="575F61"/>
          <w:lang w:val="en-GB"/>
        </w:rPr>
        <w:t xml:space="preserve">Anglicare staff described families delaying, rationing or going without medical care because they could not afford it. </w:t>
      </w:r>
    </w:p>
    <w:p w14:paraId="5D699F41" w14:textId="77777777" w:rsidR="008E5242" w:rsidRDefault="008E5242" w:rsidP="001952AB">
      <w:pPr>
        <w:rPr>
          <w:rFonts w:ascii="Avenir Next LT Pro" w:hAnsi="Avenir Next LT Pro"/>
          <w:color w:val="575F61"/>
          <w:lang w:val="en-GB"/>
        </w:rPr>
      </w:pPr>
      <w:r>
        <w:rPr>
          <w:rFonts w:ascii="Avenir Next LT Pro" w:hAnsi="Avenir Next LT Pro"/>
          <w:color w:val="575F61"/>
          <w:lang w:val="en-GB"/>
        </w:rPr>
        <w:t xml:space="preserve">In the latest </w:t>
      </w:r>
      <w:r w:rsidRPr="00BB1D17">
        <w:rPr>
          <w:rFonts w:ascii="Avenir Next LT Pro" w:hAnsi="Avenir Next LT Pro"/>
          <w:color w:val="575F61"/>
          <w:lang w:val="en-GB"/>
        </w:rPr>
        <w:t xml:space="preserve">Tasmanian Community Sentiment Survey, </w:t>
      </w:r>
      <w:r>
        <w:rPr>
          <w:rFonts w:ascii="Avenir Next LT Pro" w:hAnsi="Avenir Next LT Pro"/>
          <w:color w:val="575F61"/>
          <w:lang w:val="en-GB"/>
        </w:rPr>
        <w:t>one</w:t>
      </w:r>
      <w:r w:rsidRPr="00BB1D17">
        <w:rPr>
          <w:rFonts w:ascii="Avenir Next LT Pro" w:hAnsi="Avenir Next LT Pro"/>
          <w:color w:val="575F61"/>
          <w:lang w:val="en-GB"/>
        </w:rPr>
        <w:t xml:space="preserve"> in </w:t>
      </w:r>
      <w:r>
        <w:rPr>
          <w:rFonts w:ascii="Avenir Next LT Pro" w:hAnsi="Avenir Next LT Pro"/>
          <w:color w:val="575F61"/>
          <w:lang w:val="en-GB"/>
        </w:rPr>
        <w:t>ten</w:t>
      </w:r>
      <w:r w:rsidRPr="00BB1D17">
        <w:rPr>
          <w:rFonts w:ascii="Avenir Next LT Pro" w:hAnsi="Avenir Next LT Pro"/>
          <w:color w:val="575F61"/>
          <w:lang w:val="en-GB"/>
        </w:rPr>
        <w:t xml:space="preserve"> Tasmanians </w:t>
      </w:r>
      <w:r>
        <w:rPr>
          <w:rFonts w:ascii="Avenir Next LT Pro" w:hAnsi="Avenir Next LT Pro"/>
          <w:color w:val="575F61"/>
          <w:lang w:val="en-GB"/>
        </w:rPr>
        <w:t xml:space="preserve">reported going </w:t>
      </w:r>
      <w:r w:rsidRPr="00BB1D17">
        <w:rPr>
          <w:rFonts w:ascii="Avenir Next LT Pro" w:hAnsi="Avenir Next LT Pro"/>
          <w:color w:val="575F61"/>
          <w:lang w:val="en-GB"/>
        </w:rPr>
        <w:t xml:space="preserve">without medical care </w:t>
      </w:r>
      <w:r>
        <w:rPr>
          <w:rFonts w:ascii="Avenir Next LT Pro" w:hAnsi="Avenir Next LT Pro"/>
          <w:color w:val="575F61"/>
          <w:lang w:val="en-GB"/>
        </w:rPr>
        <w:t>between June and December 2023 due</w:t>
      </w:r>
      <w:r w:rsidRPr="00BB1D17">
        <w:rPr>
          <w:rFonts w:ascii="Avenir Next LT Pro" w:hAnsi="Avenir Next LT Pro"/>
          <w:color w:val="575F61"/>
          <w:lang w:val="en-GB"/>
        </w:rPr>
        <w:t xml:space="preserve"> to cost concerns</w:t>
      </w:r>
      <w:r>
        <w:rPr>
          <w:rFonts w:ascii="Avenir Next LT Pro" w:hAnsi="Avenir Next LT Pro"/>
          <w:color w:val="575F61"/>
          <w:lang w:val="en-GB"/>
        </w:rPr>
        <w:t xml:space="preserve"> </w:t>
      </w:r>
      <w:r>
        <w:rPr>
          <w:rFonts w:ascii="Avenir Next LT Pro" w:hAnsi="Avenir Next LT Pro"/>
          <w:noProof/>
          <w:color w:val="575F61"/>
          <w:lang w:val="en-GB"/>
        </w:rPr>
        <w:t>(Moloney 2024)</w:t>
      </w:r>
      <w:r w:rsidRPr="00BB1D17">
        <w:rPr>
          <w:rFonts w:ascii="Avenir Next LT Pro" w:hAnsi="Avenir Next LT Pro"/>
          <w:color w:val="575F61"/>
          <w:lang w:val="en-GB"/>
        </w:rPr>
        <w:t xml:space="preserve">. </w:t>
      </w:r>
      <w:r>
        <w:rPr>
          <w:rFonts w:ascii="Avenir Next LT Pro" w:hAnsi="Avenir Next LT Pro"/>
          <w:color w:val="575F61"/>
          <w:lang w:val="en-GB"/>
        </w:rPr>
        <w:t xml:space="preserve">This is supported by data showing that Tasmania has the lowest bulk-billing rate in the country, with only 0.9% of clinics bulk-billing compared to the national rate of 24.2% </w:t>
      </w:r>
      <w:r>
        <w:rPr>
          <w:rFonts w:ascii="Avenir Next LT Pro" w:hAnsi="Avenir Next LT Pro"/>
          <w:noProof/>
          <w:color w:val="575F61"/>
          <w:lang w:val="en-GB"/>
        </w:rPr>
        <w:t>(Gillespie 2024)</w:t>
      </w:r>
      <w:r>
        <w:rPr>
          <w:rFonts w:ascii="Avenir Next LT Pro" w:hAnsi="Avenir Next LT Pro"/>
          <w:color w:val="575F61"/>
          <w:lang w:val="en-GB"/>
        </w:rPr>
        <w:t xml:space="preserve">. </w:t>
      </w:r>
    </w:p>
    <w:p w14:paraId="380F57C2" w14:textId="77777777" w:rsidR="008E5242" w:rsidRDefault="008E5242" w:rsidP="001952AB">
      <w:pPr>
        <w:pStyle w:val="IntenseQuote"/>
        <w:spacing w:after="0"/>
      </w:pPr>
      <w:r>
        <w:t>‘</w:t>
      </w:r>
      <w:r w:rsidRPr="0073061A">
        <w:t>Bulk</w:t>
      </w:r>
      <w:r>
        <w:t>-</w:t>
      </w:r>
      <w:r w:rsidRPr="0073061A">
        <w:t>billing – it just doesn’t exist up here</w:t>
      </w:r>
      <w:r>
        <w:t>’</w:t>
      </w:r>
    </w:p>
    <w:p w14:paraId="3FA678DB" w14:textId="77777777" w:rsidR="008E5242" w:rsidRPr="0073061A" w:rsidRDefault="008E5242" w:rsidP="001952AB">
      <w:pPr>
        <w:pStyle w:val="IntenseQuote"/>
        <w:spacing w:before="0"/>
      </w:pPr>
      <w:r w:rsidRPr="0073061A">
        <w:t xml:space="preserve">– Financial </w:t>
      </w:r>
      <w:r>
        <w:t>C</w:t>
      </w:r>
      <w:r w:rsidRPr="0073061A">
        <w:t>ounsel</w:t>
      </w:r>
      <w:r>
        <w:t>l</w:t>
      </w:r>
      <w:r w:rsidRPr="0073061A">
        <w:t xml:space="preserve">or, Launceston </w:t>
      </w:r>
    </w:p>
    <w:p w14:paraId="7077390E" w14:textId="77777777" w:rsidR="008E5242" w:rsidRDefault="008E5242" w:rsidP="001952AB">
      <w:pPr>
        <w:pStyle w:val="IntenseQuote"/>
        <w:spacing w:before="0" w:after="0"/>
      </w:pPr>
      <w:r>
        <w:t xml:space="preserve">‘Families can’t afford fees for [medical] appointments’ </w:t>
      </w:r>
    </w:p>
    <w:p w14:paraId="28D4C393" w14:textId="77777777" w:rsidR="008E5242" w:rsidRDefault="008E5242" w:rsidP="001952AB">
      <w:pPr>
        <w:pStyle w:val="IntenseQuote"/>
        <w:spacing w:before="0" w:after="0"/>
      </w:pPr>
      <w:r>
        <w:rPr>
          <w:rFonts w:ascii="Calibri" w:hAnsi="Calibri" w:cs="Calibri"/>
        </w:rPr>
        <w:t>—</w:t>
      </w:r>
      <w:r>
        <w:t xml:space="preserve"> Child and Family Service Worker, Glenorchy</w:t>
      </w:r>
    </w:p>
    <w:p w14:paraId="055FB10D" w14:textId="77777777" w:rsidR="008E5242" w:rsidRDefault="008E5242" w:rsidP="001952AB">
      <w:pPr>
        <w:spacing w:before="0" w:after="0"/>
        <w:rPr>
          <w:rFonts w:ascii="Avenir Next LT Pro" w:hAnsi="Avenir Next LT Pro"/>
          <w:color w:val="575F61"/>
          <w:lang w:val="en-GB"/>
        </w:rPr>
      </w:pPr>
      <w:r>
        <w:rPr>
          <w:rFonts w:ascii="Avenir Next LT Pro" w:hAnsi="Avenir Next LT Pro"/>
          <w:color w:val="575F61"/>
          <w:lang w:val="en-GB"/>
        </w:rPr>
        <w:t>With</w:t>
      </w:r>
      <w:r w:rsidRPr="006172F4">
        <w:rPr>
          <w:rFonts w:ascii="Avenir Next LT Pro" w:hAnsi="Avenir Next LT Pro"/>
          <w:color w:val="575F61"/>
          <w:lang w:val="en-GB"/>
        </w:rPr>
        <w:t xml:space="preserve"> bulk bill</w:t>
      </w:r>
      <w:r>
        <w:rPr>
          <w:rFonts w:ascii="Avenir Next LT Pro" w:hAnsi="Avenir Next LT Pro"/>
          <w:color w:val="575F61"/>
          <w:lang w:val="en-GB"/>
        </w:rPr>
        <w:t>ed medical services</w:t>
      </w:r>
      <w:r w:rsidRPr="006172F4">
        <w:rPr>
          <w:rFonts w:ascii="Avenir Next LT Pro" w:hAnsi="Avenir Next LT Pro"/>
          <w:color w:val="575F61"/>
          <w:lang w:val="en-GB"/>
        </w:rPr>
        <w:t xml:space="preserve"> </w:t>
      </w:r>
      <w:r>
        <w:rPr>
          <w:rFonts w:ascii="Avenir Next LT Pro" w:hAnsi="Avenir Next LT Pro"/>
          <w:color w:val="575F61"/>
          <w:lang w:val="en-GB"/>
        </w:rPr>
        <w:t>in short supply, we heard that Tasmanians who are unwell and struggling with the cost of living have to choose between:</w:t>
      </w:r>
    </w:p>
    <w:p w14:paraId="4318009C" w14:textId="77777777" w:rsidR="008E5242" w:rsidRPr="00D142E9" w:rsidRDefault="008E5242" w:rsidP="00867219">
      <w:pPr>
        <w:pStyle w:val="ListParagraph"/>
      </w:pPr>
      <w:r>
        <w:t>s</w:t>
      </w:r>
      <w:r w:rsidRPr="00D142E9">
        <w:t xml:space="preserve">ourcing the funds to cover the cost of the appointment at a private clinic </w:t>
      </w:r>
    </w:p>
    <w:p w14:paraId="0ADC460E" w14:textId="77777777" w:rsidR="008E5242" w:rsidRPr="00D142E9" w:rsidRDefault="008E5242" w:rsidP="00867219">
      <w:pPr>
        <w:pStyle w:val="ListParagraph"/>
      </w:pPr>
      <w:r>
        <w:t>j</w:t>
      </w:r>
      <w:r w:rsidRPr="00D142E9">
        <w:t>oining the waitlist for a bulk</w:t>
      </w:r>
      <w:r>
        <w:t>-</w:t>
      </w:r>
      <w:r w:rsidRPr="00D142E9">
        <w:t xml:space="preserve">billing clinic, which </w:t>
      </w:r>
      <w:r>
        <w:t>will be</w:t>
      </w:r>
      <w:r w:rsidRPr="00D142E9">
        <w:t xml:space="preserve"> weeks or months long </w:t>
      </w:r>
    </w:p>
    <w:p w14:paraId="3F783159" w14:textId="77777777" w:rsidR="008E5242" w:rsidRDefault="008E5242" w:rsidP="00867219">
      <w:pPr>
        <w:pStyle w:val="ListParagraph"/>
      </w:pPr>
      <w:r>
        <w:t>f</w:t>
      </w:r>
      <w:r w:rsidRPr="00D142E9">
        <w:t xml:space="preserve">orgoing medical care, self-treating illnesses or accessing emergency medical care at a public hospital when their medical condition worsens. </w:t>
      </w:r>
    </w:p>
    <w:p w14:paraId="0109E7E5" w14:textId="77777777" w:rsidR="008E5242" w:rsidRDefault="008E5242">
      <w:pPr>
        <w:spacing w:before="0" w:after="0"/>
        <w:rPr>
          <w:rFonts w:ascii="Avenir Next LT Pro" w:hAnsi="Avenir Next LT Pro"/>
          <w:color w:val="595959" w:themeColor="text1" w:themeTint="A6"/>
          <w:lang w:val="en-GB"/>
        </w:rPr>
      </w:pPr>
      <w:r>
        <w:lastRenderedPageBreak/>
        <w:br w:type="page"/>
      </w:r>
    </w:p>
    <w:p w14:paraId="7411F762" w14:textId="77777777" w:rsidR="008E5242" w:rsidRDefault="008E5242" w:rsidP="001952AB">
      <w:pPr>
        <w:pStyle w:val="IntenseQuote"/>
        <w:spacing w:after="0"/>
      </w:pPr>
      <w:r>
        <w:lastRenderedPageBreak/>
        <w:t>‘Some can’t afford [medical care] because their rent is just too high’</w:t>
      </w:r>
    </w:p>
    <w:p w14:paraId="704C5779" w14:textId="77777777" w:rsidR="008E5242" w:rsidRDefault="008E5242" w:rsidP="001952AB">
      <w:pPr>
        <w:pStyle w:val="IntenseQuote"/>
        <w:spacing w:before="0"/>
      </w:pPr>
      <w:r>
        <w:t xml:space="preserve">– Child and Family Worker, Devonport </w:t>
      </w:r>
    </w:p>
    <w:p w14:paraId="3BC49F7D" w14:textId="77777777" w:rsidR="008E5242" w:rsidRDefault="008E5242" w:rsidP="001952AB">
      <w:pPr>
        <w:rPr>
          <w:rFonts w:ascii="Avenir Next LT Pro" w:hAnsi="Avenir Next LT Pro"/>
          <w:color w:val="575F61"/>
          <w:lang w:val="en-GB"/>
        </w:rPr>
      </w:pPr>
      <w:r>
        <w:rPr>
          <w:rFonts w:ascii="Avenir Next LT Pro" w:hAnsi="Avenir Next LT Pro"/>
          <w:color w:val="575F61"/>
          <w:lang w:val="en-GB"/>
        </w:rPr>
        <w:t>In a comparison of the gap fee paid in capital cities around Australia in 2022-23, Hobart is the least affordable after income is taken into account. Hobart, which has the lowest median weekly household income, has the second highest out-of-pocket fees for GP appointments, second only to Canberra, the city with the highest weekly household income. The average out-of-pocket cost for all of Tasmania has grown 8.5% over the last year, more than 2.5 times the national average of 3.1%.</w:t>
      </w:r>
    </w:p>
    <w:p w14:paraId="012752DC" w14:textId="5ACBDE0F" w:rsidR="008E5242" w:rsidRPr="007A62B9" w:rsidRDefault="0061085D" w:rsidP="001952AB">
      <w:pPr>
        <w:spacing w:before="0" w:after="0"/>
        <w:rPr>
          <w:rFonts w:ascii="Avenir Next LT Pro" w:hAnsi="Avenir Next LT Pro"/>
          <w:color w:val="575F61"/>
          <w:lang w:val="en-GB"/>
        </w:rPr>
      </w:pPr>
      <w:r w:rsidRPr="0061085D">
        <w:rPr>
          <w:rFonts w:ascii="Avenir Next LT Pro" w:hAnsi="Avenir Next LT Pro"/>
          <w:noProof/>
          <w:color w:val="575F61"/>
          <w:lang w:val="en-GB"/>
        </w:rPr>
        <w:drawing>
          <wp:inline distT="0" distB="0" distL="0" distR="0" wp14:anchorId="5A12BE03" wp14:editId="5DD87E54">
            <wp:extent cx="6318250" cy="2205355"/>
            <wp:effectExtent l="0" t="0" r="6350" b="4445"/>
            <wp:docPr id="61" name="Picture 61" descr="Table showing General Practitioner fees. The Medical rebate is $40. Upfront fees range from $70 in Adelaide to $92 in Canberra, with most being $80 to $85. Hobart's is $87. Out-of-pocket costs range from $52 in Canberra to $30 in Adelaide, with most being $40 to $45. Hobart is $47. Weekly median household income ranges from $2419 in Canberra to $1517 in Hob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318250" cy="2205355"/>
                    </a:xfrm>
                    <a:prstGeom prst="rect">
                      <a:avLst/>
                    </a:prstGeom>
                  </pic:spPr>
                </pic:pic>
              </a:graphicData>
            </a:graphic>
          </wp:inline>
        </w:drawing>
      </w:r>
    </w:p>
    <w:p w14:paraId="0D8ED446" w14:textId="77777777" w:rsidR="008E5242" w:rsidRPr="007A62B9" w:rsidRDefault="008E5242" w:rsidP="001952AB">
      <w:pPr>
        <w:spacing w:after="0"/>
        <w:rPr>
          <w:rFonts w:ascii="Avenir Next LT Pro" w:hAnsi="Avenir Next LT Pro"/>
          <w:color w:val="575F61"/>
          <w:lang w:val="en-GB"/>
        </w:rPr>
      </w:pPr>
      <w:r>
        <w:rPr>
          <w:rFonts w:ascii="Avenir Next LT Pro" w:hAnsi="Avenir Next LT Pro"/>
          <w:color w:val="575F61"/>
          <w:lang w:val="en-GB"/>
        </w:rPr>
        <w:t xml:space="preserve">Source: </w:t>
      </w:r>
      <w:r>
        <w:rPr>
          <w:rFonts w:ascii="Avenir Next LT Pro" w:hAnsi="Avenir Next LT Pro"/>
          <w:noProof/>
          <w:color w:val="575F61"/>
          <w:lang w:val="en-GB"/>
        </w:rPr>
        <w:t>(DHAC n. d.)</w:t>
      </w:r>
    </w:p>
    <w:p w14:paraId="3B723EDF" w14:textId="77777777" w:rsidR="008E5242" w:rsidRDefault="008E5242" w:rsidP="001952AB">
      <w:pPr>
        <w:pStyle w:val="IntenseQuote"/>
        <w:spacing w:after="0"/>
      </w:pPr>
      <w:r>
        <w:t xml:space="preserve"> ‘</w:t>
      </w:r>
      <w:r w:rsidRPr="00F70AFD">
        <w:t>Medicare rebate gives some back but not all – AND you need the money up front</w:t>
      </w:r>
      <w:r>
        <w:t>’</w:t>
      </w:r>
      <w:r w:rsidRPr="00F70AFD">
        <w:t xml:space="preserve"> </w:t>
      </w:r>
    </w:p>
    <w:p w14:paraId="28E2C8C1" w14:textId="77777777" w:rsidR="008E5242" w:rsidRPr="00D751E0" w:rsidRDefault="008E5242" w:rsidP="001952AB">
      <w:pPr>
        <w:pStyle w:val="IntenseQuote"/>
        <w:spacing w:before="0"/>
      </w:pPr>
      <w:r w:rsidRPr="00F70AFD">
        <w:t xml:space="preserve">– Child and Family Worker, </w:t>
      </w:r>
      <w:r>
        <w:t xml:space="preserve">Devonport </w:t>
      </w:r>
    </w:p>
    <w:p w14:paraId="1F3C627E" w14:textId="77777777" w:rsidR="008E5242" w:rsidRDefault="008E5242" w:rsidP="001952AB">
      <w:pPr>
        <w:pStyle w:val="Heading3"/>
      </w:pPr>
      <w:bookmarkStart w:id="33" w:name="_Toc179382444"/>
      <w:r>
        <w:t>Playing catch-up – indexation of Medicare</w:t>
      </w:r>
      <w:bookmarkEnd w:id="33"/>
      <w:r>
        <w:t xml:space="preserve"> </w:t>
      </w:r>
    </w:p>
    <w:p w14:paraId="6A9B2F19" w14:textId="77777777" w:rsidR="008E5242" w:rsidRPr="00C617FF" w:rsidRDefault="008E5242" w:rsidP="001952AB">
      <w:pPr>
        <w:pStyle w:val="TitleinText"/>
        <w:rPr>
          <w:rFonts w:ascii="Avenir Next LT Pro" w:hAnsi="Avenir Next LT Pro"/>
          <w:b w:val="0"/>
          <w:bCs w:val="0"/>
          <w:color w:val="575F61"/>
          <w:szCs w:val="22"/>
          <w:lang w:val="en-GB"/>
        </w:rPr>
      </w:pPr>
      <w:r w:rsidRPr="00C617FF">
        <w:rPr>
          <w:rFonts w:ascii="Avenir Next LT Pro" w:hAnsi="Avenir Next LT Pro"/>
          <w:b w:val="0"/>
          <w:bCs w:val="0"/>
          <w:color w:val="575F61"/>
          <w:szCs w:val="22"/>
          <w:lang w:val="en-GB"/>
        </w:rPr>
        <w:t>Over the past two decade</w:t>
      </w:r>
      <w:r>
        <w:rPr>
          <w:rFonts w:ascii="Avenir Next LT Pro" w:hAnsi="Avenir Next LT Pro"/>
          <w:b w:val="0"/>
          <w:bCs w:val="0"/>
          <w:color w:val="575F61"/>
          <w:szCs w:val="22"/>
          <w:lang w:val="en-GB"/>
        </w:rPr>
        <w:t>s</w:t>
      </w:r>
      <w:r w:rsidRPr="00C617FF">
        <w:rPr>
          <w:rFonts w:ascii="Avenir Next LT Pro" w:hAnsi="Avenir Next LT Pro"/>
          <w:b w:val="0"/>
          <w:bCs w:val="0"/>
          <w:color w:val="575F61"/>
          <w:szCs w:val="22"/>
          <w:lang w:val="en-GB"/>
        </w:rPr>
        <w:t xml:space="preserve"> the out</w:t>
      </w:r>
      <w:r>
        <w:rPr>
          <w:rFonts w:ascii="Avenir Next LT Pro" w:hAnsi="Avenir Next LT Pro"/>
          <w:b w:val="0"/>
          <w:bCs w:val="0"/>
          <w:color w:val="575F61"/>
          <w:szCs w:val="22"/>
          <w:lang w:val="en-GB"/>
        </w:rPr>
        <w:t>-</w:t>
      </w:r>
      <w:r w:rsidRPr="00C617FF">
        <w:rPr>
          <w:rFonts w:ascii="Avenir Next LT Pro" w:hAnsi="Avenir Next LT Pro"/>
          <w:b w:val="0"/>
          <w:bCs w:val="0"/>
          <w:color w:val="575F61"/>
          <w:szCs w:val="22"/>
          <w:lang w:val="en-GB"/>
        </w:rPr>
        <w:t>of</w:t>
      </w:r>
      <w:r>
        <w:rPr>
          <w:rFonts w:ascii="Avenir Next LT Pro" w:hAnsi="Avenir Next LT Pro"/>
          <w:b w:val="0"/>
          <w:bCs w:val="0"/>
          <w:color w:val="575F61"/>
          <w:szCs w:val="22"/>
          <w:lang w:val="en-GB"/>
        </w:rPr>
        <w:t>-</w:t>
      </w:r>
      <w:r w:rsidRPr="00C617FF">
        <w:rPr>
          <w:rFonts w:ascii="Avenir Next LT Pro" w:hAnsi="Avenir Next LT Pro"/>
          <w:b w:val="0"/>
          <w:bCs w:val="0"/>
          <w:color w:val="575F61"/>
          <w:szCs w:val="22"/>
          <w:lang w:val="en-GB"/>
        </w:rPr>
        <w:t>pocket cost</w:t>
      </w:r>
      <w:r>
        <w:rPr>
          <w:rFonts w:ascii="Avenir Next LT Pro" w:hAnsi="Avenir Next LT Pro"/>
          <w:b w:val="0"/>
          <w:bCs w:val="0"/>
          <w:color w:val="575F61"/>
          <w:szCs w:val="22"/>
          <w:lang w:val="en-GB"/>
        </w:rPr>
        <w:t xml:space="preserve"> of </w:t>
      </w:r>
      <w:r w:rsidRPr="00C617FF">
        <w:rPr>
          <w:rFonts w:ascii="Avenir Next LT Pro" w:hAnsi="Avenir Next LT Pro"/>
          <w:b w:val="0"/>
          <w:bCs w:val="0"/>
          <w:color w:val="575F61"/>
          <w:szCs w:val="22"/>
          <w:lang w:val="en-GB"/>
        </w:rPr>
        <w:t xml:space="preserve">medical and mental health care has been increasing. It is now more expensive to visit a private practice because </w:t>
      </w:r>
      <w:r>
        <w:rPr>
          <w:rFonts w:ascii="Avenir Next LT Pro" w:hAnsi="Avenir Next LT Pro"/>
          <w:b w:val="0"/>
          <w:bCs w:val="0"/>
          <w:color w:val="575F61"/>
          <w:szCs w:val="22"/>
          <w:lang w:val="en-GB"/>
        </w:rPr>
        <w:t xml:space="preserve">the share paid by the government, the Medicare rebate, has </w:t>
      </w:r>
      <w:r w:rsidRPr="00C617FF">
        <w:rPr>
          <w:rFonts w:ascii="Avenir Next LT Pro" w:hAnsi="Avenir Next LT Pro"/>
          <w:b w:val="0"/>
          <w:bCs w:val="0"/>
          <w:color w:val="575F61"/>
          <w:szCs w:val="22"/>
          <w:lang w:val="en-GB"/>
        </w:rPr>
        <w:t xml:space="preserve">not </w:t>
      </w:r>
      <w:r>
        <w:rPr>
          <w:rFonts w:ascii="Avenir Next LT Pro" w:hAnsi="Avenir Next LT Pro"/>
          <w:b w:val="0"/>
          <w:bCs w:val="0"/>
          <w:color w:val="575F61"/>
          <w:szCs w:val="22"/>
          <w:lang w:val="en-GB"/>
        </w:rPr>
        <w:t>kept</w:t>
      </w:r>
      <w:r w:rsidRPr="00C617FF">
        <w:rPr>
          <w:rFonts w:ascii="Avenir Next LT Pro" w:hAnsi="Avenir Next LT Pro"/>
          <w:b w:val="0"/>
          <w:bCs w:val="0"/>
          <w:color w:val="575F61"/>
          <w:szCs w:val="22"/>
          <w:lang w:val="en-GB"/>
        </w:rPr>
        <w:t xml:space="preserve"> pace with </w:t>
      </w:r>
      <w:r>
        <w:rPr>
          <w:rFonts w:ascii="Avenir Next LT Pro" w:hAnsi="Avenir Next LT Pro"/>
          <w:b w:val="0"/>
          <w:bCs w:val="0"/>
          <w:color w:val="575F61"/>
          <w:szCs w:val="22"/>
          <w:lang w:val="en-GB"/>
        </w:rPr>
        <w:t>the rising cost of medical services.</w:t>
      </w:r>
    </w:p>
    <w:p w14:paraId="5E6ABC2E" w14:textId="77777777" w:rsidR="008E5242" w:rsidRDefault="008E5242" w:rsidP="001952AB">
      <w:pPr>
        <w:pStyle w:val="TitleinText"/>
        <w:rPr>
          <w:rFonts w:ascii="Avenir Next LT Pro" w:hAnsi="Avenir Next LT Pro"/>
          <w:b w:val="0"/>
          <w:bCs w:val="0"/>
          <w:color w:val="575F61"/>
          <w:szCs w:val="22"/>
          <w:lang w:val="en-GB"/>
        </w:rPr>
      </w:pPr>
      <w:r w:rsidRPr="00421A37">
        <w:rPr>
          <w:rFonts w:ascii="Avenir Next LT Pro" w:hAnsi="Avenir Next LT Pro"/>
          <w:b w:val="0"/>
          <w:bCs w:val="0"/>
          <w:color w:val="575F61"/>
          <w:szCs w:val="22"/>
          <w:lang w:val="en-GB"/>
        </w:rPr>
        <w:t xml:space="preserve">On 1 July 2024, the Department of Health and Aged Care increased </w:t>
      </w:r>
      <w:r>
        <w:rPr>
          <w:rFonts w:ascii="Avenir Next LT Pro" w:hAnsi="Avenir Next LT Pro"/>
          <w:b w:val="0"/>
          <w:bCs w:val="0"/>
          <w:color w:val="575F61"/>
          <w:szCs w:val="22"/>
          <w:lang w:val="en-GB"/>
        </w:rPr>
        <w:t>the indexation of Medicare rebates</w:t>
      </w:r>
      <w:r w:rsidRPr="00421A37">
        <w:rPr>
          <w:rFonts w:ascii="Avenir Next LT Pro" w:hAnsi="Avenir Next LT Pro"/>
          <w:b w:val="0"/>
          <w:bCs w:val="0"/>
          <w:color w:val="575F61"/>
          <w:szCs w:val="22"/>
          <w:lang w:val="en-GB"/>
        </w:rPr>
        <w:t xml:space="preserve"> by 3.5</w:t>
      </w:r>
      <w:r>
        <w:rPr>
          <w:rFonts w:ascii="Avenir Next LT Pro" w:hAnsi="Avenir Next LT Pro"/>
          <w:b w:val="0"/>
          <w:bCs w:val="0"/>
          <w:color w:val="575F61"/>
          <w:szCs w:val="22"/>
          <w:lang w:val="en-GB"/>
        </w:rPr>
        <w:t xml:space="preserve">% </w:t>
      </w:r>
      <w:r>
        <w:rPr>
          <w:rFonts w:ascii="Avenir Next LT Pro" w:hAnsi="Avenir Next LT Pro"/>
          <w:b w:val="0"/>
          <w:bCs w:val="0"/>
          <w:noProof/>
          <w:color w:val="575F61"/>
          <w:szCs w:val="22"/>
          <w:lang w:val="en-GB"/>
        </w:rPr>
        <w:t>(DHAC 2024a)</w:t>
      </w:r>
      <w:r w:rsidRPr="00421A37">
        <w:rPr>
          <w:rFonts w:ascii="Avenir Next LT Pro" w:hAnsi="Avenir Next LT Pro"/>
          <w:b w:val="0"/>
          <w:bCs w:val="0"/>
          <w:color w:val="575F61"/>
          <w:szCs w:val="22"/>
          <w:lang w:val="en-GB"/>
        </w:rPr>
        <w:t>. While this is welcom</w:t>
      </w:r>
      <w:r>
        <w:rPr>
          <w:rFonts w:ascii="Avenir Next LT Pro" w:hAnsi="Avenir Next LT Pro"/>
          <w:b w:val="0"/>
          <w:bCs w:val="0"/>
          <w:color w:val="575F61"/>
          <w:szCs w:val="22"/>
          <w:lang w:val="en-GB"/>
        </w:rPr>
        <w:t>e</w:t>
      </w:r>
      <w:r w:rsidRPr="00421A37">
        <w:rPr>
          <w:rFonts w:ascii="Avenir Next LT Pro" w:hAnsi="Avenir Next LT Pro"/>
          <w:b w:val="0"/>
          <w:bCs w:val="0"/>
          <w:color w:val="575F61"/>
          <w:szCs w:val="22"/>
          <w:lang w:val="en-GB"/>
        </w:rPr>
        <w:t xml:space="preserve"> news, the </w:t>
      </w:r>
      <w:r>
        <w:rPr>
          <w:rFonts w:ascii="Avenir Next LT Pro" w:hAnsi="Avenir Next LT Pro"/>
          <w:b w:val="0"/>
          <w:bCs w:val="0"/>
          <w:color w:val="575F61"/>
          <w:szCs w:val="22"/>
          <w:lang w:val="en-GB"/>
        </w:rPr>
        <w:t>rebate</w:t>
      </w:r>
      <w:r w:rsidRPr="00421A37">
        <w:rPr>
          <w:rFonts w:ascii="Avenir Next LT Pro" w:hAnsi="Avenir Next LT Pro"/>
          <w:b w:val="0"/>
          <w:bCs w:val="0"/>
          <w:color w:val="575F61"/>
          <w:szCs w:val="22"/>
          <w:lang w:val="en-GB"/>
        </w:rPr>
        <w:t xml:space="preserve"> is still substantially </w:t>
      </w:r>
      <w:r>
        <w:rPr>
          <w:rFonts w:ascii="Avenir Next LT Pro" w:hAnsi="Avenir Next LT Pro"/>
          <w:b w:val="0"/>
          <w:bCs w:val="0"/>
          <w:color w:val="575F61"/>
          <w:szCs w:val="22"/>
          <w:lang w:val="en-GB"/>
        </w:rPr>
        <w:t>below</w:t>
      </w:r>
      <w:r w:rsidRPr="00421A37">
        <w:rPr>
          <w:rFonts w:ascii="Avenir Next LT Pro" w:hAnsi="Avenir Next LT Pro"/>
          <w:b w:val="0"/>
          <w:bCs w:val="0"/>
          <w:color w:val="575F61"/>
          <w:szCs w:val="22"/>
          <w:lang w:val="en-GB"/>
        </w:rPr>
        <w:t xml:space="preserve"> the </w:t>
      </w:r>
      <w:r>
        <w:rPr>
          <w:rFonts w:ascii="Avenir Next LT Pro" w:hAnsi="Avenir Next LT Pro"/>
          <w:b w:val="0"/>
          <w:bCs w:val="0"/>
          <w:color w:val="575F61"/>
          <w:szCs w:val="22"/>
          <w:lang w:val="en-GB"/>
        </w:rPr>
        <w:t>cost of accessing</w:t>
      </w:r>
      <w:r w:rsidRPr="00421A37">
        <w:rPr>
          <w:rFonts w:ascii="Avenir Next LT Pro" w:hAnsi="Avenir Next LT Pro"/>
          <w:b w:val="0"/>
          <w:bCs w:val="0"/>
          <w:color w:val="575F61"/>
          <w:szCs w:val="22"/>
          <w:lang w:val="en-GB"/>
        </w:rPr>
        <w:t xml:space="preserve"> health services. </w:t>
      </w:r>
    </w:p>
    <w:p w14:paraId="3FC21258" w14:textId="77777777" w:rsidR="008E5242" w:rsidRPr="00196DDE" w:rsidRDefault="008E5242" w:rsidP="001952AB">
      <w:pPr>
        <w:pStyle w:val="TitleinText"/>
        <w:rPr>
          <w:rFonts w:ascii="Avenir Next LT Pro" w:hAnsi="Avenir Next LT Pro"/>
          <w:b w:val="0"/>
          <w:bCs w:val="0"/>
          <w:color w:val="575F61"/>
          <w:szCs w:val="22"/>
          <w:lang w:val="en-GB"/>
        </w:rPr>
      </w:pPr>
      <w:r w:rsidRPr="008E33FB">
        <w:rPr>
          <w:rFonts w:ascii="Avenir Next LT Pro" w:hAnsi="Avenir Next LT Pro"/>
          <w:b w:val="0"/>
          <w:bCs w:val="0"/>
          <w:color w:val="575F61"/>
          <w:szCs w:val="22"/>
          <w:lang w:val="en-GB"/>
        </w:rPr>
        <w:t xml:space="preserve">Anglicare recommends </w:t>
      </w:r>
      <w:r w:rsidRPr="00DC71F0">
        <w:rPr>
          <w:rFonts w:ascii="Avenir Next LT Pro" w:hAnsi="Avenir Next LT Pro"/>
          <w:b w:val="0"/>
          <w:bCs w:val="0"/>
          <w:color w:val="575F61"/>
          <w:szCs w:val="22"/>
          <w:lang w:val="en-GB"/>
        </w:rPr>
        <w:t xml:space="preserve">action to reduce the out-of-pocket costs of accessing quality medical care, including </w:t>
      </w:r>
      <w:r w:rsidRPr="008E33FB">
        <w:rPr>
          <w:rFonts w:ascii="Avenir Next LT Pro" w:hAnsi="Avenir Next LT Pro"/>
          <w:b w:val="0"/>
          <w:bCs w:val="0"/>
          <w:color w:val="575F61"/>
          <w:szCs w:val="22"/>
          <w:lang w:val="en-GB"/>
        </w:rPr>
        <w:t xml:space="preserve">reviewing the indexation of </w:t>
      </w:r>
      <w:r>
        <w:rPr>
          <w:rFonts w:ascii="Avenir Next LT Pro" w:hAnsi="Avenir Next LT Pro"/>
          <w:b w:val="0"/>
          <w:bCs w:val="0"/>
          <w:color w:val="575F61"/>
          <w:szCs w:val="22"/>
          <w:lang w:val="en-GB"/>
        </w:rPr>
        <w:t xml:space="preserve">the </w:t>
      </w:r>
      <w:r w:rsidRPr="008E33FB">
        <w:rPr>
          <w:rFonts w:ascii="Avenir Next LT Pro" w:hAnsi="Avenir Next LT Pro"/>
          <w:b w:val="0"/>
          <w:bCs w:val="0"/>
          <w:color w:val="575F61"/>
          <w:szCs w:val="22"/>
          <w:lang w:val="en-GB"/>
        </w:rPr>
        <w:t>Medicare</w:t>
      </w:r>
      <w:r w:rsidRPr="0093335F">
        <w:rPr>
          <w:rFonts w:ascii="Avenir Next LT Pro" w:hAnsi="Avenir Next LT Pro"/>
          <w:b w:val="0"/>
          <w:bCs w:val="0"/>
          <w:color w:val="575F61"/>
          <w:szCs w:val="22"/>
          <w:lang w:val="en-GB"/>
        </w:rPr>
        <w:t xml:space="preserve"> Rebate Schedule</w:t>
      </w:r>
      <w:r>
        <w:rPr>
          <w:rFonts w:ascii="Avenir Next LT Pro" w:hAnsi="Avenir Next LT Pro"/>
          <w:b w:val="0"/>
          <w:bCs w:val="0"/>
          <w:color w:val="575F61"/>
          <w:szCs w:val="22"/>
          <w:lang w:val="en-GB"/>
        </w:rPr>
        <w:t xml:space="preserve"> </w:t>
      </w:r>
      <w:r>
        <w:rPr>
          <w:rFonts w:ascii="Avenir Next LT Pro" w:hAnsi="Avenir Next LT Pro"/>
          <w:b w:val="0"/>
          <w:bCs w:val="0"/>
          <w:noProof/>
          <w:color w:val="575F61"/>
          <w:szCs w:val="22"/>
          <w:lang w:val="en-GB"/>
        </w:rPr>
        <w:t>(AMA 2022; RACGP 2024)</w:t>
      </w:r>
      <w:r>
        <w:rPr>
          <w:rFonts w:ascii="Avenir Next LT Pro" w:hAnsi="Avenir Next LT Pro"/>
          <w:b w:val="0"/>
          <w:bCs w:val="0"/>
          <w:color w:val="575F61"/>
          <w:szCs w:val="22"/>
          <w:lang w:val="en-GB"/>
        </w:rPr>
        <w:t>.</w:t>
      </w:r>
      <w:r w:rsidRPr="008E33FB">
        <w:rPr>
          <w:rFonts w:ascii="Avenir Next LT Pro" w:hAnsi="Avenir Next LT Pro"/>
          <w:b w:val="0"/>
          <w:bCs w:val="0"/>
          <w:color w:val="575F61"/>
          <w:szCs w:val="22"/>
          <w:lang w:val="en-GB"/>
        </w:rPr>
        <w:t xml:space="preserve"> </w:t>
      </w:r>
    </w:p>
    <w:p w14:paraId="13468773" w14:textId="77777777" w:rsidR="008E5242" w:rsidRPr="002F711A" w:rsidRDefault="008E5242" w:rsidP="001952AB">
      <w:pPr>
        <w:pStyle w:val="Heading3"/>
      </w:pPr>
      <w:bookmarkStart w:id="34" w:name="_Toc179382445"/>
      <w:r>
        <w:t>Access to</w:t>
      </w:r>
      <w:r w:rsidRPr="002F711A">
        <w:t xml:space="preserve"> </w:t>
      </w:r>
      <w:r>
        <w:t>b</w:t>
      </w:r>
      <w:r w:rsidRPr="002F711A">
        <w:t>ulk</w:t>
      </w:r>
      <w:r>
        <w:t>-b</w:t>
      </w:r>
      <w:r w:rsidRPr="002F711A">
        <w:t>illing GPs in Tasmania</w:t>
      </w:r>
      <w:bookmarkEnd w:id="34"/>
      <w:r w:rsidRPr="002F711A">
        <w:t xml:space="preserve"> </w:t>
      </w:r>
    </w:p>
    <w:p w14:paraId="13C6F336" w14:textId="77777777" w:rsidR="008E5242" w:rsidRPr="001379FE" w:rsidRDefault="008E5242" w:rsidP="001952AB">
      <w:pPr>
        <w:pStyle w:val="TitleinText"/>
        <w:rPr>
          <w:rFonts w:ascii="Avenir Next LT Pro" w:hAnsi="Avenir Next LT Pro"/>
          <w:color w:val="575F61"/>
          <w:szCs w:val="22"/>
          <w:lang w:val="en-GB"/>
        </w:rPr>
      </w:pPr>
      <w:r w:rsidRPr="002617EB">
        <w:rPr>
          <w:rFonts w:ascii="Avenir Next LT Pro" w:hAnsi="Avenir Next LT Pro"/>
          <w:b w:val="0"/>
          <w:color w:val="575F61"/>
          <w:szCs w:val="22"/>
          <w:lang w:val="en-GB"/>
        </w:rPr>
        <w:t>In 2022-23, the number of bulk</w:t>
      </w:r>
      <w:r>
        <w:rPr>
          <w:rFonts w:ascii="Avenir Next LT Pro" w:hAnsi="Avenir Next LT Pro"/>
          <w:b w:val="0"/>
          <w:color w:val="575F61"/>
          <w:szCs w:val="22"/>
          <w:lang w:val="en-GB"/>
        </w:rPr>
        <w:t>-</w:t>
      </w:r>
      <w:r w:rsidRPr="002617EB">
        <w:rPr>
          <w:rFonts w:ascii="Avenir Next LT Pro" w:hAnsi="Avenir Next LT Pro"/>
          <w:b w:val="0"/>
          <w:color w:val="575F61"/>
          <w:szCs w:val="22"/>
          <w:lang w:val="en-GB"/>
        </w:rPr>
        <w:t xml:space="preserve">billed appointments </w:t>
      </w:r>
      <w:r>
        <w:rPr>
          <w:rFonts w:ascii="Avenir Next LT Pro" w:hAnsi="Avenir Next LT Pro"/>
          <w:b w:val="0"/>
          <w:color w:val="575F61"/>
          <w:szCs w:val="22"/>
          <w:lang w:val="en-GB"/>
        </w:rPr>
        <w:t xml:space="preserve">in </w:t>
      </w:r>
      <w:r w:rsidRPr="002617EB">
        <w:rPr>
          <w:rFonts w:ascii="Avenir Next LT Pro" w:hAnsi="Avenir Next LT Pro"/>
          <w:b w:val="0"/>
          <w:color w:val="575F61"/>
          <w:szCs w:val="22"/>
          <w:lang w:val="en-GB"/>
        </w:rPr>
        <w:t xml:space="preserve">Tasmania </w:t>
      </w:r>
      <w:r>
        <w:rPr>
          <w:rFonts w:ascii="Avenir Next LT Pro" w:hAnsi="Avenir Next LT Pro"/>
          <w:b w:val="0"/>
          <w:color w:val="575F61"/>
          <w:szCs w:val="22"/>
          <w:lang w:val="en-GB"/>
        </w:rPr>
        <w:t>decreased by</w:t>
      </w:r>
      <w:r w:rsidRPr="002617EB">
        <w:rPr>
          <w:rFonts w:ascii="Avenir Next LT Pro" w:hAnsi="Avenir Next LT Pro"/>
          <w:b w:val="0"/>
          <w:color w:val="575F61"/>
          <w:szCs w:val="22"/>
          <w:lang w:val="en-GB"/>
        </w:rPr>
        <w:t xml:space="preserve"> 8.1%. This is the greatest annual decline in </w:t>
      </w:r>
      <w:r>
        <w:rPr>
          <w:rFonts w:ascii="Avenir Next LT Pro" w:hAnsi="Avenir Next LT Pro"/>
          <w:b w:val="0"/>
          <w:color w:val="575F61"/>
          <w:szCs w:val="22"/>
          <w:lang w:val="en-GB"/>
        </w:rPr>
        <w:t xml:space="preserve">Tasmanian </w:t>
      </w:r>
      <w:r w:rsidRPr="002617EB">
        <w:rPr>
          <w:rFonts w:ascii="Avenir Next LT Pro" w:hAnsi="Avenir Next LT Pro"/>
          <w:b w:val="0"/>
          <w:color w:val="575F61"/>
          <w:szCs w:val="22"/>
          <w:lang w:val="en-GB"/>
        </w:rPr>
        <w:t>bulk</w:t>
      </w:r>
      <w:r>
        <w:rPr>
          <w:rFonts w:ascii="Avenir Next LT Pro" w:hAnsi="Avenir Next LT Pro"/>
          <w:b w:val="0"/>
          <w:color w:val="575F61"/>
          <w:szCs w:val="22"/>
          <w:lang w:val="en-GB"/>
        </w:rPr>
        <w:t>-</w:t>
      </w:r>
      <w:r w:rsidRPr="002617EB">
        <w:rPr>
          <w:rFonts w:ascii="Avenir Next LT Pro" w:hAnsi="Avenir Next LT Pro"/>
          <w:b w:val="0"/>
          <w:color w:val="575F61"/>
          <w:szCs w:val="22"/>
          <w:lang w:val="en-GB"/>
        </w:rPr>
        <w:t>billing rates in over a decade</w:t>
      </w:r>
      <w:r>
        <w:rPr>
          <w:rFonts w:ascii="Avenir Next LT Pro" w:hAnsi="Avenir Next LT Pro"/>
          <w:b w:val="0"/>
          <w:color w:val="575F61"/>
          <w:szCs w:val="22"/>
          <w:lang w:val="en-GB"/>
        </w:rPr>
        <w:t xml:space="preserve"> </w:t>
      </w:r>
      <w:r>
        <w:rPr>
          <w:rFonts w:ascii="Avenir Next LT Pro" w:hAnsi="Avenir Next LT Pro"/>
          <w:b w:val="0"/>
          <w:noProof/>
          <w:color w:val="575F61"/>
          <w:szCs w:val="22"/>
          <w:lang w:val="en-GB"/>
        </w:rPr>
        <w:t xml:space="preserve">(Productivity </w:t>
      </w:r>
      <w:r>
        <w:rPr>
          <w:rFonts w:ascii="Avenir Next LT Pro" w:hAnsi="Avenir Next LT Pro"/>
          <w:b w:val="0"/>
          <w:noProof/>
          <w:color w:val="575F61"/>
          <w:szCs w:val="22"/>
          <w:lang w:val="en-GB"/>
        </w:rPr>
        <w:lastRenderedPageBreak/>
        <w:t>Commission 2024)</w:t>
      </w:r>
      <w:r w:rsidRPr="002617EB">
        <w:rPr>
          <w:rFonts w:ascii="Avenir Next LT Pro" w:hAnsi="Avenir Next LT Pro"/>
          <w:b w:val="0"/>
          <w:color w:val="575F61"/>
          <w:szCs w:val="22"/>
          <w:lang w:val="en-GB"/>
        </w:rPr>
        <w:t>.</w:t>
      </w:r>
      <w:r>
        <w:rPr>
          <w:rFonts w:ascii="Avenir Next LT Pro" w:hAnsi="Avenir Next LT Pro"/>
          <w:b w:val="0"/>
          <w:color w:val="575F61"/>
          <w:szCs w:val="22"/>
          <w:lang w:val="en-GB"/>
        </w:rPr>
        <w:t xml:space="preserve"> Over the same period of time, </w:t>
      </w:r>
      <w:r w:rsidRPr="00C43E6D">
        <w:rPr>
          <w:rFonts w:ascii="Avenir Next LT Pro" w:hAnsi="Avenir Next LT Pro"/>
          <w:b w:val="0"/>
          <w:color w:val="575F61"/>
          <w:szCs w:val="22"/>
          <w:lang w:val="en-GB"/>
        </w:rPr>
        <w:t>10.5% of Tasmanians delayed or did not see a GP due to costs</w:t>
      </w:r>
      <w:r>
        <w:rPr>
          <w:rFonts w:ascii="Avenir Next LT Pro" w:hAnsi="Avenir Next LT Pro"/>
          <w:b w:val="0"/>
          <w:color w:val="575F61"/>
          <w:szCs w:val="22"/>
          <w:lang w:val="en-GB"/>
        </w:rPr>
        <w:t xml:space="preserve">, a 1.6% increase on </w:t>
      </w:r>
      <w:r w:rsidRPr="00C43E6D">
        <w:rPr>
          <w:rFonts w:ascii="Avenir Next LT Pro" w:hAnsi="Avenir Next LT Pro"/>
          <w:b w:val="0"/>
          <w:color w:val="575F61"/>
          <w:szCs w:val="22"/>
          <w:lang w:val="en-GB"/>
        </w:rPr>
        <w:t>previous financial year</w:t>
      </w:r>
      <w:r>
        <w:rPr>
          <w:rFonts w:ascii="Avenir Next LT Pro" w:hAnsi="Avenir Next LT Pro"/>
          <w:b w:val="0"/>
          <w:color w:val="575F61"/>
          <w:szCs w:val="22"/>
          <w:lang w:val="en-GB"/>
        </w:rPr>
        <w:t xml:space="preserve"> </w:t>
      </w:r>
      <w:r>
        <w:rPr>
          <w:rFonts w:ascii="Avenir Next LT Pro" w:hAnsi="Avenir Next LT Pro"/>
          <w:b w:val="0"/>
          <w:noProof/>
          <w:color w:val="575F61"/>
          <w:szCs w:val="22"/>
          <w:lang w:val="en-GB"/>
        </w:rPr>
        <w:t>(Productivity Commission 2024)</w:t>
      </w:r>
      <w:r w:rsidRPr="00C43E6D">
        <w:rPr>
          <w:rFonts w:ascii="Avenir Next LT Pro" w:hAnsi="Avenir Next LT Pro"/>
          <w:b w:val="0"/>
          <w:color w:val="575F61"/>
          <w:szCs w:val="22"/>
          <w:lang w:val="en-GB"/>
        </w:rPr>
        <w:t>. This means that more than 9,000 Tasmanians did not receive health care due to cost.</w:t>
      </w:r>
    </w:p>
    <w:p w14:paraId="526D2D71" w14:textId="77777777" w:rsidR="008E5242" w:rsidRDefault="008E5242" w:rsidP="001952AB">
      <w:pPr>
        <w:pStyle w:val="NormalWeb"/>
        <w:rPr>
          <w:rFonts w:ascii="Avenir Next LT Pro" w:eastAsia="AvenirNext LT Pro Bold" w:hAnsi="Avenir Next LT Pro" w:cs="AvenirNext LT Pro Bold"/>
          <w:color w:val="575F61"/>
          <w:szCs w:val="22"/>
          <w:lang w:val="en-GB" w:eastAsia="en-US"/>
        </w:rPr>
      </w:pPr>
      <w:r w:rsidRPr="00BD097A">
        <w:rPr>
          <w:rFonts w:ascii="Avenir Next LT Pro" w:eastAsia="AvenirNext LT Pro Bold" w:hAnsi="Avenir Next LT Pro" w:cs="AvenirNext LT Pro Bold"/>
          <w:color w:val="575F61"/>
          <w:szCs w:val="22"/>
          <w:lang w:val="en-GB" w:eastAsia="en-US"/>
        </w:rPr>
        <w:t>Through early and regular GP visits</w:t>
      </w:r>
      <w:r>
        <w:rPr>
          <w:rFonts w:ascii="Avenir Next LT Pro" w:eastAsia="AvenirNext LT Pro Bold" w:hAnsi="Avenir Next LT Pro" w:cs="AvenirNext LT Pro Bold"/>
          <w:color w:val="575F61"/>
          <w:szCs w:val="22"/>
          <w:lang w:val="en-GB" w:eastAsia="en-US"/>
        </w:rPr>
        <w:t>,</w:t>
      </w:r>
      <w:r w:rsidRPr="00BD097A">
        <w:rPr>
          <w:rFonts w:ascii="Avenir Next LT Pro" w:eastAsia="AvenirNext LT Pro Bold" w:hAnsi="Avenir Next LT Pro" w:cs="AvenirNext LT Pro Bold"/>
          <w:color w:val="575F61"/>
          <w:szCs w:val="22"/>
          <w:lang w:val="en-GB" w:eastAsia="en-US"/>
        </w:rPr>
        <w:t xml:space="preserve"> preventable conditions can be treated before they escalate</w:t>
      </w:r>
      <w:r>
        <w:rPr>
          <w:rFonts w:ascii="Avenir Next LT Pro" w:eastAsia="AvenirNext LT Pro Bold" w:hAnsi="Avenir Next LT Pro" w:cs="AvenirNext LT Pro Bold"/>
          <w:color w:val="575F61"/>
          <w:szCs w:val="22"/>
          <w:lang w:val="en-GB" w:eastAsia="en-US"/>
        </w:rPr>
        <w:t xml:space="preserve"> </w:t>
      </w:r>
      <w:r>
        <w:rPr>
          <w:rFonts w:ascii="Avenir Next LT Pro" w:eastAsia="AvenirNext LT Pro Bold" w:hAnsi="Avenir Next LT Pro" w:cs="AvenirNext LT Pro Bold"/>
          <w:noProof/>
          <w:color w:val="575F61"/>
          <w:szCs w:val="22"/>
          <w:lang w:val="en-GB" w:eastAsia="en-US"/>
        </w:rPr>
        <w:t>(AMA 2023)</w:t>
      </w:r>
      <w:r w:rsidRPr="00BD097A">
        <w:rPr>
          <w:rFonts w:ascii="Avenir Next LT Pro" w:eastAsia="AvenirNext LT Pro Bold" w:hAnsi="Avenir Next LT Pro" w:cs="AvenirNext LT Pro Bold"/>
          <w:color w:val="575F61"/>
          <w:szCs w:val="22"/>
          <w:lang w:val="en-GB" w:eastAsia="en-US"/>
        </w:rPr>
        <w:t xml:space="preserve">. For those </w:t>
      </w:r>
      <w:r>
        <w:rPr>
          <w:rFonts w:ascii="Avenir Next LT Pro" w:eastAsia="AvenirNext LT Pro Bold" w:hAnsi="Avenir Next LT Pro" w:cs="AvenirNext LT Pro Bold"/>
          <w:color w:val="575F61"/>
          <w:szCs w:val="22"/>
          <w:lang w:val="en-GB" w:eastAsia="en-US"/>
        </w:rPr>
        <w:t>who are experiencing</w:t>
      </w:r>
      <w:r w:rsidRPr="00BD097A">
        <w:rPr>
          <w:rFonts w:ascii="Avenir Next LT Pro" w:eastAsia="AvenirNext LT Pro Bold" w:hAnsi="Avenir Next LT Pro" w:cs="AvenirNext LT Pro Bold"/>
          <w:color w:val="575F61"/>
          <w:szCs w:val="22"/>
          <w:lang w:val="en-GB" w:eastAsia="en-US"/>
        </w:rPr>
        <w:t xml:space="preserve"> financial stress, support</w:t>
      </w:r>
      <w:r>
        <w:rPr>
          <w:rFonts w:ascii="Avenir Next LT Pro" w:eastAsia="AvenirNext LT Pro Bold" w:hAnsi="Avenir Next LT Pro" w:cs="AvenirNext LT Pro Bold"/>
          <w:color w:val="575F61"/>
          <w:szCs w:val="22"/>
          <w:lang w:val="en-GB" w:eastAsia="en-US"/>
        </w:rPr>
        <w:t>ing</w:t>
      </w:r>
      <w:r w:rsidRPr="00BD097A">
        <w:rPr>
          <w:rFonts w:ascii="Avenir Next LT Pro" w:eastAsia="AvenirNext LT Pro Bold" w:hAnsi="Avenir Next LT Pro" w:cs="AvenirNext LT Pro Bold"/>
          <w:color w:val="575F61"/>
          <w:szCs w:val="22"/>
          <w:lang w:val="en-GB" w:eastAsia="en-US"/>
        </w:rPr>
        <w:t xml:space="preserve"> early access </w:t>
      </w:r>
      <w:r>
        <w:rPr>
          <w:rFonts w:ascii="Avenir Next LT Pro" w:eastAsia="AvenirNext LT Pro Bold" w:hAnsi="Avenir Next LT Pro" w:cs="AvenirNext LT Pro Bold"/>
          <w:color w:val="575F61"/>
          <w:szCs w:val="22"/>
          <w:lang w:val="en-GB" w:eastAsia="en-US"/>
        </w:rPr>
        <w:t xml:space="preserve">by removing financial barriers is key to effective </w:t>
      </w:r>
      <w:r w:rsidRPr="00BD097A">
        <w:rPr>
          <w:rFonts w:ascii="Avenir Next LT Pro" w:eastAsia="AvenirNext LT Pro Bold" w:hAnsi="Avenir Next LT Pro" w:cs="AvenirNext LT Pro Bold"/>
          <w:color w:val="575F61"/>
          <w:szCs w:val="22"/>
          <w:lang w:val="en-GB" w:eastAsia="en-US"/>
        </w:rPr>
        <w:t>preventative healthcare.</w:t>
      </w:r>
    </w:p>
    <w:p w14:paraId="41752530" w14:textId="77777777" w:rsidR="008E5242" w:rsidRDefault="008E5242" w:rsidP="001952AB">
      <w:pPr>
        <w:pStyle w:val="IntenseQuote"/>
        <w:spacing w:after="0"/>
      </w:pPr>
      <w:r>
        <w:t>‘I had a young person - 12 years old – who I took to the doctors. The appointment wasn’t bulk-billed. It was a $150 bill. If we hadn’t been there this young person would not have been able to afford that.’</w:t>
      </w:r>
    </w:p>
    <w:p w14:paraId="462073CF" w14:textId="77777777" w:rsidR="008E5242" w:rsidRPr="0097493A" w:rsidRDefault="008E5242" w:rsidP="001952AB">
      <w:pPr>
        <w:pStyle w:val="IntenseQuote"/>
        <w:spacing w:before="0"/>
      </w:pPr>
      <w:r>
        <w:t xml:space="preserve">– Child and Families Worker, Burnie </w:t>
      </w:r>
    </w:p>
    <w:p w14:paraId="6607B014" w14:textId="77777777" w:rsidR="008E5242" w:rsidRPr="00BD097A" w:rsidRDefault="008E5242" w:rsidP="001952AB">
      <w:pPr>
        <w:pStyle w:val="NormalWeb"/>
        <w:rPr>
          <w:rFonts w:ascii="Avenir Next LT Pro" w:eastAsia="AvenirNext LT Pro Bold" w:hAnsi="Avenir Next LT Pro" w:cs="AvenirNext LT Pro Bold"/>
          <w:color w:val="575F61"/>
          <w:szCs w:val="22"/>
          <w:lang w:val="en-GB" w:eastAsia="en-US"/>
        </w:rPr>
      </w:pPr>
      <w:r w:rsidRPr="00BD097A">
        <w:rPr>
          <w:rFonts w:ascii="Avenir Next LT Pro" w:eastAsia="AvenirNext LT Pro Bold" w:hAnsi="Avenir Next LT Pro" w:cs="AvenirNext LT Pro Bold"/>
          <w:color w:val="575F61"/>
          <w:szCs w:val="22"/>
          <w:lang w:val="en-GB" w:eastAsia="en-US"/>
        </w:rPr>
        <w:t xml:space="preserve">The 2024-25 Tasmanian State Budget </w:t>
      </w:r>
      <w:r>
        <w:rPr>
          <w:rFonts w:ascii="Avenir Next LT Pro" w:eastAsia="AvenirNext LT Pro Bold" w:hAnsi="Avenir Next LT Pro" w:cs="AvenirNext LT Pro Bold"/>
          <w:color w:val="575F61"/>
          <w:szCs w:val="22"/>
          <w:lang w:val="en-GB" w:eastAsia="en-US"/>
        </w:rPr>
        <w:t xml:space="preserve">contained a number of initiatives to increase numbers of and access to GPs </w:t>
      </w:r>
      <w:r>
        <w:rPr>
          <w:rFonts w:ascii="Avenir Next LT Pro" w:eastAsia="AvenirNext LT Pro Bold" w:hAnsi="Avenir Next LT Pro" w:cs="AvenirNext LT Pro Bold"/>
          <w:noProof/>
          <w:color w:val="575F61"/>
          <w:szCs w:val="22"/>
          <w:lang w:val="en-GB" w:eastAsia="en-US"/>
        </w:rPr>
        <w:t>(Tasmanian Government 2024)</w:t>
      </w:r>
      <w:r w:rsidRPr="00BD097A">
        <w:rPr>
          <w:rFonts w:ascii="Avenir Next LT Pro" w:eastAsia="AvenirNext LT Pro Bold" w:hAnsi="Avenir Next LT Pro" w:cs="AvenirNext LT Pro Bold"/>
          <w:color w:val="575F61"/>
          <w:szCs w:val="22"/>
          <w:lang w:val="en-GB" w:eastAsia="en-US"/>
        </w:rPr>
        <w:t xml:space="preserve">. Only one of these initiatives, the Mobile GP Practice, is targeted to </w:t>
      </w:r>
      <w:r>
        <w:rPr>
          <w:rFonts w:ascii="Avenir Next LT Pro" w:eastAsia="AvenirNext LT Pro Bold" w:hAnsi="Avenir Next LT Pro" w:cs="AvenirNext LT Pro Bold"/>
          <w:color w:val="575F61"/>
          <w:szCs w:val="22"/>
          <w:lang w:val="en-GB" w:eastAsia="en-US"/>
        </w:rPr>
        <w:t>increase access to</w:t>
      </w:r>
      <w:r w:rsidRPr="00BD097A">
        <w:rPr>
          <w:rFonts w:ascii="Avenir Next LT Pro" w:eastAsia="AvenirNext LT Pro Bold" w:hAnsi="Avenir Next LT Pro" w:cs="AvenirNext LT Pro Bold"/>
          <w:color w:val="575F61"/>
          <w:szCs w:val="22"/>
          <w:lang w:val="en-GB" w:eastAsia="en-US"/>
        </w:rPr>
        <w:t xml:space="preserve"> bulk</w:t>
      </w:r>
      <w:r>
        <w:rPr>
          <w:rFonts w:ascii="Avenir Next LT Pro" w:eastAsia="AvenirNext LT Pro Bold" w:hAnsi="Avenir Next LT Pro" w:cs="AvenirNext LT Pro Bold"/>
          <w:color w:val="575F61"/>
          <w:szCs w:val="22"/>
          <w:lang w:val="en-GB" w:eastAsia="en-US"/>
        </w:rPr>
        <w:t>-</w:t>
      </w:r>
      <w:r w:rsidRPr="00BD097A">
        <w:rPr>
          <w:rFonts w:ascii="Avenir Next LT Pro" w:eastAsia="AvenirNext LT Pro Bold" w:hAnsi="Avenir Next LT Pro" w:cs="AvenirNext LT Pro Bold"/>
          <w:color w:val="575F61"/>
          <w:szCs w:val="22"/>
          <w:lang w:val="en-GB" w:eastAsia="en-US"/>
        </w:rPr>
        <w:t>bill</w:t>
      </w:r>
      <w:r>
        <w:rPr>
          <w:rFonts w:ascii="Avenir Next LT Pro" w:eastAsia="AvenirNext LT Pro Bold" w:hAnsi="Avenir Next LT Pro" w:cs="AvenirNext LT Pro Bold"/>
          <w:color w:val="575F61"/>
          <w:szCs w:val="22"/>
          <w:lang w:val="en-GB" w:eastAsia="en-US"/>
        </w:rPr>
        <w:t>ed</w:t>
      </w:r>
      <w:r w:rsidRPr="00BD097A">
        <w:rPr>
          <w:rFonts w:ascii="Avenir Next LT Pro" w:eastAsia="AvenirNext LT Pro Bold" w:hAnsi="Avenir Next LT Pro" w:cs="AvenirNext LT Pro Bold"/>
          <w:color w:val="575F61"/>
          <w:szCs w:val="22"/>
          <w:lang w:val="en-GB" w:eastAsia="en-US"/>
        </w:rPr>
        <w:t xml:space="preserve"> </w:t>
      </w:r>
      <w:r>
        <w:rPr>
          <w:rFonts w:ascii="Avenir Next LT Pro" w:eastAsia="AvenirNext LT Pro Bold" w:hAnsi="Avenir Next LT Pro" w:cs="AvenirNext LT Pro Bold"/>
          <w:color w:val="575F61"/>
          <w:szCs w:val="22"/>
          <w:lang w:val="en-GB" w:eastAsia="en-US"/>
        </w:rPr>
        <w:t>medical services</w:t>
      </w:r>
      <w:r w:rsidRPr="00BD097A">
        <w:rPr>
          <w:rFonts w:ascii="Avenir Next LT Pro" w:eastAsia="AvenirNext LT Pro Bold" w:hAnsi="Avenir Next LT Pro" w:cs="AvenirNext LT Pro Bold"/>
          <w:color w:val="575F61"/>
          <w:szCs w:val="22"/>
          <w:lang w:val="en-GB" w:eastAsia="en-US"/>
        </w:rPr>
        <w:t>. The Mobile GP Practice is fund</w:t>
      </w:r>
      <w:r>
        <w:rPr>
          <w:rFonts w:ascii="Avenir Next LT Pro" w:eastAsia="AvenirNext LT Pro Bold" w:hAnsi="Avenir Next LT Pro" w:cs="AvenirNext LT Pro Bold"/>
          <w:color w:val="575F61"/>
          <w:szCs w:val="22"/>
          <w:lang w:val="en-GB" w:eastAsia="en-US"/>
        </w:rPr>
        <w:t>ed</w:t>
      </w:r>
      <w:r w:rsidRPr="00BD097A">
        <w:rPr>
          <w:rFonts w:ascii="Avenir Next LT Pro" w:eastAsia="AvenirNext LT Pro Bold" w:hAnsi="Avenir Next LT Pro" w:cs="AvenirNext LT Pro Bold"/>
          <w:color w:val="575F61"/>
          <w:szCs w:val="22"/>
          <w:lang w:val="en-GB" w:eastAsia="en-US"/>
        </w:rPr>
        <w:t xml:space="preserve"> over two years to expand the newly established bulk</w:t>
      </w:r>
      <w:r>
        <w:rPr>
          <w:rFonts w:ascii="Avenir Next LT Pro" w:eastAsia="AvenirNext LT Pro Bold" w:hAnsi="Avenir Next LT Pro" w:cs="AvenirNext LT Pro Bold"/>
          <w:color w:val="575F61"/>
          <w:szCs w:val="22"/>
          <w:lang w:val="en-GB" w:eastAsia="en-US"/>
        </w:rPr>
        <w:t>-</w:t>
      </w:r>
      <w:r w:rsidRPr="00BD097A">
        <w:rPr>
          <w:rFonts w:ascii="Avenir Next LT Pro" w:eastAsia="AvenirNext LT Pro Bold" w:hAnsi="Avenir Next LT Pro" w:cs="AvenirNext LT Pro Bold"/>
          <w:color w:val="575F61"/>
          <w:szCs w:val="22"/>
          <w:lang w:val="en-GB" w:eastAsia="en-US"/>
        </w:rPr>
        <w:t>billed mobile clinics</w:t>
      </w:r>
      <w:r>
        <w:rPr>
          <w:rFonts w:ascii="Avenir Next LT Pro" w:eastAsia="AvenirNext LT Pro Bold" w:hAnsi="Avenir Next LT Pro" w:cs="AvenirNext LT Pro Bold"/>
          <w:color w:val="575F61"/>
          <w:szCs w:val="22"/>
          <w:lang w:val="en-GB" w:eastAsia="en-US"/>
        </w:rPr>
        <w:t xml:space="preserve"> operating</w:t>
      </w:r>
      <w:r w:rsidRPr="00BD097A">
        <w:rPr>
          <w:rFonts w:ascii="Avenir Next LT Pro" w:eastAsia="AvenirNext LT Pro Bold" w:hAnsi="Avenir Next LT Pro" w:cs="AvenirNext LT Pro Bold"/>
          <w:color w:val="575F61"/>
          <w:szCs w:val="22"/>
          <w:lang w:val="en-GB" w:eastAsia="en-US"/>
        </w:rPr>
        <w:t xml:space="preserve"> </w:t>
      </w:r>
      <w:r>
        <w:rPr>
          <w:rFonts w:ascii="Avenir Next LT Pro" w:eastAsia="AvenirNext LT Pro Bold" w:hAnsi="Avenir Next LT Pro" w:cs="AvenirNext LT Pro Bold"/>
          <w:color w:val="575F61"/>
          <w:szCs w:val="22"/>
          <w:lang w:val="en-GB" w:eastAsia="en-US"/>
        </w:rPr>
        <w:t>in selected communities around Hobart</w:t>
      </w:r>
      <w:r w:rsidRPr="00BD097A">
        <w:rPr>
          <w:rFonts w:ascii="Avenir Next LT Pro" w:eastAsia="AvenirNext LT Pro Bold" w:hAnsi="Avenir Next LT Pro" w:cs="AvenirNext LT Pro Bold"/>
          <w:color w:val="575F61"/>
          <w:szCs w:val="22"/>
          <w:lang w:val="en-GB" w:eastAsia="en-US"/>
        </w:rPr>
        <w:t xml:space="preserve">. This leaves a gap </w:t>
      </w:r>
      <w:r>
        <w:rPr>
          <w:rFonts w:ascii="Avenir Next LT Pro" w:eastAsia="AvenirNext LT Pro Bold" w:hAnsi="Avenir Next LT Pro" w:cs="AvenirNext LT Pro Bold"/>
          <w:color w:val="575F61"/>
          <w:szCs w:val="22"/>
          <w:lang w:val="en-GB" w:eastAsia="en-US"/>
        </w:rPr>
        <w:t xml:space="preserve">in </w:t>
      </w:r>
      <w:r w:rsidRPr="00BD097A">
        <w:rPr>
          <w:rFonts w:ascii="Avenir Next LT Pro" w:eastAsia="AvenirNext LT Pro Bold" w:hAnsi="Avenir Next LT Pro" w:cs="AvenirNext LT Pro Bold"/>
          <w:color w:val="575F61"/>
          <w:szCs w:val="22"/>
          <w:lang w:val="en-GB" w:eastAsia="en-US"/>
        </w:rPr>
        <w:t xml:space="preserve">access </w:t>
      </w:r>
      <w:r>
        <w:rPr>
          <w:rFonts w:ascii="Avenir Next LT Pro" w:eastAsia="AvenirNext LT Pro Bold" w:hAnsi="Avenir Next LT Pro" w:cs="AvenirNext LT Pro Bold"/>
          <w:color w:val="575F61"/>
          <w:szCs w:val="22"/>
          <w:lang w:val="en-GB" w:eastAsia="en-US"/>
        </w:rPr>
        <w:t xml:space="preserve">to bulk-billed services </w:t>
      </w:r>
      <w:r w:rsidRPr="00BD097A">
        <w:rPr>
          <w:rFonts w:ascii="Avenir Next LT Pro" w:eastAsia="AvenirNext LT Pro Bold" w:hAnsi="Avenir Next LT Pro" w:cs="AvenirNext LT Pro Bold"/>
          <w:color w:val="575F61"/>
          <w:szCs w:val="22"/>
          <w:lang w:val="en-GB" w:eastAsia="en-US"/>
        </w:rPr>
        <w:t xml:space="preserve">for </w:t>
      </w:r>
      <w:r>
        <w:rPr>
          <w:rFonts w:ascii="Avenir Next LT Pro" w:eastAsia="AvenirNext LT Pro Bold" w:hAnsi="Avenir Next LT Pro" w:cs="AvenirNext LT Pro Bold"/>
          <w:color w:val="575F61"/>
          <w:szCs w:val="22"/>
          <w:lang w:val="en-GB" w:eastAsia="en-US"/>
        </w:rPr>
        <w:t>most</w:t>
      </w:r>
      <w:r w:rsidRPr="00BD097A">
        <w:rPr>
          <w:rFonts w:ascii="Avenir Next LT Pro" w:eastAsia="AvenirNext LT Pro Bold" w:hAnsi="Avenir Next LT Pro" w:cs="AvenirNext LT Pro Bold"/>
          <w:color w:val="575F61"/>
          <w:szCs w:val="22"/>
          <w:lang w:val="en-GB" w:eastAsia="en-US"/>
        </w:rPr>
        <w:t xml:space="preserve"> of the state, </w:t>
      </w:r>
      <w:r>
        <w:rPr>
          <w:rFonts w:ascii="Avenir Next LT Pro" w:eastAsia="AvenirNext LT Pro Bold" w:hAnsi="Avenir Next LT Pro" w:cs="AvenirNext LT Pro Bold"/>
          <w:color w:val="575F61"/>
          <w:szCs w:val="22"/>
          <w:lang w:val="en-GB" w:eastAsia="en-US"/>
        </w:rPr>
        <w:t>including</w:t>
      </w:r>
      <w:r w:rsidRPr="00BD097A">
        <w:rPr>
          <w:rFonts w:ascii="Avenir Next LT Pro" w:eastAsia="AvenirNext LT Pro Bold" w:hAnsi="Avenir Next LT Pro" w:cs="AvenirNext LT Pro Bold"/>
          <w:color w:val="575F61"/>
          <w:szCs w:val="22"/>
          <w:lang w:val="en-GB" w:eastAsia="en-US"/>
        </w:rPr>
        <w:t xml:space="preserve"> rural and remote Tasmania. </w:t>
      </w:r>
    </w:p>
    <w:p w14:paraId="4FFACDF9" w14:textId="77777777" w:rsidR="008E5242" w:rsidRPr="00BD097A" w:rsidRDefault="008E5242" w:rsidP="001952AB">
      <w:pPr>
        <w:pStyle w:val="NormalWeb"/>
        <w:rPr>
          <w:rFonts w:ascii="Avenir Next LT Pro" w:eastAsia="AvenirNext LT Pro Bold" w:hAnsi="Avenir Next LT Pro" w:cs="AvenirNext LT Pro Bold"/>
          <w:color w:val="575F61"/>
          <w:szCs w:val="22"/>
          <w:lang w:val="en-GB" w:eastAsia="en-US"/>
        </w:rPr>
      </w:pPr>
      <w:r w:rsidRPr="00BD097A">
        <w:rPr>
          <w:rFonts w:ascii="Avenir Next LT Pro" w:eastAsia="AvenirNext LT Pro Bold" w:hAnsi="Avenir Next LT Pro" w:cs="AvenirNext LT Pro Bold"/>
          <w:color w:val="575F61"/>
          <w:szCs w:val="22"/>
          <w:lang w:val="en-GB" w:eastAsia="en-US"/>
        </w:rPr>
        <w:t xml:space="preserve">We urge the Tasmanian Government to </w:t>
      </w:r>
      <w:r>
        <w:rPr>
          <w:rFonts w:ascii="Avenir Next LT Pro" w:eastAsia="AvenirNext LT Pro Bold" w:hAnsi="Avenir Next LT Pro" w:cs="AvenirNext LT Pro Bold"/>
          <w:color w:val="575F61"/>
          <w:szCs w:val="22"/>
          <w:lang w:val="en-GB" w:eastAsia="en-US"/>
        </w:rPr>
        <w:t>continue working to address this gap</w:t>
      </w:r>
      <w:r w:rsidRPr="00BD097A">
        <w:rPr>
          <w:rFonts w:ascii="Avenir Next LT Pro" w:eastAsia="AvenirNext LT Pro Bold" w:hAnsi="Avenir Next LT Pro" w:cs="AvenirNext LT Pro Bold"/>
          <w:color w:val="575F61"/>
          <w:szCs w:val="22"/>
          <w:lang w:val="en-GB" w:eastAsia="en-US"/>
        </w:rPr>
        <w:t>.</w:t>
      </w:r>
      <w:r>
        <w:rPr>
          <w:rFonts w:ascii="Avenir Next LT Pro" w:eastAsia="AvenirNext LT Pro Bold" w:hAnsi="Avenir Next LT Pro" w:cs="AvenirNext LT Pro Bold"/>
          <w:color w:val="575F61"/>
          <w:szCs w:val="22"/>
          <w:lang w:val="en-GB" w:eastAsia="en-US"/>
        </w:rPr>
        <w:t xml:space="preserve"> </w:t>
      </w:r>
    </w:p>
    <w:p w14:paraId="63BCBA13" w14:textId="77777777" w:rsidR="008E5242" w:rsidRDefault="008E5242" w:rsidP="001952AB">
      <w:pPr>
        <w:pStyle w:val="Heading3"/>
      </w:pPr>
      <w:bookmarkStart w:id="35" w:name="_Toc179382446"/>
      <w:r>
        <w:t>Access to mental health support in Tasmania</w:t>
      </w:r>
      <w:bookmarkEnd w:id="35"/>
    </w:p>
    <w:p w14:paraId="5A3B44F7" w14:textId="77777777" w:rsidR="008E5242" w:rsidRDefault="008E5242" w:rsidP="001952AB">
      <w:pPr>
        <w:rPr>
          <w:rFonts w:ascii="Avenir Next LT Pro" w:hAnsi="Avenir Next LT Pro"/>
          <w:color w:val="575F61"/>
          <w:lang w:val="en-GB"/>
        </w:rPr>
      </w:pPr>
      <w:r w:rsidRPr="0097493A">
        <w:rPr>
          <w:rFonts w:ascii="Avenir Next LT Pro" w:hAnsi="Avenir Next LT Pro"/>
          <w:color w:val="575F61"/>
          <w:lang w:val="en-GB"/>
        </w:rPr>
        <w:t>Tasmania</w:t>
      </w:r>
      <w:r>
        <w:rPr>
          <w:rFonts w:ascii="Avenir Next LT Pro" w:hAnsi="Avenir Next LT Pro"/>
          <w:color w:val="575F61"/>
          <w:lang w:val="en-GB"/>
        </w:rPr>
        <w:t xml:space="preserve">ns experience significant barriers to accessing </w:t>
      </w:r>
      <w:r w:rsidRPr="0097493A">
        <w:rPr>
          <w:rFonts w:ascii="Avenir Next LT Pro" w:hAnsi="Avenir Next LT Pro"/>
          <w:color w:val="575F61"/>
          <w:lang w:val="en-GB"/>
        </w:rPr>
        <w:t xml:space="preserve">timely and affordable </w:t>
      </w:r>
      <w:r>
        <w:rPr>
          <w:rFonts w:ascii="Avenir Next LT Pro" w:hAnsi="Avenir Next LT Pro"/>
          <w:color w:val="575F61"/>
          <w:lang w:val="en-GB"/>
        </w:rPr>
        <w:t>mental health services, and a recent survey showed that 60%</w:t>
      </w:r>
      <w:r w:rsidRPr="0097493A">
        <w:rPr>
          <w:rFonts w:ascii="Avenir Next LT Pro" w:hAnsi="Avenir Next LT Pro"/>
          <w:color w:val="575F61"/>
          <w:lang w:val="en-GB"/>
        </w:rPr>
        <w:t xml:space="preserve"> of respondents</w:t>
      </w:r>
      <w:r>
        <w:rPr>
          <w:rFonts w:ascii="Avenir Next LT Pro" w:hAnsi="Avenir Next LT Pro"/>
          <w:color w:val="575F61"/>
          <w:lang w:val="en-GB"/>
        </w:rPr>
        <w:t xml:space="preserve"> delayed accessing mental health care due to cost </w:t>
      </w:r>
      <w:r>
        <w:rPr>
          <w:rFonts w:ascii="Avenir Next LT Pro" w:hAnsi="Avenir Next LT Pro"/>
          <w:noProof/>
          <w:color w:val="575F61"/>
          <w:lang w:val="en-GB"/>
        </w:rPr>
        <w:t>(MHCT 2023)</w:t>
      </w:r>
      <w:r w:rsidRPr="0097493A">
        <w:rPr>
          <w:rFonts w:ascii="Avenir Next LT Pro" w:hAnsi="Avenir Next LT Pro"/>
          <w:color w:val="575F61"/>
          <w:lang w:val="en-GB"/>
        </w:rPr>
        <w:t xml:space="preserve">. </w:t>
      </w:r>
    </w:p>
    <w:p w14:paraId="2ED19E4F" w14:textId="77777777" w:rsidR="008E5242" w:rsidRDefault="008E5242" w:rsidP="001952AB">
      <w:pPr>
        <w:rPr>
          <w:rFonts w:ascii="Avenir Next LT Pro" w:hAnsi="Avenir Next LT Pro"/>
          <w:color w:val="575F61"/>
          <w:lang w:val="en-GB"/>
        </w:rPr>
      </w:pPr>
      <w:r>
        <w:rPr>
          <w:rFonts w:ascii="Avenir Next LT Pro" w:hAnsi="Avenir Next LT Pro"/>
          <w:color w:val="575F61"/>
          <w:lang w:val="en-GB"/>
        </w:rPr>
        <w:t xml:space="preserve">Frontline staff similarly report that parents and caregivers are struggling to afford mental health care and as a result are either forgoing care for themselves and their children, or joining long waitlists for public mental health care. Wait times for the public system can be significant with staff citing examples of parents waiting six months or more for appointments. </w:t>
      </w:r>
    </w:p>
    <w:p w14:paraId="3AB309BA" w14:textId="77777777" w:rsidR="008E5242" w:rsidRDefault="008E5242" w:rsidP="001952AB">
      <w:pPr>
        <w:rPr>
          <w:rFonts w:ascii="Avenir Next LT Pro" w:hAnsi="Avenir Next LT Pro"/>
          <w:color w:val="575F61"/>
          <w:lang w:val="en-GB"/>
        </w:rPr>
      </w:pPr>
      <w:r>
        <w:rPr>
          <w:rFonts w:ascii="Avenir Next LT Pro" w:hAnsi="Avenir Next LT Pro"/>
          <w:color w:val="575F61"/>
          <w:lang w:val="en-GB"/>
        </w:rPr>
        <w:t xml:space="preserve">Financial barriers to accessing mental health care are not only due to high out-of-pocket costs but also the need to pay the full appointment fee upfront. </w:t>
      </w:r>
    </w:p>
    <w:tbl>
      <w:tblPr>
        <w:tblStyle w:val="TableGrid"/>
        <w:tblW w:w="10207" w:type="dxa"/>
        <w:tblInd w:w="-147" w:type="dxa"/>
        <w:tblLook w:val="04A0" w:firstRow="1" w:lastRow="0" w:firstColumn="1" w:lastColumn="0" w:noHBand="0" w:noVBand="1"/>
      </w:tblPr>
      <w:tblGrid>
        <w:gridCol w:w="2269"/>
        <w:gridCol w:w="2646"/>
        <w:gridCol w:w="2646"/>
        <w:gridCol w:w="2646"/>
      </w:tblGrid>
      <w:tr w:rsidR="008E5242" w:rsidRPr="00F920DB" w14:paraId="4CB06B54" w14:textId="77777777" w:rsidTr="001952AB">
        <w:tc>
          <w:tcPr>
            <w:tcW w:w="2269" w:type="dxa"/>
            <w:shd w:val="clear" w:color="auto" w:fill="DEEAF6" w:themeFill="accent5" w:themeFillTint="33"/>
          </w:tcPr>
          <w:p w14:paraId="336B6AE1" w14:textId="77777777" w:rsidR="008E5242" w:rsidRPr="00F920DB" w:rsidRDefault="008E5242" w:rsidP="001952AB">
            <w:pPr>
              <w:rPr>
                <w:rFonts w:ascii="Avenir Next LT Pro" w:hAnsi="Avenir Next LT Pro"/>
                <w:lang w:val="en-GB"/>
              </w:rPr>
            </w:pPr>
          </w:p>
        </w:tc>
        <w:tc>
          <w:tcPr>
            <w:tcW w:w="2646" w:type="dxa"/>
            <w:shd w:val="clear" w:color="auto" w:fill="DEEAF6" w:themeFill="accent5" w:themeFillTint="33"/>
          </w:tcPr>
          <w:p w14:paraId="3AF005B7" w14:textId="77777777" w:rsidR="008E5242" w:rsidRPr="00F920DB" w:rsidRDefault="008E5242" w:rsidP="001952AB">
            <w:pPr>
              <w:rPr>
                <w:rFonts w:ascii="Avenir Next LT Pro" w:hAnsi="Avenir Next LT Pro"/>
                <w:lang w:val="en-GB"/>
              </w:rPr>
            </w:pPr>
            <w:r w:rsidRPr="00F920DB">
              <w:rPr>
                <w:rFonts w:ascii="Avenir Next LT Pro" w:hAnsi="Avenir Next LT Pro"/>
                <w:lang w:val="en-GB"/>
              </w:rPr>
              <w:t xml:space="preserve">General psychologist </w:t>
            </w:r>
          </w:p>
        </w:tc>
        <w:tc>
          <w:tcPr>
            <w:tcW w:w="2646" w:type="dxa"/>
            <w:shd w:val="clear" w:color="auto" w:fill="DEEAF6" w:themeFill="accent5" w:themeFillTint="33"/>
          </w:tcPr>
          <w:p w14:paraId="25181E5D" w14:textId="77777777" w:rsidR="008E5242" w:rsidRPr="00F920DB" w:rsidRDefault="008E5242" w:rsidP="001952AB">
            <w:pPr>
              <w:rPr>
                <w:rFonts w:ascii="Avenir Next LT Pro" w:hAnsi="Avenir Next LT Pro"/>
                <w:lang w:val="en-GB"/>
              </w:rPr>
            </w:pPr>
            <w:r w:rsidRPr="00F920DB">
              <w:rPr>
                <w:rFonts w:ascii="Avenir Next LT Pro" w:hAnsi="Avenir Next LT Pro"/>
                <w:lang w:val="en-GB"/>
              </w:rPr>
              <w:t xml:space="preserve">Clinical psychologist </w:t>
            </w:r>
          </w:p>
          <w:p w14:paraId="2951AA4E" w14:textId="77777777" w:rsidR="008E5242" w:rsidRPr="00F920DB" w:rsidRDefault="008E5242" w:rsidP="001952AB">
            <w:pPr>
              <w:rPr>
                <w:rFonts w:ascii="Avenir Next LT Pro" w:hAnsi="Avenir Next LT Pro"/>
                <w:lang w:val="en-GB"/>
              </w:rPr>
            </w:pPr>
          </w:p>
        </w:tc>
        <w:tc>
          <w:tcPr>
            <w:tcW w:w="2646" w:type="dxa"/>
            <w:shd w:val="clear" w:color="auto" w:fill="DEEAF6" w:themeFill="accent5" w:themeFillTint="33"/>
          </w:tcPr>
          <w:p w14:paraId="3CFF47FB" w14:textId="77777777" w:rsidR="008E5242" w:rsidRPr="00F920DB" w:rsidRDefault="008E5242" w:rsidP="001952AB">
            <w:pPr>
              <w:rPr>
                <w:rFonts w:ascii="Avenir Next LT Pro" w:hAnsi="Avenir Next LT Pro"/>
                <w:lang w:val="en-GB"/>
              </w:rPr>
            </w:pPr>
            <w:r w:rsidRPr="00F920DB">
              <w:rPr>
                <w:rFonts w:ascii="Avenir Next LT Pro" w:hAnsi="Avenir Next LT Pro"/>
                <w:lang w:val="en-GB"/>
              </w:rPr>
              <w:t>Psychiatrist</w:t>
            </w:r>
          </w:p>
          <w:p w14:paraId="28793343" w14:textId="77777777" w:rsidR="008E5242" w:rsidRPr="00F920DB" w:rsidRDefault="008E5242" w:rsidP="001952AB">
            <w:pPr>
              <w:rPr>
                <w:rFonts w:ascii="Avenir Next LT Pro" w:hAnsi="Avenir Next LT Pro"/>
                <w:lang w:val="en-GB"/>
              </w:rPr>
            </w:pPr>
          </w:p>
        </w:tc>
      </w:tr>
      <w:tr w:rsidR="008E5242" w14:paraId="03757C68" w14:textId="77777777" w:rsidTr="001952AB">
        <w:tc>
          <w:tcPr>
            <w:tcW w:w="2269" w:type="dxa"/>
            <w:shd w:val="clear" w:color="auto" w:fill="DEEAF6" w:themeFill="accent5" w:themeFillTint="33"/>
          </w:tcPr>
          <w:p w14:paraId="27125520" w14:textId="77777777" w:rsidR="008E5242" w:rsidRPr="00F920DB" w:rsidRDefault="008E5242" w:rsidP="001952AB">
            <w:pPr>
              <w:rPr>
                <w:rFonts w:ascii="Avenir Next LT Pro" w:hAnsi="Avenir Next LT Pro"/>
                <w:lang w:val="en-GB"/>
              </w:rPr>
            </w:pPr>
            <w:r w:rsidRPr="00F920DB">
              <w:rPr>
                <w:rFonts w:ascii="Avenir Next LT Pro" w:hAnsi="Avenir Next LT Pro"/>
                <w:lang w:val="en-GB"/>
              </w:rPr>
              <w:t>Upfront fee</w:t>
            </w:r>
          </w:p>
        </w:tc>
        <w:tc>
          <w:tcPr>
            <w:tcW w:w="2646" w:type="dxa"/>
          </w:tcPr>
          <w:p w14:paraId="05587DC7" w14:textId="77777777" w:rsidR="008E5242" w:rsidRPr="002F711A" w:rsidRDefault="008E5242" w:rsidP="001952AB">
            <w:pPr>
              <w:jc w:val="center"/>
              <w:rPr>
                <w:rFonts w:ascii="Avenir Next LT Pro" w:hAnsi="Avenir Next LT Pro"/>
                <w:color w:val="575F61"/>
                <w:lang w:val="en-GB"/>
              </w:rPr>
            </w:pPr>
            <w:r w:rsidRPr="002F711A">
              <w:rPr>
                <w:rFonts w:ascii="Avenir Next LT Pro" w:hAnsi="Avenir Next LT Pro"/>
                <w:color w:val="575F61"/>
                <w:lang w:val="en-GB"/>
              </w:rPr>
              <w:t>$311.00</w:t>
            </w:r>
          </w:p>
        </w:tc>
        <w:tc>
          <w:tcPr>
            <w:tcW w:w="2646" w:type="dxa"/>
          </w:tcPr>
          <w:p w14:paraId="2EDDE3E8" w14:textId="77777777" w:rsidR="008E5242" w:rsidRPr="002F711A" w:rsidRDefault="008E5242" w:rsidP="001952AB">
            <w:pPr>
              <w:jc w:val="center"/>
              <w:rPr>
                <w:rFonts w:ascii="Avenir Next LT Pro" w:hAnsi="Avenir Next LT Pro"/>
                <w:color w:val="575F61"/>
                <w:lang w:val="en-GB"/>
              </w:rPr>
            </w:pPr>
            <w:r w:rsidRPr="002F711A">
              <w:rPr>
                <w:rFonts w:ascii="Avenir Next LT Pro" w:hAnsi="Avenir Next LT Pro"/>
                <w:color w:val="575F61"/>
                <w:lang w:val="en-GB"/>
              </w:rPr>
              <w:t>$311.00</w:t>
            </w:r>
          </w:p>
        </w:tc>
        <w:tc>
          <w:tcPr>
            <w:tcW w:w="2646" w:type="dxa"/>
          </w:tcPr>
          <w:p w14:paraId="117CFFFE" w14:textId="77777777" w:rsidR="008E5242" w:rsidRPr="002F711A" w:rsidRDefault="008E5242" w:rsidP="001952AB">
            <w:pPr>
              <w:jc w:val="center"/>
              <w:rPr>
                <w:rFonts w:ascii="Avenir Next LT Pro" w:hAnsi="Avenir Next LT Pro"/>
                <w:color w:val="575F61"/>
                <w:lang w:val="en-GB"/>
              </w:rPr>
            </w:pPr>
            <w:r w:rsidRPr="002F711A">
              <w:rPr>
                <w:rFonts w:ascii="Avenir Next LT Pro" w:hAnsi="Avenir Next LT Pro"/>
                <w:color w:val="575F61"/>
                <w:lang w:val="en-GB"/>
              </w:rPr>
              <w:t>$735.00</w:t>
            </w:r>
          </w:p>
        </w:tc>
      </w:tr>
      <w:tr w:rsidR="008E5242" w14:paraId="1A729CB8" w14:textId="77777777" w:rsidTr="001952AB">
        <w:tc>
          <w:tcPr>
            <w:tcW w:w="2269" w:type="dxa"/>
            <w:shd w:val="clear" w:color="auto" w:fill="DEEAF6" w:themeFill="accent5" w:themeFillTint="33"/>
          </w:tcPr>
          <w:p w14:paraId="4D32600C" w14:textId="77777777" w:rsidR="008E5242" w:rsidRPr="00F920DB" w:rsidRDefault="008E5242" w:rsidP="001952AB">
            <w:pPr>
              <w:rPr>
                <w:rFonts w:ascii="Avenir Next LT Pro" w:hAnsi="Avenir Next LT Pro"/>
                <w:lang w:val="en-GB"/>
              </w:rPr>
            </w:pPr>
            <w:r w:rsidRPr="00F920DB">
              <w:rPr>
                <w:rFonts w:ascii="Avenir Next LT Pro" w:hAnsi="Avenir Next LT Pro"/>
                <w:lang w:val="en-GB"/>
              </w:rPr>
              <w:t xml:space="preserve">Medicare rebate </w:t>
            </w:r>
          </w:p>
        </w:tc>
        <w:tc>
          <w:tcPr>
            <w:tcW w:w="2646" w:type="dxa"/>
          </w:tcPr>
          <w:p w14:paraId="209B8407" w14:textId="77777777" w:rsidR="008E5242" w:rsidRPr="002F711A" w:rsidRDefault="008E5242" w:rsidP="001952AB">
            <w:pPr>
              <w:jc w:val="center"/>
              <w:rPr>
                <w:rFonts w:ascii="Avenir Next LT Pro" w:hAnsi="Avenir Next LT Pro"/>
                <w:color w:val="575F61"/>
                <w:lang w:val="en-GB"/>
              </w:rPr>
            </w:pPr>
            <w:r w:rsidRPr="002F711A">
              <w:rPr>
                <w:rFonts w:ascii="Avenir Next LT Pro" w:hAnsi="Avenir Next LT Pro"/>
                <w:color w:val="575F61"/>
                <w:lang w:val="en-GB"/>
              </w:rPr>
              <w:t>$96.50</w:t>
            </w:r>
          </w:p>
        </w:tc>
        <w:tc>
          <w:tcPr>
            <w:tcW w:w="2646" w:type="dxa"/>
          </w:tcPr>
          <w:p w14:paraId="0924C7F4" w14:textId="77777777" w:rsidR="008E5242" w:rsidRPr="002F711A" w:rsidRDefault="008E5242" w:rsidP="001952AB">
            <w:pPr>
              <w:jc w:val="center"/>
              <w:rPr>
                <w:rFonts w:ascii="Avenir Next LT Pro" w:hAnsi="Avenir Next LT Pro"/>
                <w:color w:val="575F61"/>
                <w:lang w:val="en-GB"/>
              </w:rPr>
            </w:pPr>
            <w:r w:rsidRPr="002F711A">
              <w:rPr>
                <w:rFonts w:ascii="Avenir Next LT Pro" w:hAnsi="Avenir Next LT Pro"/>
                <w:color w:val="575F61"/>
                <w:lang w:val="en-GB"/>
              </w:rPr>
              <w:t>$141.85</w:t>
            </w:r>
          </w:p>
        </w:tc>
        <w:tc>
          <w:tcPr>
            <w:tcW w:w="2646" w:type="dxa"/>
          </w:tcPr>
          <w:p w14:paraId="63179316" w14:textId="77777777" w:rsidR="008E5242" w:rsidRPr="002F711A" w:rsidRDefault="008E5242" w:rsidP="001952AB">
            <w:pPr>
              <w:jc w:val="center"/>
              <w:rPr>
                <w:rFonts w:ascii="Avenir Next LT Pro" w:hAnsi="Avenir Next LT Pro"/>
                <w:color w:val="575F61"/>
                <w:lang w:val="en-GB"/>
              </w:rPr>
            </w:pPr>
            <w:r w:rsidRPr="002F711A">
              <w:rPr>
                <w:rFonts w:ascii="Avenir Next LT Pro" w:hAnsi="Avenir Next LT Pro"/>
                <w:color w:val="575F61"/>
                <w:lang w:val="en-GB"/>
              </w:rPr>
              <w:t>$413.00</w:t>
            </w:r>
          </w:p>
        </w:tc>
      </w:tr>
      <w:tr w:rsidR="008E5242" w14:paraId="3B4A2A5D" w14:textId="77777777" w:rsidTr="001952AB">
        <w:tc>
          <w:tcPr>
            <w:tcW w:w="2269" w:type="dxa"/>
            <w:shd w:val="clear" w:color="auto" w:fill="DEEAF6" w:themeFill="accent5" w:themeFillTint="33"/>
          </w:tcPr>
          <w:p w14:paraId="39F2FDA2" w14:textId="77777777" w:rsidR="008E5242" w:rsidRPr="00F920DB" w:rsidRDefault="008E5242" w:rsidP="001952AB">
            <w:pPr>
              <w:rPr>
                <w:rFonts w:ascii="Avenir Next LT Pro" w:hAnsi="Avenir Next LT Pro"/>
                <w:lang w:val="en-GB"/>
              </w:rPr>
            </w:pPr>
            <w:r w:rsidRPr="00F920DB">
              <w:rPr>
                <w:rFonts w:ascii="Avenir Next LT Pro" w:hAnsi="Avenir Next LT Pro"/>
                <w:lang w:val="en-GB"/>
              </w:rPr>
              <w:t xml:space="preserve">Out-of-pocket cost </w:t>
            </w:r>
          </w:p>
        </w:tc>
        <w:tc>
          <w:tcPr>
            <w:tcW w:w="2646" w:type="dxa"/>
          </w:tcPr>
          <w:p w14:paraId="39F911EF" w14:textId="77777777" w:rsidR="008E5242" w:rsidRPr="002F711A" w:rsidRDefault="008E5242" w:rsidP="001952AB">
            <w:pPr>
              <w:jc w:val="center"/>
              <w:rPr>
                <w:rFonts w:ascii="Avenir Next LT Pro" w:hAnsi="Avenir Next LT Pro"/>
                <w:color w:val="575F61"/>
                <w:lang w:val="en-GB"/>
              </w:rPr>
            </w:pPr>
            <w:r w:rsidRPr="002F711A">
              <w:rPr>
                <w:rFonts w:ascii="Avenir Next LT Pro" w:hAnsi="Avenir Next LT Pro"/>
                <w:color w:val="575F61"/>
                <w:lang w:val="en-GB"/>
              </w:rPr>
              <w:t>$214.50</w:t>
            </w:r>
          </w:p>
        </w:tc>
        <w:tc>
          <w:tcPr>
            <w:tcW w:w="2646" w:type="dxa"/>
          </w:tcPr>
          <w:p w14:paraId="2331CEC0" w14:textId="77777777" w:rsidR="008E5242" w:rsidRPr="002F711A" w:rsidRDefault="008E5242" w:rsidP="001952AB">
            <w:pPr>
              <w:jc w:val="center"/>
              <w:rPr>
                <w:rFonts w:ascii="Avenir Next LT Pro" w:hAnsi="Avenir Next LT Pro"/>
                <w:color w:val="575F61"/>
                <w:lang w:val="en-GB"/>
              </w:rPr>
            </w:pPr>
            <w:r w:rsidRPr="002F711A">
              <w:rPr>
                <w:rFonts w:ascii="Avenir Next LT Pro" w:hAnsi="Avenir Next LT Pro"/>
                <w:color w:val="575F61"/>
                <w:lang w:val="en-GB"/>
              </w:rPr>
              <w:t>$169.15</w:t>
            </w:r>
          </w:p>
        </w:tc>
        <w:tc>
          <w:tcPr>
            <w:tcW w:w="2646" w:type="dxa"/>
          </w:tcPr>
          <w:p w14:paraId="48D555D2" w14:textId="77777777" w:rsidR="008E5242" w:rsidRPr="002F711A" w:rsidRDefault="008E5242" w:rsidP="001952AB">
            <w:pPr>
              <w:jc w:val="center"/>
              <w:rPr>
                <w:rFonts w:ascii="Avenir Next LT Pro" w:hAnsi="Avenir Next LT Pro"/>
                <w:color w:val="575F61"/>
                <w:lang w:val="en-GB"/>
              </w:rPr>
            </w:pPr>
            <w:r w:rsidRPr="002F711A">
              <w:rPr>
                <w:rFonts w:ascii="Avenir Next LT Pro" w:hAnsi="Avenir Next LT Pro"/>
                <w:color w:val="575F61"/>
                <w:lang w:val="en-GB"/>
              </w:rPr>
              <w:t>$322.00</w:t>
            </w:r>
          </w:p>
        </w:tc>
      </w:tr>
    </w:tbl>
    <w:p w14:paraId="2747F9CB" w14:textId="77777777" w:rsidR="008E5242" w:rsidRDefault="008E5242" w:rsidP="001952AB">
      <w:r w:rsidRPr="00CD5411">
        <w:rPr>
          <w:rFonts w:ascii="Avenir Next LT Pro" w:hAnsi="Avenir Next LT Pro"/>
          <w:color w:val="575F61"/>
          <w:lang w:val="en-GB"/>
        </w:rPr>
        <w:lastRenderedPageBreak/>
        <w:t xml:space="preserve">Source: (APS 2024; DHAC 2024b) </w:t>
      </w:r>
    </w:p>
    <w:p w14:paraId="0F46A994" w14:textId="77777777" w:rsidR="008E5242" w:rsidRDefault="008E5242" w:rsidP="001952AB">
      <w:pPr>
        <w:pStyle w:val="IntenseQuote"/>
        <w:spacing w:after="0"/>
      </w:pPr>
      <w:r>
        <w:t>‘</w:t>
      </w:r>
      <w:r w:rsidRPr="0012066A">
        <w:t xml:space="preserve">You have families who go without </w:t>
      </w:r>
      <w:r>
        <w:t>f</w:t>
      </w:r>
      <w:r w:rsidRPr="0012066A">
        <w:t xml:space="preserve">ood so they can afford </w:t>
      </w:r>
      <w:r w:rsidRPr="002F711A">
        <w:t>to</w:t>
      </w:r>
      <w:r w:rsidRPr="0012066A">
        <w:t xml:space="preserve"> see a psychologist or psychiatrist</w:t>
      </w:r>
      <w:r>
        <w:t>’</w:t>
      </w:r>
    </w:p>
    <w:p w14:paraId="24E45B86" w14:textId="77777777" w:rsidR="008E5242" w:rsidRPr="0012066A" w:rsidRDefault="008E5242" w:rsidP="001952AB">
      <w:pPr>
        <w:pStyle w:val="IntenseQuote"/>
        <w:spacing w:before="0"/>
      </w:pPr>
      <w:r w:rsidRPr="0012066A">
        <w:t xml:space="preserve">– Child and Family Worker, Devonport </w:t>
      </w:r>
    </w:p>
    <w:p w14:paraId="6797E577" w14:textId="77777777" w:rsidR="008E5242" w:rsidRDefault="008E5242" w:rsidP="001952AB">
      <w:pPr>
        <w:rPr>
          <w:rFonts w:ascii="Avenir Next LT Pro" w:hAnsi="Avenir Next LT Pro"/>
          <w:color w:val="575F61"/>
          <w:lang w:val="en-GB"/>
        </w:rPr>
      </w:pPr>
      <w:r>
        <w:rPr>
          <w:rFonts w:ascii="Avenir Next LT Pro" w:hAnsi="Avenir Next LT Pro"/>
          <w:color w:val="575F61"/>
          <w:lang w:val="en-GB"/>
        </w:rPr>
        <w:t>The Tasmanian Government has announced additional mental health funding in the 2024</w:t>
      </w:r>
      <w:r>
        <w:rPr>
          <w:rFonts w:ascii="Avenir Next LT Pro" w:hAnsi="Avenir Next LT Pro"/>
          <w:color w:val="575F61"/>
          <w:lang w:val="en-GB"/>
        </w:rPr>
        <w:noBreakHyphen/>
        <w:t xml:space="preserve">25 State Budget </w:t>
      </w:r>
      <w:r>
        <w:rPr>
          <w:rFonts w:ascii="Avenir Next LT Pro" w:hAnsi="Avenir Next LT Pro"/>
          <w:noProof/>
          <w:color w:val="575F61"/>
          <w:lang w:val="en-GB"/>
        </w:rPr>
        <w:t>(Tasmanian Government 2024)</w:t>
      </w:r>
      <w:r>
        <w:rPr>
          <w:rFonts w:ascii="Avenir Next LT Pro" w:hAnsi="Avenir Next LT Pro"/>
          <w:color w:val="575F61"/>
          <w:lang w:val="en-GB"/>
        </w:rPr>
        <w:t xml:space="preserve">. This investment is welcomed, but much more needs to be done to improve the affordability of mental health care, reduce strain on the public mental health system, and enable early intervention. </w:t>
      </w:r>
    </w:p>
    <w:p w14:paraId="494AF280" w14:textId="77777777" w:rsidR="008E5242" w:rsidRDefault="008E5242" w:rsidP="001952AB">
      <w:pPr>
        <w:rPr>
          <w:rFonts w:ascii="Avenir Next LT Pro" w:hAnsi="Avenir Next LT Pro"/>
          <w:color w:val="575F61"/>
          <w:lang w:val="en-GB"/>
        </w:rPr>
      </w:pPr>
      <w:r>
        <w:rPr>
          <w:rFonts w:ascii="Avenir Next LT Pro" w:hAnsi="Avenir Next LT Pro"/>
          <w:color w:val="575F61"/>
          <w:lang w:val="en-GB"/>
        </w:rPr>
        <w:t xml:space="preserve">It is recommended that the Tasmanian Government act to: </w:t>
      </w:r>
    </w:p>
    <w:p w14:paraId="5B460465" w14:textId="77777777" w:rsidR="008E5242" w:rsidRPr="006F5FDF" w:rsidRDefault="008E5242" w:rsidP="00867219">
      <w:pPr>
        <w:pStyle w:val="ListParagraph"/>
      </w:pPr>
      <w:r w:rsidRPr="006F5FDF">
        <w:t>reduce waiting times in the public mental health system</w:t>
      </w:r>
    </w:p>
    <w:p w14:paraId="2823861D" w14:textId="77777777" w:rsidR="008E5242" w:rsidRPr="006F5FDF" w:rsidRDefault="008E5242" w:rsidP="00867219">
      <w:pPr>
        <w:pStyle w:val="ListParagraph"/>
      </w:pPr>
      <w:r w:rsidRPr="006F5FDF">
        <w:t>reduce out of pocket costs for mental health care, including removing the barrier of up-front fees.</w:t>
      </w:r>
    </w:p>
    <w:p w14:paraId="75DCBDD4" w14:textId="5B2FEF13" w:rsidR="008E5242" w:rsidRPr="00C309D4" w:rsidRDefault="008E5242" w:rsidP="001952AB">
      <w:pPr>
        <w:pStyle w:val="Heading3"/>
      </w:pPr>
      <w:bookmarkStart w:id="36" w:name="_Toc179382447"/>
      <w:r>
        <w:t>Access to medical services affects access to education</w:t>
      </w:r>
      <w:bookmarkEnd w:id="36"/>
    </w:p>
    <w:p w14:paraId="306B702B" w14:textId="77777777" w:rsidR="008E5242" w:rsidRDefault="008E5242" w:rsidP="001952AB">
      <w:pPr>
        <w:rPr>
          <w:rFonts w:ascii="Avenir Next LT Pro" w:hAnsi="Avenir Next LT Pro"/>
          <w:color w:val="575F61"/>
          <w:lang w:val="en-GB"/>
        </w:rPr>
      </w:pPr>
      <w:r>
        <w:rPr>
          <w:rFonts w:ascii="Avenir Next LT Pro" w:hAnsi="Avenir Next LT Pro"/>
          <w:color w:val="575F61"/>
          <w:lang w:val="en-GB"/>
        </w:rPr>
        <w:t xml:space="preserve">Lack of timely access to affordable medical services is delaying access to in-classroom support for students with learning disorders and neurodiversity. Frontline staff shared that for children to receive educational adjustments and in-classroom support a formal diagnosis is required. This involves seeing a paediatrician, a psychologist and/or a psychiatrist which due to rising costs of living are both unaffordable and inaccessible. </w:t>
      </w:r>
    </w:p>
    <w:p w14:paraId="24BAE8BB" w14:textId="77777777" w:rsidR="008E5242" w:rsidRDefault="008E5242" w:rsidP="001952AB">
      <w:pPr>
        <w:pStyle w:val="IntenseQuote"/>
        <w:spacing w:after="0"/>
      </w:pPr>
      <w:r w:rsidRPr="00C43E6D">
        <w:t>‘</w:t>
      </w:r>
      <w:r>
        <w:t>I</w:t>
      </w:r>
      <w:r w:rsidRPr="00C43E6D">
        <w:t>f it wasn’t for cost of living pressures, these assessment fees could be affordable’</w:t>
      </w:r>
      <w:r>
        <w:t xml:space="preserve"> </w:t>
      </w:r>
    </w:p>
    <w:p w14:paraId="317F0FDF" w14:textId="77777777" w:rsidR="008E5242" w:rsidRPr="00C309D4" w:rsidRDefault="008E5242" w:rsidP="001952AB">
      <w:pPr>
        <w:pStyle w:val="IntenseQuote"/>
        <w:spacing w:before="0"/>
        <w:rPr>
          <w:rFonts w:ascii="Avenir Next LT Pro" w:eastAsiaTheme="minorHAnsi" w:hAnsi="Avenir Next LT Pro" w:cs="Calibri"/>
          <w:color w:val="575F61"/>
          <w:sz w:val="22"/>
          <w:lang w:val="en-GB"/>
        </w:rPr>
      </w:pPr>
      <w:r>
        <w:t xml:space="preserve">– Child and Family Worker, Glenorchy </w:t>
      </w:r>
    </w:p>
    <w:p w14:paraId="7290B1DB" w14:textId="11825B5A" w:rsidR="0061085D" w:rsidRDefault="008E5242" w:rsidP="001952AB">
      <w:pPr>
        <w:rPr>
          <w:rFonts w:ascii="Avenir Next LT Pro" w:hAnsi="Avenir Next LT Pro"/>
          <w:color w:val="575F61"/>
          <w:lang w:val="en-GB"/>
        </w:rPr>
      </w:pPr>
      <w:r>
        <w:rPr>
          <w:rFonts w:ascii="Avenir Next LT Pro" w:hAnsi="Avenir Next LT Pro"/>
          <w:color w:val="575F61"/>
          <w:lang w:val="en-GB"/>
        </w:rPr>
        <w:t xml:space="preserve">Anglicare staff report that some families have had to wait up to three years before receiving a diagnosis. Even if families can afford to see a private provider, they may still face long wait times due to high demand. </w:t>
      </w:r>
    </w:p>
    <w:p w14:paraId="50F733A2" w14:textId="77777777" w:rsidR="0061085D" w:rsidRDefault="0061085D">
      <w:pPr>
        <w:widowControl/>
        <w:autoSpaceDE/>
        <w:autoSpaceDN/>
        <w:spacing w:before="0" w:after="160" w:line="259" w:lineRule="auto"/>
        <w:rPr>
          <w:rFonts w:ascii="Avenir Next LT Pro" w:hAnsi="Avenir Next LT Pro"/>
          <w:color w:val="575F61"/>
          <w:lang w:val="en-GB"/>
        </w:rPr>
      </w:pPr>
      <w:r>
        <w:rPr>
          <w:rFonts w:ascii="Avenir Next LT Pro" w:hAnsi="Avenir Next LT Pro"/>
          <w:color w:val="575F61"/>
          <w:lang w:val="en-GB"/>
        </w:rPr>
        <w:br w:type="page"/>
      </w:r>
    </w:p>
    <w:p w14:paraId="1A24D169" w14:textId="444BB5D6" w:rsidR="008E5242" w:rsidRDefault="0061085D" w:rsidP="001952AB">
      <w:pPr>
        <w:rPr>
          <w:rFonts w:ascii="Avenir Next LT Pro" w:hAnsi="Avenir Next LT Pro"/>
          <w:color w:val="575F61"/>
          <w:lang w:val="en-GB"/>
        </w:rPr>
      </w:pPr>
      <w:r w:rsidRPr="0061085D">
        <w:rPr>
          <w:rFonts w:ascii="Avenir Next LT Pro" w:hAnsi="Avenir Next LT Pro"/>
          <w:noProof/>
          <w:color w:val="575F61"/>
          <w:lang w:val="en-GB"/>
        </w:rPr>
        <w:lastRenderedPageBreak/>
        <w:drawing>
          <wp:inline distT="0" distB="0" distL="0" distR="0" wp14:anchorId="278BBD24" wp14:editId="63BBD7DB">
            <wp:extent cx="6318250" cy="3788410"/>
            <wp:effectExtent l="0" t="0" r="6350" b="2540"/>
            <wp:docPr id="62" name="Picture 62" descr="Infographic showing the journey from the time that support is needed, when learning difficulties are first experienced, to a general practitioner, a paediatrician, a psychologist and/or psychiatrist, to diagnosis, to being eligible for support, which is when support is actually provided. The duration of the journey is shown to take up to 2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318250" cy="3788410"/>
                    </a:xfrm>
                    <a:prstGeom prst="rect">
                      <a:avLst/>
                    </a:prstGeom>
                  </pic:spPr>
                </pic:pic>
              </a:graphicData>
            </a:graphic>
          </wp:inline>
        </w:drawing>
      </w:r>
    </w:p>
    <w:p w14:paraId="18D5C1F0" w14:textId="602513D8" w:rsidR="008E5242" w:rsidRPr="00226BBF" w:rsidRDefault="0061085D" w:rsidP="001952AB">
      <w:pPr>
        <w:pStyle w:val="IntenseQuote"/>
        <w:spacing w:after="0"/>
      </w:pPr>
      <w:r w:rsidRPr="00226BBF">
        <w:t xml:space="preserve"> </w:t>
      </w:r>
      <w:r w:rsidR="008E5242" w:rsidRPr="00226BBF">
        <w:t xml:space="preserve">‘If parents are unable to get assessment done early, often one parent ends up having reduced working capacity’ </w:t>
      </w:r>
    </w:p>
    <w:p w14:paraId="5B7DD260" w14:textId="77777777" w:rsidR="008E5242" w:rsidRPr="00226BBF" w:rsidRDefault="008E5242" w:rsidP="001952AB">
      <w:pPr>
        <w:pStyle w:val="IntenseQuote"/>
        <w:spacing w:before="0"/>
      </w:pPr>
      <w:r w:rsidRPr="00226BBF">
        <w:t>– Child and Family Worker, Glenorchy</w:t>
      </w:r>
    </w:p>
    <w:p w14:paraId="04FCA3F1" w14:textId="77777777" w:rsidR="008E5242" w:rsidRDefault="008E5242" w:rsidP="001952AB">
      <w:pPr>
        <w:rPr>
          <w:rFonts w:ascii="Avenir Next LT Pro" w:hAnsi="Avenir Next LT Pro"/>
          <w:color w:val="575F61"/>
          <w:lang w:val="en-GB"/>
        </w:rPr>
      </w:pPr>
      <w:r>
        <w:rPr>
          <w:rFonts w:ascii="Avenir Next LT Pro" w:hAnsi="Avenir Next LT Pro"/>
          <w:color w:val="575F61"/>
          <w:lang w:val="en-GB"/>
        </w:rPr>
        <w:t xml:space="preserve">The delay in providing in-classroom support to children who need it can prevent them from fully engaging in education, with lasting effects on life outcomes. </w:t>
      </w:r>
    </w:p>
    <w:p w14:paraId="6B29F9B7" w14:textId="77777777" w:rsidR="008E5242" w:rsidRDefault="008E5242">
      <w:pPr>
        <w:pPrChange w:id="37" w:author="Selina Claxton" w:date="2024-10-14T15:09:00Z">
          <w:pPr>
            <w:spacing w:before="0" w:after="0"/>
          </w:pPr>
        </w:pPrChange>
      </w:pPr>
      <w:bookmarkStart w:id="38" w:name="_Toc179382448"/>
      <w:r>
        <w:br w:type="page"/>
      </w:r>
    </w:p>
    <w:p w14:paraId="445DBEEB" w14:textId="12EF17BB" w:rsidR="008E5242" w:rsidRDefault="008E5242" w:rsidP="001952AB">
      <w:pPr>
        <w:pStyle w:val="Heading1"/>
      </w:pPr>
      <w:bookmarkStart w:id="39" w:name="_Toc179814532"/>
      <w:r>
        <w:lastRenderedPageBreak/>
        <w:t>Conclusion and reco</w:t>
      </w:r>
      <w:r w:rsidRPr="007D5D81">
        <w:t>m</w:t>
      </w:r>
      <w:r>
        <w:t>mendations</w:t>
      </w:r>
      <w:bookmarkEnd w:id="38"/>
      <w:bookmarkEnd w:id="39"/>
      <w:r>
        <w:t xml:space="preserve"> </w:t>
      </w:r>
    </w:p>
    <w:p w14:paraId="5B720454" w14:textId="77777777" w:rsidR="008E5242" w:rsidRPr="002F711A" w:rsidRDefault="008E5242" w:rsidP="001952AB">
      <w:pPr>
        <w:rPr>
          <w:rFonts w:ascii="Avenir Next LT Pro" w:hAnsi="Avenir Next LT Pro"/>
          <w:color w:val="575F61"/>
          <w:lang w:val="en-GB"/>
        </w:rPr>
      </w:pPr>
      <w:r w:rsidRPr="002F711A">
        <w:rPr>
          <w:rFonts w:ascii="Avenir Next LT Pro" w:hAnsi="Avenir Next LT Pro"/>
          <w:color w:val="575F61"/>
          <w:lang w:val="en-GB"/>
        </w:rPr>
        <w:t xml:space="preserve">Governments </w:t>
      </w:r>
      <w:r>
        <w:rPr>
          <w:rFonts w:ascii="Avenir Next LT Pro" w:hAnsi="Avenir Next LT Pro"/>
          <w:color w:val="575F61"/>
          <w:lang w:val="en-GB"/>
        </w:rPr>
        <w:t>at</w:t>
      </w:r>
      <w:r w:rsidRPr="002F711A">
        <w:rPr>
          <w:rFonts w:ascii="Avenir Next LT Pro" w:hAnsi="Avenir Next LT Pro"/>
          <w:color w:val="575F61"/>
          <w:lang w:val="en-GB"/>
        </w:rPr>
        <w:t xml:space="preserve"> all levels are working to ease the cost of living pressures. </w:t>
      </w:r>
      <w:r>
        <w:rPr>
          <w:rFonts w:ascii="Avenir Next LT Pro" w:hAnsi="Avenir Next LT Pro"/>
          <w:color w:val="575F61"/>
          <w:lang w:val="en-GB"/>
        </w:rPr>
        <w:t>A</w:t>
      </w:r>
      <w:r w:rsidRPr="002F711A">
        <w:rPr>
          <w:rFonts w:ascii="Avenir Next LT Pro" w:hAnsi="Avenir Next LT Pro"/>
          <w:color w:val="575F61"/>
          <w:lang w:val="en-GB"/>
        </w:rPr>
        <w:t xml:space="preserve"> number of </w:t>
      </w:r>
      <w:r>
        <w:rPr>
          <w:rFonts w:ascii="Avenir Next LT Pro" w:hAnsi="Avenir Next LT Pro"/>
          <w:color w:val="575F61"/>
          <w:lang w:val="en-GB"/>
        </w:rPr>
        <w:t xml:space="preserve">positive </w:t>
      </w:r>
      <w:r w:rsidRPr="002F711A">
        <w:rPr>
          <w:rFonts w:ascii="Avenir Next LT Pro" w:hAnsi="Avenir Next LT Pro"/>
          <w:color w:val="575F61"/>
          <w:lang w:val="en-GB"/>
        </w:rPr>
        <w:t xml:space="preserve">initiatives have been announced in recent budgets and these are </w:t>
      </w:r>
      <w:r w:rsidRPr="00DC71F0">
        <w:rPr>
          <w:rFonts w:ascii="Avenir Next LT Pro" w:hAnsi="Avenir Next LT Pro"/>
          <w:color w:val="575F61"/>
          <w:lang w:val="en-GB"/>
        </w:rPr>
        <w:t>acknowledged</w:t>
      </w:r>
      <w:r w:rsidRPr="00D05FDD">
        <w:rPr>
          <w:rFonts w:ascii="Avenir Next LT Pro" w:hAnsi="Avenir Next LT Pro"/>
          <w:color w:val="575F61"/>
          <w:lang w:val="en-GB"/>
        </w:rPr>
        <w:t>.</w:t>
      </w:r>
      <w:r w:rsidRPr="002F711A">
        <w:rPr>
          <w:rFonts w:ascii="Avenir Next LT Pro" w:hAnsi="Avenir Next LT Pro"/>
          <w:color w:val="575F61"/>
          <w:lang w:val="en-GB"/>
        </w:rPr>
        <w:t xml:space="preserve"> </w:t>
      </w:r>
    </w:p>
    <w:p w14:paraId="401CE4E1" w14:textId="77777777" w:rsidR="008E5242" w:rsidRPr="002F711A" w:rsidRDefault="008E5242" w:rsidP="001952AB">
      <w:pPr>
        <w:rPr>
          <w:rFonts w:ascii="Avenir Next LT Pro" w:hAnsi="Avenir Next LT Pro"/>
          <w:color w:val="575F61"/>
          <w:lang w:val="en-GB"/>
        </w:rPr>
      </w:pPr>
      <w:r w:rsidRPr="002F711A">
        <w:rPr>
          <w:rFonts w:ascii="Avenir Next LT Pro" w:hAnsi="Avenir Next LT Pro"/>
          <w:color w:val="575F61"/>
          <w:lang w:val="en-GB"/>
        </w:rPr>
        <w:t xml:space="preserve">Anglicare’s research highlights the </w:t>
      </w:r>
      <w:r>
        <w:rPr>
          <w:rFonts w:ascii="Avenir Next LT Pro" w:hAnsi="Avenir Next LT Pro"/>
          <w:color w:val="575F61"/>
          <w:lang w:val="en-GB"/>
        </w:rPr>
        <w:t xml:space="preserve">sustained </w:t>
      </w:r>
      <w:r w:rsidRPr="002F711A">
        <w:rPr>
          <w:rFonts w:ascii="Avenir Next LT Pro" w:hAnsi="Avenir Next LT Pro"/>
          <w:color w:val="575F61"/>
          <w:lang w:val="en-GB"/>
        </w:rPr>
        <w:t xml:space="preserve">impact </w:t>
      </w:r>
      <w:r>
        <w:rPr>
          <w:rFonts w:ascii="Avenir Next LT Pro" w:hAnsi="Avenir Next LT Pro"/>
          <w:color w:val="575F61"/>
          <w:lang w:val="en-GB"/>
        </w:rPr>
        <w:t xml:space="preserve">that </w:t>
      </w:r>
      <w:r w:rsidRPr="002F711A">
        <w:rPr>
          <w:rFonts w:ascii="Avenir Next LT Pro" w:hAnsi="Avenir Next LT Pro"/>
          <w:color w:val="575F61"/>
          <w:lang w:val="en-GB"/>
        </w:rPr>
        <w:t xml:space="preserve">cost of living </w:t>
      </w:r>
      <w:r>
        <w:rPr>
          <w:rFonts w:ascii="Avenir Next LT Pro" w:hAnsi="Avenir Next LT Pro"/>
          <w:color w:val="575F61"/>
          <w:lang w:val="en-GB"/>
        </w:rPr>
        <w:t>pressure is</w:t>
      </w:r>
      <w:r w:rsidRPr="002F711A">
        <w:rPr>
          <w:rFonts w:ascii="Avenir Next LT Pro" w:hAnsi="Avenir Next LT Pro"/>
          <w:color w:val="575F61"/>
          <w:lang w:val="en-GB"/>
        </w:rPr>
        <w:t xml:space="preserve"> having on Tasmanian</w:t>
      </w:r>
      <w:r>
        <w:rPr>
          <w:rFonts w:ascii="Avenir Next LT Pro" w:hAnsi="Avenir Next LT Pro"/>
          <w:color w:val="575F61"/>
          <w:lang w:val="en-GB"/>
        </w:rPr>
        <w:t xml:space="preserve"> families</w:t>
      </w:r>
      <w:r w:rsidRPr="002F711A">
        <w:rPr>
          <w:rFonts w:ascii="Avenir Next LT Pro" w:hAnsi="Avenir Next LT Pro"/>
          <w:color w:val="575F61"/>
          <w:lang w:val="en-GB"/>
        </w:rPr>
        <w:t xml:space="preserve">. </w:t>
      </w:r>
      <w:r>
        <w:rPr>
          <w:rFonts w:ascii="Avenir Next LT Pro" w:hAnsi="Avenir Next LT Pro"/>
          <w:color w:val="575F61"/>
          <w:lang w:val="en-GB"/>
        </w:rPr>
        <w:t>Anglicare is</w:t>
      </w:r>
      <w:r w:rsidRPr="002F711A">
        <w:rPr>
          <w:rFonts w:ascii="Avenir Next LT Pro" w:hAnsi="Avenir Next LT Pro"/>
          <w:color w:val="575F61"/>
          <w:lang w:val="en-GB"/>
        </w:rPr>
        <w:t xml:space="preserve"> seeing the makings of newly disadvantaged cohorts, with dual</w:t>
      </w:r>
      <w:r>
        <w:rPr>
          <w:rFonts w:ascii="Avenir Next LT Pro" w:hAnsi="Avenir Next LT Pro"/>
          <w:color w:val="575F61"/>
          <w:lang w:val="en-GB"/>
        </w:rPr>
        <w:t>-</w:t>
      </w:r>
      <w:r w:rsidRPr="002F711A">
        <w:rPr>
          <w:rFonts w:ascii="Avenir Next LT Pro" w:hAnsi="Avenir Next LT Pro"/>
          <w:color w:val="575F61"/>
          <w:lang w:val="en-GB"/>
        </w:rPr>
        <w:t>income households struggl</w:t>
      </w:r>
      <w:r>
        <w:rPr>
          <w:rFonts w:ascii="Avenir Next LT Pro" w:hAnsi="Avenir Next LT Pro"/>
          <w:color w:val="575F61"/>
          <w:lang w:val="en-GB"/>
        </w:rPr>
        <w:t>ing</w:t>
      </w:r>
      <w:r w:rsidRPr="002F711A">
        <w:rPr>
          <w:rFonts w:ascii="Avenir Next LT Pro" w:hAnsi="Avenir Next LT Pro"/>
          <w:color w:val="575F61"/>
          <w:lang w:val="en-GB"/>
        </w:rPr>
        <w:t xml:space="preserve"> to make ends meet</w:t>
      </w:r>
      <w:r>
        <w:rPr>
          <w:rFonts w:ascii="Avenir Next LT Pro" w:hAnsi="Avenir Next LT Pro"/>
          <w:color w:val="575F61"/>
          <w:lang w:val="en-GB"/>
        </w:rPr>
        <w:t>. Simultaneously,</w:t>
      </w:r>
      <w:r w:rsidRPr="002F711A">
        <w:rPr>
          <w:rFonts w:ascii="Avenir Next LT Pro" w:hAnsi="Avenir Next LT Pro"/>
          <w:color w:val="575F61"/>
          <w:lang w:val="en-GB"/>
        </w:rPr>
        <w:t xml:space="preserve"> already vulnerable cohorts</w:t>
      </w:r>
      <w:r>
        <w:rPr>
          <w:rFonts w:ascii="Avenir Next LT Pro" w:hAnsi="Avenir Next LT Pro"/>
          <w:color w:val="575F61"/>
          <w:lang w:val="en-GB"/>
        </w:rPr>
        <w:t xml:space="preserve"> are</w:t>
      </w:r>
      <w:r w:rsidRPr="002F711A">
        <w:rPr>
          <w:rFonts w:ascii="Avenir Next LT Pro" w:hAnsi="Avenir Next LT Pro"/>
          <w:color w:val="575F61"/>
          <w:lang w:val="en-GB"/>
        </w:rPr>
        <w:t xml:space="preserve"> </w:t>
      </w:r>
      <w:r>
        <w:rPr>
          <w:rFonts w:ascii="Avenir Next LT Pro" w:hAnsi="Avenir Next LT Pro"/>
          <w:color w:val="575F61"/>
          <w:lang w:val="en-GB"/>
        </w:rPr>
        <w:t>experiencing deeper disadvantage</w:t>
      </w:r>
      <w:r w:rsidRPr="002F711A">
        <w:rPr>
          <w:rFonts w:ascii="Avenir Next LT Pro" w:hAnsi="Avenir Next LT Pro"/>
          <w:color w:val="575F61"/>
          <w:lang w:val="en-GB"/>
        </w:rPr>
        <w:t xml:space="preserve">. Families are working under extreme pressure to provide the essentials their children need to grow up healthy and well </w:t>
      </w:r>
      <w:r>
        <w:rPr>
          <w:rFonts w:ascii="Avenir Next LT Pro" w:hAnsi="Avenir Next LT Pro"/>
          <w:color w:val="575F61"/>
          <w:lang w:val="en-GB"/>
        </w:rPr>
        <w:t>as their incomes fail to keep up with the costs of necessities</w:t>
      </w:r>
      <w:r w:rsidRPr="002F711A">
        <w:rPr>
          <w:rFonts w:ascii="Avenir Next LT Pro" w:hAnsi="Avenir Next LT Pro"/>
          <w:color w:val="575F61"/>
          <w:lang w:val="en-GB"/>
        </w:rPr>
        <w:t>. This has a toll on parents, caregivers and children</w:t>
      </w:r>
      <w:r>
        <w:rPr>
          <w:rFonts w:ascii="Avenir Next LT Pro" w:hAnsi="Avenir Next LT Pro"/>
          <w:color w:val="575F61"/>
          <w:lang w:val="en-GB"/>
        </w:rPr>
        <w:t>.</w:t>
      </w:r>
    </w:p>
    <w:p w14:paraId="2F8567D4" w14:textId="77777777" w:rsidR="008E5242" w:rsidRDefault="008E5242" w:rsidP="001952AB">
      <w:pPr>
        <w:rPr>
          <w:rFonts w:ascii="Avenir Next LT Pro" w:hAnsi="Avenir Next LT Pro"/>
          <w:color w:val="575F61"/>
          <w:lang w:val="en-GB"/>
        </w:rPr>
      </w:pPr>
      <w:r>
        <w:rPr>
          <w:rFonts w:ascii="Avenir Next LT Pro" w:hAnsi="Avenir Next LT Pro"/>
          <w:color w:val="575F61"/>
          <w:lang w:val="en-GB"/>
        </w:rPr>
        <w:t xml:space="preserve">A range of actions are needed to minimise the long-term impacts of financial hardship on Tasmanian children and to ensure they can grow up healthy and well. </w:t>
      </w:r>
    </w:p>
    <w:p w14:paraId="3EB016BF" w14:textId="77777777" w:rsidR="007E6107" w:rsidRDefault="007E6107" w:rsidP="007E6107">
      <w:pPr>
        <w:rPr>
          <w:rFonts w:ascii="Avenir Next LT Pro" w:hAnsi="Avenir Next LT Pro"/>
          <w:b/>
          <w:color w:val="575F61"/>
          <w:lang w:val="en-GB"/>
        </w:rPr>
      </w:pPr>
      <w:bookmarkStart w:id="40" w:name="_Hlk179469131"/>
      <w:r w:rsidRPr="00165CCB">
        <w:rPr>
          <w:rFonts w:ascii="Avenir Next LT Pro" w:hAnsi="Avenir Next LT Pro"/>
          <w:b/>
          <w:color w:val="575F61"/>
          <w:lang w:val="en-GB"/>
        </w:rPr>
        <w:t>Anglicare Tasmania recommends that:</w:t>
      </w:r>
    </w:p>
    <w:p w14:paraId="04656A0B" w14:textId="77777777" w:rsidR="007E6107" w:rsidRDefault="007E6107" w:rsidP="007E6107">
      <w:pPr>
        <w:rPr>
          <w:rFonts w:ascii="Avenir Next LT Pro" w:hAnsi="Avenir Next LT Pro"/>
          <w:i/>
          <w:lang w:val="en-GB"/>
        </w:rPr>
      </w:pPr>
      <w:r w:rsidRPr="007E6107">
        <w:rPr>
          <w:rFonts w:ascii="Avenir Next LT Pro" w:hAnsi="Avenir Next LT Pro"/>
          <w:i/>
          <w:lang w:val="en-GB"/>
        </w:rPr>
        <w:t>To ensure all families receive enough income to cover the basic cost of living</w:t>
      </w:r>
    </w:p>
    <w:p w14:paraId="41A1D481" w14:textId="77777777" w:rsidR="007E6107" w:rsidRPr="007E6107" w:rsidRDefault="007E6107" w:rsidP="007E6107">
      <w:pPr>
        <w:pStyle w:val="ListParagraph"/>
        <w:numPr>
          <w:ilvl w:val="0"/>
          <w:numId w:val="16"/>
        </w:numPr>
        <w:rPr>
          <w:color w:val="575F61"/>
        </w:rPr>
      </w:pPr>
      <w:r w:rsidRPr="007E6107">
        <w:rPr>
          <w:color w:val="575F61"/>
        </w:rPr>
        <w:t>The Australian Government raises the rate of social support payments above the Henderson Poverty Line, and establishes an independent Income Support Payment Commission to set and maintain payment rates.</w:t>
      </w:r>
    </w:p>
    <w:p w14:paraId="78622EA7" w14:textId="77777777" w:rsidR="007E6107" w:rsidRPr="007E6107" w:rsidRDefault="007E6107" w:rsidP="007E6107">
      <w:pPr>
        <w:pStyle w:val="ListParagraph"/>
        <w:numPr>
          <w:ilvl w:val="0"/>
          <w:numId w:val="16"/>
        </w:numPr>
        <w:rPr>
          <w:color w:val="575F61"/>
        </w:rPr>
      </w:pPr>
      <w:r w:rsidRPr="007E6107">
        <w:rPr>
          <w:color w:val="575F61"/>
        </w:rPr>
        <w:t>The Australian Government, in partnership with the Child Support Expert Panel, undertakes a review and reform of the child support system in Australia with a focus on embedding dedicated domestic and family violence protections.</w:t>
      </w:r>
    </w:p>
    <w:p w14:paraId="69A4BC0B" w14:textId="77777777" w:rsidR="007E6107" w:rsidRDefault="007E6107" w:rsidP="007E6107">
      <w:pPr>
        <w:rPr>
          <w:rFonts w:ascii="Avenir Next LT Pro" w:hAnsi="Avenir Next LT Pro"/>
          <w:i/>
          <w:lang w:val="en-GB"/>
        </w:rPr>
      </w:pPr>
      <w:r w:rsidRPr="007E6107">
        <w:rPr>
          <w:rFonts w:ascii="Avenir Next LT Pro" w:hAnsi="Avenir Next LT Pro"/>
          <w:i/>
          <w:lang w:val="en-GB"/>
        </w:rPr>
        <w:t>To ensure all families have suitable and secure housing</w:t>
      </w:r>
    </w:p>
    <w:p w14:paraId="6FCEEA1B" w14:textId="77777777" w:rsidR="007E6107" w:rsidRPr="007E6107" w:rsidRDefault="007E6107" w:rsidP="007E6107">
      <w:pPr>
        <w:pStyle w:val="ListParagraph"/>
        <w:numPr>
          <w:ilvl w:val="0"/>
          <w:numId w:val="16"/>
        </w:numPr>
        <w:rPr>
          <w:color w:val="575F61"/>
        </w:rPr>
      </w:pPr>
      <w:r w:rsidRPr="007E6107">
        <w:rPr>
          <w:color w:val="575F61"/>
        </w:rPr>
        <w:t>The Tasmanian Government increases the supply of social and affordable housing for Tasmanian families to fully meet demand based on current and projected need, including the needs of families escaping domestic and family violence.</w:t>
      </w:r>
    </w:p>
    <w:p w14:paraId="6FF7EE2A" w14:textId="77777777" w:rsidR="007E6107" w:rsidRPr="007E6107" w:rsidRDefault="007E6107" w:rsidP="007E6107">
      <w:pPr>
        <w:pStyle w:val="ListParagraph"/>
        <w:numPr>
          <w:ilvl w:val="0"/>
          <w:numId w:val="16"/>
        </w:numPr>
        <w:rPr>
          <w:color w:val="575F61"/>
        </w:rPr>
      </w:pPr>
      <w:r w:rsidRPr="007E6107">
        <w:rPr>
          <w:color w:val="575F61"/>
        </w:rPr>
        <w:t>The Tasmanian Government amends the Residential Tenancy Act to provide for minor modifications, rent stability and greater security of tenure, including amendments to ban no-cause evictions and limit the frequency and amount by which rents can be increased.</w:t>
      </w:r>
    </w:p>
    <w:p w14:paraId="1578B1E1" w14:textId="77777777" w:rsidR="007E6107" w:rsidRPr="007E6107" w:rsidRDefault="007E6107" w:rsidP="007E6107">
      <w:pPr>
        <w:pStyle w:val="ListParagraph"/>
        <w:numPr>
          <w:ilvl w:val="0"/>
          <w:numId w:val="16"/>
        </w:numPr>
        <w:rPr>
          <w:color w:val="575F61"/>
        </w:rPr>
      </w:pPr>
      <w:r w:rsidRPr="007E6107">
        <w:rPr>
          <w:color w:val="575F61"/>
        </w:rPr>
        <w:t>The Australian Government works with the Australian Banking Association to offer expanded hardship options for families experiencing mortgage stress.</w:t>
      </w:r>
    </w:p>
    <w:p w14:paraId="524CB883" w14:textId="77777777" w:rsidR="007E6107" w:rsidRPr="007E6107" w:rsidRDefault="007E6107" w:rsidP="007E6107">
      <w:pPr>
        <w:pStyle w:val="ListParagraph"/>
        <w:numPr>
          <w:ilvl w:val="0"/>
          <w:numId w:val="16"/>
        </w:numPr>
        <w:rPr>
          <w:color w:val="575F61"/>
        </w:rPr>
      </w:pPr>
      <w:r w:rsidRPr="007E6107">
        <w:rPr>
          <w:color w:val="575F61"/>
        </w:rPr>
        <w:t>The Australian Government reviews the Rental Assistance Scheme in association with other income support payments, to ensure that households on low incomes pay no more than 30% of their household income on rent.</w:t>
      </w:r>
    </w:p>
    <w:p w14:paraId="644F6722" w14:textId="77777777" w:rsidR="007E6107" w:rsidRDefault="007E6107" w:rsidP="007E6107">
      <w:pPr>
        <w:rPr>
          <w:rFonts w:ascii="Avenir Next LT Pro" w:hAnsi="Avenir Next LT Pro"/>
          <w:i/>
          <w:lang w:val="en-GB"/>
        </w:rPr>
      </w:pPr>
      <w:r w:rsidRPr="007E6107">
        <w:rPr>
          <w:rFonts w:ascii="Avenir Next LT Pro" w:hAnsi="Avenir Next LT Pro"/>
          <w:i/>
          <w:lang w:val="en-GB"/>
        </w:rPr>
        <w:t>To ensure access to affordable and nutritious food</w:t>
      </w:r>
    </w:p>
    <w:p w14:paraId="5534729E" w14:textId="77777777" w:rsidR="007E6107" w:rsidRPr="007E6107" w:rsidRDefault="007E6107" w:rsidP="007E6107">
      <w:pPr>
        <w:pStyle w:val="ListParagraph"/>
        <w:numPr>
          <w:ilvl w:val="0"/>
          <w:numId w:val="16"/>
        </w:numPr>
        <w:rPr>
          <w:color w:val="575F61"/>
        </w:rPr>
      </w:pPr>
      <w:r w:rsidRPr="007E6107">
        <w:rPr>
          <w:color w:val="575F61"/>
        </w:rPr>
        <w:t>The Australian Government continues to strengthen regulations of the grocery sector to ensure fair prices for consumers, and takes targeted steps to ensure an affordable supply of fresh produce.</w:t>
      </w:r>
    </w:p>
    <w:p w14:paraId="581E0D7C" w14:textId="77777777" w:rsidR="007E6107" w:rsidRPr="007E6107" w:rsidRDefault="007E6107" w:rsidP="007E6107">
      <w:pPr>
        <w:pStyle w:val="ListParagraph"/>
        <w:numPr>
          <w:ilvl w:val="0"/>
          <w:numId w:val="16"/>
        </w:numPr>
      </w:pPr>
      <w:r w:rsidRPr="007E6107">
        <w:rPr>
          <w:color w:val="575F61"/>
        </w:rPr>
        <w:t xml:space="preserve">The Tasmanian Government delivers on the commitment to evaluate the </w:t>
      </w:r>
      <w:r w:rsidRPr="007E6107">
        <w:rPr>
          <w:i/>
          <w:color w:val="575F61"/>
        </w:rPr>
        <w:t xml:space="preserve">Food relief to food resilience: Action Plan 2023-25. </w:t>
      </w:r>
      <w:r w:rsidRPr="007E6107">
        <w:rPr>
          <w:color w:val="575F61"/>
        </w:rPr>
        <w:t xml:space="preserve">The evaluation should focus on understanding how successfully the plan has moved Tasmanian communities from </w:t>
      </w:r>
      <w:r w:rsidRPr="007E6107">
        <w:rPr>
          <w:color w:val="575F61"/>
        </w:rPr>
        <w:lastRenderedPageBreak/>
        <w:t>emergency food relief towards a food resilient system. The learnings from the evaluation should be incorporated into the 2025 whole-of-government food resilience strategy.</w:t>
      </w:r>
    </w:p>
    <w:p w14:paraId="13F83214" w14:textId="77777777" w:rsidR="007E6107" w:rsidRPr="007E6107" w:rsidRDefault="007E6107" w:rsidP="007E6107">
      <w:pPr>
        <w:pStyle w:val="ListParagraph"/>
        <w:numPr>
          <w:ilvl w:val="0"/>
          <w:numId w:val="16"/>
        </w:numPr>
        <w:rPr>
          <w:color w:val="575F61"/>
        </w:rPr>
      </w:pPr>
      <w:r w:rsidRPr="007E6107">
        <w:rPr>
          <w:color w:val="575F61"/>
        </w:rPr>
        <w:t>The Tasmanian Government develops a safe credit product incorporating fintech to provide a convenient, cost-neutral alternative to Buy Now Pay Later that can be used for essentials such as groceries and fuel. This could be through the existing No Interest Loan Scheme (NILS) or a similar product.</w:t>
      </w:r>
    </w:p>
    <w:p w14:paraId="33A5EF8D" w14:textId="77777777" w:rsidR="007E6107" w:rsidRPr="007E6107" w:rsidRDefault="007E6107" w:rsidP="007E6107">
      <w:pPr>
        <w:pStyle w:val="ListParagraph"/>
        <w:numPr>
          <w:ilvl w:val="0"/>
          <w:numId w:val="16"/>
        </w:numPr>
        <w:rPr>
          <w:color w:val="575F61"/>
        </w:rPr>
      </w:pPr>
      <w:r w:rsidRPr="007E6107">
        <w:rPr>
          <w:color w:val="575F61"/>
        </w:rPr>
        <w:t>The Australian Government undertakes a six-month review of Buy Now Pay Later regulations, including considering a ban on in-store advertisement for retailers of essential items, including petrol stations and grocery stores.</w:t>
      </w:r>
    </w:p>
    <w:p w14:paraId="7FE3B63B" w14:textId="77777777" w:rsidR="007E6107" w:rsidRDefault="007E6107" w:rsidP="007E6107">
      <w:pPr>
        <w:rPr>
          <w:rFonts w:ascii="Avenir Next LT Pro" w:hAnsi="Avenir Next LT Pro"/>
          <w:i/>
          <w:lang w:val="en-GB"/>
        </w:rPr>
      </w:pPr>
      <w:r w:rsidRPr="007E6107">
        <w:rPr>
          <w:rFonts w:ascii="Avenir Next LT Pro" w:hAnsi="Avenir Next LT Pro"/>
          <w:i/>
          <w:lang w:val="en-GB"/>
        </w:rPr>
        <w:t>To provide access to affordable and timely medical care for families</w:t>
      </w:r>
    </w:p>
    <w:p w14:paraId="5DD2F69C" w14:textId="77777777" w:rsidR="007E6107" w:rsidRPr="007E6107" w:rsidRDefault="007E6107" w:rsidP="007E6107">
      <w:pPr>
        <w:pStyle w:val="ListParagraph"/>
        <w:numPr>
          <w:ilvl w:val="0"/>
          <w:numId w:val="16"/>
        </w:numPr>
        <w:rPr>
          <w:color w:val="575F61"/>
        </w:rPr>
      </w:pPr>
      <w:r w:rsidRPr="007E6107">
        <w:rPr>
          <w:color w:val="575F61"/>
        </w:rPr>
        <w:t xml:space="preserve">The Australian Government reviews and reforms Medicare, with the aim of </w:t>
      </w:r>
    </w:p>
    <w:p w14:paraId="014B9E36" w14:textId="77777777" w:rsidR="007E6107" w:rsidRDefault="007E6107" w:rsidP="007E6107">
      <w:pPr>
        <w:pStyle w:val="ListParagraph"/>
        <w:numPr>
          <w:ilvl w:val="0"/>
          <w:numId w:val="15"/>
        </w:numPr>
      </w:pPr>
      <w:r>
        <w:t xml:space="preserve">aligning the indexation of the </w:t>
      </w:r>
      <w:r w:rsidRPr="00587767">
        <w:t>Medicare</w:t>
      </w:r>
      <w:r>
        <w:t xml:space="preserve"> rebate to the operational cost of providing medical care to reduce out-of-pocket costs paid by patients</w:t>
      </w:r>
    </w:p>
    <w:p w14:paraId="4D01216F" w14:textId="77777777" w:rsidR="007E6107" w:rsidRDefault="007E6107" w:rsidP="007E6107">
      <w:pPr>
        <w:pStyle w:val="ListParagraph"/>
        <w:numPr>
          <w:ilvl w:val="0"/>
          <w:numId w:val="15"/>
        </w:numPr>
      </w:pPr>
      <w:r>
        <w:t>amending the payment process for medical appointments to eliminate the need for people to cover the full fee upfront before they can claim the Medicare benefit.</w:t>
      </w:r>
    </w:p>
    <w:p w14:paraId="3F6C726C" w14:textId="77777777" w:rsidR="007E6107" w:rsidRPr="007E6107" w:rsidRDefault="007E6107" w:rsidP="007E6107">
      <w:pPr>
        <w:pStyle w:val="ListParagraph"/>
        <w:numPr>
          <w:ilvl w:val="0"/>
          <w:numId w:val="16"/>
        </w:numPr>
      </w:pPr>
      <w:r w:rsidRPr="007E6107">
        <w:rPr>
          <w:color w:val="575F61"/>
        </w:rPr>
        <w:t>The Tasmanian Government increases access to bulk-billing GP services, including expanding the Mobile GP Practice to rural and regional town centres and embedding bulk-billing incentives into the GP Partnerships Grants Program.</w:t>
      </w:r>
    </w:p>
    <w:bookmarkEnd w:id="40"/>
    <w:p w14:paraId="2EF78265" w14:textId="77777777" w:rsidR="00D34837" w:rsidRDefault="00D34837">
      <w:r>
        <w:br w:type="page"/>
      </w:r>
    </w:p>
    <w:p w14:paraId="03567A6A" w14:textId="77777777" w:rsidR="008E5242" w:rsidRDefault="008E5242" w:rsidP="001952AB">
      <w:pPr>
        <w:pStyle w:val="Heading1"/>
      </w:pPr>
      <w:r>
        <w:lastRenderedPageBreak/>
        <w:t>References</w:t>
      </w:r>
    </w:p>
    <w:p w14:paraId="27A2EF1B" w14:textId="77777777" w:rsidR="008E5242" w:rsidRDefault="008E5242" w:rsidP="001952AB"/>
    <w:p w14:paraId="30BB93EF" w14:textId="77777777" w:rsidR="008E5242" w:rsidRPr="003C23D2" w:rsidRDefault="008E5242" w:rsidP="001952AB">
      <w:pPr>
        <w:pStyle w:val="EndNoteBibliography"/>
      </w:pPr>
      <w:r w:rsidRPr="003C23D2">
        <w:t xml:space="preserve">ABA (Australian Banking Association) (2020) </w:t>
      </w:r>
      <w:r w:rsidRPr="003C23D2">
        <w:rPr>
          <w:i/>
        </w:rPr>
        <w:t>Submission 45 to Inquiry into family domestic and sexual violence</w:t>
      </w:r>
      <w:r w:rsidRPr="003C23D2">
        <w:t xml:space="preserve">, accessed October 2024, </w:t>
      </w:r>
      <w:hyperlink r:id="rId26" w:history="1">
        <w:r w:rsidRPr="000E17F9">
          <w:rPr>
            <w:rStyle w:val="Hyperlink"/>
          </w:rPr>
          <w:t>https://www.aph.gov.au/Parliamentary_Business/Committees/House/Social_Policy_and_Legal_Affairs/Familyviolence/Submissions</w:t>
        </w:r>
      </w:hyperlink>
      <w:r w:rsidRPr="003C23D2">
        <w:t>.</w:t>
      </w:r>
    </w:p>
    <w:p w14:paraId="27270959" w14:textId="77777777" w:rsidR="008E5242" w:rsidRPr="003C23D2" w:rsidRDefault="008E5242" w:rsidP="001952AB">
      <w:pPr>
        <w:pStyle w:val="EndNoteBibliography"/>
        <w:spacing w:after="0"/>
      </w:pPr>
    </w:p>
    <w:p w14:paraId="1F9E66CA" w14:textId="77777777" w:rsidR="008E5242" w:rsidRPr="003C23D2" w:rsidRDefault="008E5242" w:rsidP="001952AB">
      <w:pPr>
        <w:pStyle w:val="EndNoteBibliography"/>
      </w:pPr>
      <w:r w:rsidRPr="003C23D2">
        <w:t xml:space="preserve">ABS (Australian Bureau of Statistics) (2017) </w:t>
      </w:r>
      <w:r w:rsidRPr="003C23D2">
        <w:rPr>
          <w:i/>
        </w:rPr>
        <w:t>Household Expenditure Survey, Australia</w:t>
      </w:r>
      <w:r w:rsidRPr="003C23D2">
        <w:t xml:space="preserve">, accessed October 2024, </w:t>
      </w:r>
      <w:hyperlink r:id="rId27" w:history="1">
        <w:r w:rsidRPr="000E17F9">
          <w:rPr>
            <w:rStyle w:val="Hyperlink"/>
          </w:rPr>
          <w:t>https://www.abs.gov.au/statistics/economy/finance/household-expenditure-survey-australia-summary-results/latest-release</w:t>
        </w:r>
      </w:hyperlink>
      <w:r w:rsidRPr="003C23D2">
        <w:t>.</w:t>
      </w:r>
    </w:p>
    <w:p w14:paraId="1ADA037D" w14:textId="77777777" w:rsidR="008E5242" w:rsidRPr="003C23D2" w:rsidRDefault="008E5242" w:rsidP="001952AB">
      <w:pPr>
        <w:pStyle w:val="EndNoteBibliography"/>
        <w:spacing w:after="0"/>
      </w:pPr>
    </w:p>
    <w:p w14:paraId="38C49D6A" w14:textId="77777777" w:rsidR="008E5242" w:rsidRPr="003C23D2" w:rsidRDefault="008E5242" w:rsidP="001952AB">
      <w:pPr>
        <w:pStyle w:val="EndNoteBibliography"/>
      </w:pPr>
      <w:r w:rsidRPr="003C23D2">
        <w:t xml:space="preserve">--- (2021a) </w:t>
      </w:r>
      <w:r w:rsidRPr="003C23D2">
        <w:rPr>
          <w:i/>
        </w:rPr>
        <w:t>Residential property price indexes: Eight capital cities</w:t>
      </w:r>
      <w:r w:rsidRPr="003C23D2">
        <w:t xml:space="preserve">, accessed October 2024, </w:t>
      </w:r>
      <w:hyperlink r:id="rId28" w:history="1">
        <w:r w:rsidRPr="000E17F9">
          <w:rPr>
            <w:rStyle w:val="Hyperlink"/>
          </w:rPr>
          <w:t>https://www.abs.gov.au/statistics/economy/price-indexes-and-inflation/residential-property-price-indexes-eight-capital-cities/latest-release</w:t>
        </w:r>
      </w:hyperlink>
      <w:r>
        <w:rPr>
          <w:rFonts w:ascii="AvenirNext LT Pro Regular" w:hAnsi="AvenirNext LT Pro Regular"/>
        </w:rPr>
        <w:t>.</w:t>
      </w:r>
    </w:p>
    <w:p w14:paraId="69D7BE87" w14:textId="77777777" w:rsidR="008E5242" w:rsidRPr="003C23D2" w:rsidRDefault="008E5242" w:rsidP="001952AB">
      <w:pPr>
        <w:pStyle w:val="EndNoteBibliography"/>
        <w:spacing w:after="0"/>
      </w:pPr>
    </w:p>
    <w:p w14:paraId="14B524C7" w14:textId="77777777" w:rsidR="008E5242" w:rsidRPr="003C23D2" w:rsidRDefault="008E5242" w:rsidP="001952AB">
      <w:pPr>
        <w:pStyle w:val="EndNoteBibliography"/>
      </w:pPr>
      <w:r w:rsidRPr="003C23D2">
        <w:t xml:space="preserve">--- (2021b) </w:t>
      </w:r>
      <w:r w:rsidRPr="003C23D2">
        <w:rPr>
          <w:i/>
        </w:rPr>
        <w:t>Search Census Data</w:t>
      </w:r>
      <w:r w:rsidRPr="003C23D2">
        <w:t xml:space="preserve">, accessed September 2024, </w:t>
      </w:r>
      <w:hyperlink r:id="rId29" w:history="1">
        <w:r w:rsidRPr="000E17F9">
          <w:rPr>
            <w:rStyle w:val="Hyperlink"/>
          </w:rPr>
          <w:t>https://www.abs.gov.au/census/find-census-data/search-by-area</w:t>
        </w:r>
      </w:hyperlink>
      <w:r w:rsidRPr="003C23D2">
        <w:t>.</w:t>
      </w:r>
    </w:p>
    <w:p w14:paraId="045090B5" w14:textId="77777777" w:rsidR="008E5242" w:rsidRPr="003C23D2" w:rsidRDefault="008E5242" w:rsidP="001952AB">
      <w:pPr>
        <w:pStyle w:val="EndNoteBibliography"/>
        <w:spacing w:after="0"/>
      </w:pPr>
    </w:p>
    <w:p w14:paraId="21CC1BE4" w14:textId="77777777" w:rsidR="008E5242" w:rsidRPr="003C23D2" w:rsidRDefault="008E5242" w:rsidP="001952AB">
      <w:pPr>
        <w:pStyle w:val="EndNoteBibliography"/>
      </w:pPr>
      <w:r w:rsidRPr="003C23D2">
        <w:t xml:space="preserve">--- (2024a) </w:t>
      </w:r>
      <w:r w:rsidRPr="003C23D2">
        <w:rPr>
          <w:i/>
        </w:rPr>
        <w:t>Average Weekly Earnings, Australia</w:t>
      </w:r>
      <w:r w:rsidRPr="003C23D2">
        <w:t xml:space="preserve">, accessed September 2024, </w:t>
      </w:r>
      <w:hyperlink r:id="rId30" w:history="1">
        <w:r w:rsidRPr="000E17F9">
          <w:rPr>
            <w:rStyle w:val="Hyperlink"/>
          </w:rPr>
          <w:t>https://www.abs.gov.au/statistics/labour/earnings-and-working-conditions/average-weekly-earnings-australia/latest-release</w:t>
        </w:r>
      </w:hyperlink>
      <w:r w:rsidRPr="003C23D2">
        <w:t>.</w:t>
      </w:r>
    </w:p>
    <w:p w14:paraId="2E56ACC8" w14:textId="77777777" w:rsidR="008E5242" w:rsidRPr="003C23D2" w:rsidRDefault="008E5242" w:rsidP="001952AB">
      <w:pPr>
        <w:pStyle w:val="EndNoteBibliography"/>
        <w:spacing w:after="0"/>
      </w:pPr>
    </w:p>
    <w:p w14:paraId="4E2F3BEA" w14:textId="2A7857A3" w:rsidR="008E5242" w:rsidRPr="003C23D2" w:rsidRDefault="008E5242" w:rsidP="001952AB">
      <w:pPr>
        <w:pStyle w:val="EndNoteBibliography"/>
      </w:pPr>
      <w:r w:rsidRPr="003C23D2">
        <w:t xml:space="preserve">--- (28 August 2024b) 'Monthly CPI indicator rose 3.5% in the year to July 2024' [media release], ABS, accessed October 2024, </w:t>
      </w:r>
      <w:hyperlink r:id="rId31" w:history="1">
        <w:r w:rsidR="00A60E5A" w:rsidRPr="000E17F9">
          <w:rPr>
            <w:rStyle w:val="Hyperlink"/>
          </w:rPr>
          <w:t>https://www.abs.gov.au/media-centre/media-releases/monthly-cpi-indicator-rose-35-year-july-2024</w:t>
        </w:r>
      </w:hyperlink>
      <w:r w:rsidRPr="003C23D2">
        <w:t>.</w:t>
      </w:r>
    </w:p>
    <w:p w14:paraId="051A4FE3" w14:textId="77777777" w:rsidR="008E5242" w:rsidRPr="003C23D2" w:rsidRDefault="008E5242" w:rsidP="001952AB">
      <w:pPr>
        <w:pStyle w:val="EndNoteBibliography"/>
        <w:spacing w:after="0"/>
      </w:pPr>
    </w:p>
    <w:p w14:paraId="5D775CB4" w14:textId="47F428C1" w:rsidR="008E5242" w:rsidRPr="003C23D2" w:rsidRDefault="008E5242" w:rsidP="001952AB">
      <w:pPr>
        <w:pStyle w:val="EndNoteBibliography"/>
      </w:pPr>
      <w:r w:rsidRPr="003C23D2">
        <w:t xml:space="preserve">--- (Jun-quarter-2024) </w:t>
      </w:r>
      <w:r w:rsidRPr="003C23D2">
        <w:rPr>
          <w:i/>
        </w:rPr>
        <w:t>Consumer Price Index, Australia</w:t>
      </w:r>
      <w:r w:rsidRPr="003C23D2">
        <w:t xml:space="preserve">, accessed October 2024, </w:t>
      </w:r>
      <w:hyperlink r:id="rId32" w:history="1">
        <w:r w:rsidR="00A60E5A" w:rsidRPr="000E17F9">
          <w:rPr>
            <w:rStyle w:val="Hyperlink"/>
          </w:rPr>
          <w:t>https://www.abs.gov.au/statistics/economy/price-indexes-and-inflation/consumer-price-index-australia/latest-release</w:t>
        </w:r>
      </w:hyperlink>
      <w:r w:rsidRPr="003C23D2">
        <w:t>.</w:t>
      </w:r>
    </w:p>
    <w:p w14:paraId="472C49CB" w14:textId="77777777" w:rsidR="008E5242" w:rsidRPr="003C23D2" w:rsidRDefault="008E5242" w:rsidP="001952AB">
      <w:pPr>
        <w:pStyle w:val="EndNoteBibliography"/>
        <w:spacing w:after="0"/>
      </w:pPr>
    </w:p>
    <w:p w14:paraId="0917D9E0" w14:textId="307C32A4" w:rsidR="008E5242" w:rsidRPr="003C23D2" w:rsidRDefault="008E5242" w:rsidP="001952AB">
      <w:pPr>
        <w:pStyle w:val="EndNoteBibliography"/>
      </w:pPr>
      <w:r w:rsidRPr="003C23D2">
        <w:t xml:space="preserve">AFSA (Australian Financial Security Authority) (2022) </w:t>
      </w:r>
      <w:r w:rsidRPr="003C23D2">
        <w:rPr>
          <w:i/>
        </w:rPr>
        <w:t>Vulnerability framework</w:t>
      </w:r>
      <w:r w:rsidRPr="003C23D2">
        <w:t xml:space="preserve">, accessed October 2024, </w:t>
      </w:r>
      <w:hyperlink r:id="rId33" w:history="1">
        <w:r w:rsidR="00A60E5A" w:rsidRPr="000E17F9">
          <w:rPr>
            <w:rStyle w:val="Hyperlink"/>
          </w:rPr>
          <w:t>https://www.afsa.gov.au/about-us/corporate-information/key-documents/vulnerability-framework</w:t>
        </w:r>
      </w:hyperlink>
      <w:r w:rsidRPr="003C23D2">
        <w:t>.</w:t>
      </w:r>
    </w:p>
    <w:p w14:paraId="730E13C7" w14:textId="77777777" w:rsidR="008E5242" w:rsidRPr="003C23D2" w:rsidRDefault="008E5242" w:rsidP="001952AB">
      <w:pPr>
        <w:pStyle w:val="EndNoteBibliography"/>
        <w:spacing w:after="0"/>
      </w:pPr>
    </w:p>
    <w:p w14:paraId="7E19BC57" w14:textId="4EC1E61F" w:rsidR="008E5242" w:rsidRPr="003C23D2" w:rsidRDefault="008E5242" w:rsidP="001952AB">
      <w:pPr>
        <w:pStyle w:val="EndNoteBibliography"/>
      </w:pPr>
      <w:r w:rsidRPr="003C23D2">
        <w:t xml:space="preserve">AHURI (Australian Housing and Urban Research Institute) (2014) </w:t>
      </w:r>
      <w:r w:rsidRPr="003C23D2">
        <w:rPr>
          <w:i/>
        </w:rPr>
        <w:t>What impact does a child’s housing have on their development and wellbeing?</w:t>
      </w:r>
      <w:r w:rsidRPr="003C23D2">
        <w:t xml:space="preserve">, AHURI Research and Policy Bulletin, Issue 171, accessed October 2024, </w:t>
      </w:r>
      <w:hyperlink r:id="rId34" w:history="1">
        <w:r w:rsidR="00A60E5A" w:rsidRPr="000E17F9">
          <w:rPr>
            <w:rStyle w:val="Hyperlink"/>
          </w:rPr>
          <w:t>https://www.ahuri.edu.au/sites/default/files/migration/documents/AHURI_RAP_Issue_171_What-impact-does-a-childs-housing-have-on-their-development-and-wellbeing.pdf</w:t>
        </w:r>
      </w:hyperlink>
      <w:r w:rsidRPr="003C23D2">
        <w:t>.</w:t>
      </w:r>
    </w:p>
    <w:p w14:paraId="3C5B49F8" w14:textId="77777777" w:rsidR="008E5242" w:rsidRPr="003C23D2" w:rsidRDefault="008E5242" w:rsidP="001952AB">
      <w:pPr>
        <w:pStyle w:val="EndNoteBibliography"/>
        <w:spacing w:after="0"/>
      </w:pPr>
    </w:p>
    <w:p w14:paraId="15318C62" w14:textId="40C67B44" w:rsidR="008E5242" w:rsidRPr="003C23D2" w:rsidRDefault="008E5242" w:rsidP="001952AB">
      <w:pPr>
        <w:pStyle w:val="EndNoteBibliography"/>
      </w:pPr>
      <w:r w:rsidRPr="003C23D2">
        <w:t xml:space="preserve">AIHW (Australian Institute of Health and Welfare) (2021) </w:t>
      </w:r>
      <w:r w:rsidRPr="003C23D2">
        <w:rPr>
          <w:i/>
        </w:rPr>
        <w:t>Australia's youth: Homelessness and overcrowding</w:t>
      </w:r>
      <w:r w:rsidRPr="003C23D2">
        <w:t xml:space="preserve">, accessed October 2024, </w:t>
      </w:r>
      <w:hyperlink r:id="rId35" w:history="1">
        <w:r w:rsidR="00A60E5A" w:rsidRPr="000E17F9">
          <w:rPr>
            <w:rStyle w:val="Hyperlink"/>
          </w:rPr>
          <w:t>https://www.aihw.gov.au/reports/children-youth/homelessness-and-overcrowding</w:t>
        </w:r>
      </w:hyperlink>
      <w:r w:rsidRPr="003C23D2">
        <w:t>.</w:t>
      </w:r>
    </w:p>
    <w:p w14:paraId="28E3448C" w14:textId="77777777" w:rsidR="008E5242" w:rsidRPr="003C23D2" w:rsidRDefault="008E5242" w:rsidP="001952AB">
      <w:pPr>
        <w:pStyle w:val="EndNoteBibliography"/>
        <w:spacing w:after="0"/>
      </w:pPr>
    </w:p>
    <w:p w14:paraId="31C98A7F" w14:textId="37E1492B" w:rsidR="008E5242" w:rsidRPr="003C23D2" w:rsidRDefault="008E5242" w:rsidP="001952AB">
      <w:pPr>
        <w:pStyle w:val="EndNoteBibliography"/>
      </w:pPr>
      <w:r w:rsidRPr="003C23D2">
        <w:t xml:space="preserve">--- (2022a) </w:t>
      </w:r>
      <w:r w:rsidRPr="003C23D2">
        <w:rPr>
          <w:i/>
        </w:rPr>
        <w:t>Australia's children: Family economic situation</w:t>
      </w:r>
      <w:r w:rsidRPr="003C23D2">
        <w:t xml:space="preserve">, accessed October 2024, </w:t>
      </w:r>
      <w:hyperlink r:id="rId36" w:history="1">
        <w:r w:rsidR="00A60E5A" w:rsidRPr="000E17F9">
          <w:rPr>
            <w:rStyle w:val="Hyperlink"/>
          </w:rPr>
          <w:t>https://www.aihw.gov.au/reports/children-youth/australias-children/contents/income-finance-employment/family-economic-situation</w:t>
        </w:r>
      </w:hyperlink>
      <w:r w:rsidRPr="003C23D2">
        <w:t>.</w:t>
      </w:r>
    </w:p>
    <w:p w14:paraId="1BD30999" w14:textId="77777777" w:rsidR="008E5242" w:rsidRPr="003C23D2" w:rsidRDefault="008E5242" w:rsidP="001952AB">
      <w:pPr>
        <w:pStyle w:val="EndNoteBibliography"/>
        <w:spacing w:after="0"/>
      </w:pPr>
    </w:p>
    <w:p w14:paraId="0A23F5CC" w14:textId="7E1FFBA6" w:rsidR="008E5242" w:rsidRPr="003C23D2" w:rsidRDefault="008E5242" w:rsidP="001952AB">
      <w:pPr>
        <w:pStyle w:val="EndNoteBibliography"/>
      </w:pPr>
      <w:r w:rsidRPr="003C23D2">
        <w:t xml:space="preserve">--- (2022b) </w:t>
      </w:r>
      <w:r w:rsidRPr="003C23D2">
        <w:rPr>
          <w:i/>
        </w:rPr>
        <w:t>Australia's children: Housing stress</w:t>
      </w:r>
      <w:r w:rsidRPr="003C23D2">
        <w:t xml:space="preserve">, accessed October 2024, </w:t>
      </w:r>
      <w:hyperlink r:id="rId37" w:history="1">
        <w:r w:rsidR="00A60E5A" w:rsidRPr="000E17F9">
          <w:rPr>
            <w:rStyle w:val="Hyperlink"/>
          </w:rPr>
          <w:t>https://www.aihw.gov.au/reports/children-youth/australias-children/contents/housing/housing-stress</w:t>
        </w:r>
      </w:hyperlink>
      <w:r w:rsidRPr="003C23D2">
        <w:t>.</w:t>
      </w:r>
    </w:p>
    <w:p w14:paraId="209943F7" w14:textId="77777777" w:rsidR="008E5242" w:rsidRPr="003C23D2" w:rsidRDefault="008E5242" w:rsidP="001952AB">
      <w:pPr>
        <w:pStyle w:val="EndNoteBibliography"/>
        <w:spacing w:after="0"/>
      </w:pPr>
    </w:p>
    <w:p w14:paraId="32D11EB1" w14:textId="377225A5" w:rsidR="008E5242" w:rsidRPr="003C23D2" w:rsidRDefault="008E5242" w:rsidP="001952AB">
      <w:pPr>
        <w:pStyle w:val="EndNoteBibliography"/>
      </w:pPr>
      <w:r w:rsidRPr="003C23D2">
        <w:t xml:space="preserve">--- (2023) </w:t>
      </w:r>
      <w:r w:rsidRPr="003C23D2">
        <w:rPr>
          <w:i/>
        </w:rPr>
        <w:t>Housing assistance in Australia: Suitability of dwellings</w:t>
      </w:r>
      <w:r w:rsidRPr="003C23D2">
        <w:t xml:space="preserve">, accessed October 2024, </w:t>
      </w:r>
      <w:hyperlink r:id="rId38" w:history="1">
        <w:r w:rsidR="00A60E5A" w:rsidRPr="000E17F9">
          <w:rPr>
            <w:rStyle w:val="Hyperlink"/>
          </w:rPr>
          <w:t>https://www.aihw.gov.au/reports/housing-assistance/housing-assistance-in-australia-2023/contents-2023/suitability-of-dwelling-size</w:t>
        </w:r>
      </w:hyperlink>
      <w:r w:rsidRPr="003C23D2">
        <w:t>.</w:t>
      </w:r>
    </w:p>
    <w:p w14:paraId="1B933C7A" w14:textId="77777777" w:rsidR="008E5242" w:rsidRPr="003C23D2" w:rsidRDefault="008E5242" w:rsidP="001952AB">
      <w:pPr>
        <w:pStyle w:val="EndNoteBibliography"/>
        <w:spacing w:after="0"/>
      </w:pPr>
    </w:p>
    <w:p w14:paraId="7A83D56E" w14:textId="1C2B5ED3" w:rsidR="008E5242" w:rsidRPr="003C23D2" w:rsidRDefault="008E5242" w:rsidP="001952AB">
      <w:pPr>
        <w:pStyle w:val="EndNoteBibliography"/>
      </w:pPr>
      <w:r w:rsidRPr="003C23D2">
        <w:t xml:space="preserve">--- (2024) </w:t>
      </w:r>
      <w:r w:rsidRPr="003C23D2">
        <w:rPr>
          <w:i/>
        </w:rPr>
        <w:t>Specialist homelessness services 2022–23: Tasmania</w:t>
      </w:r>
      <w:r w:rsidRPr="003C23D2">
        <w:t xml:space="preserve">, accessed September 2024, </w:t>
      </w:r>
      <w:hyperlink r:id="rId39" w:history="1">
        <w:r w:rsidR="00A60E5A" w:rsidRPr="000E17F9">
          <w:rPr>
            <w:rStyle w:val="Hyperlink"/>
          </w:rPr>
          <w:t>https://www.aihw.gov.au/reports/homelessness-services/specialist-homelessness-services-annual-report/contents/state-and-territory-summary-data-and-fact-sheets</w:t>
        </w:r>
      </w:hyperlink>
      <w:r w:rsidRPr="003C23D2">
        <w:t>.</w:t>
      </w:r>
    </w:p>
    <w:p w14:paraId="2E9FD73F" w14:textId="77777777" w:rsidR="008E5242" w:rsidRPr="003C23D2" w:rsidRDefault="008E5242" w:rsidP="001952AB">
      <w:pPr>
        <w:pStyle w:val="EndNoteBibliography"/>
        <w:spacing w:after="0"/>
      </w:pPr>
    </w:p>
    <w:p w14:paraId="45115025" w14:textId="3C29E448" w:rsidR="008E5242" w:rsidRPr="003C23D2" w:rsidRDefault="008E5242" w:rsidP="001952AB">
      <w:pPr>
        <w:pStyle w:val="EndNoteBibliography"/>
      </w:pPr>
      <w:r w:rsidRPr="003C23D2">
        <w:t xml:space="preserve">AMA (Australian Medical Association) (2022) </w:t>
      </w:r>
      <w:r w:rsidRPr="003C23D2">
        <w:rPr>
          <w:i/>
        </w:rPr>
        <w:t>Why Medicare indexation matters</w:t>
      </w:r>
      <w:r w:rsidRPr="003C23D2">
        <w:t xml:space="preserve">, AMA, accessed October 2024, </w:t>
      </w:r>
      <w:hyperlink r:id="rId40" w:history="1">
        <w:r w:rsidR="00A60E5A" w:rsidRPr="000E17F9">
          <w:rPr>
            <w:rStyle w:val="Hyperlink"/>
          </w:rPr>
          <w:t>https://www.ama.com.au/articles/why-medicare-indexation-matters</w:t>
        </w:r>
      </w:hyperlink>
      <w:r w:rsidRPr="003C23D2">
        <w:t>.</w:t>
      </w:r>
    </w:p>
    <w:p w14:paraId="443C877D" w14:textId="77777777" w:rsidR="008E5242" w:rsidRPr="003C23D2" w:rsidRDefault="008E5242" w:rsidP="001952AB">
      <w:pPr>
        <w:pStyle w:val="EndNoteBibliography"/>
        <w:spacing w:after="0"/>
      </w:pPr>
    </w:p>
    <w:p w14:paraId="61269D66" w14:textId="54F46921" w:rsidR="008E5242" w:rsidRPr="003C23D2" w:rsidRDefault="008E5242" w:rsidP="001952AB">
      <w:pPr>
        <w:pStyle w:val="EndNoteBibliography"/>
      </w:pPr>
      <w:r w:rsidRPr="003C23D2">
        <w:t xml:space="preserve">--- (2023) </w:t>
      </w:r>
      <w:r w:rsidRPr="003C23D2">
        <w:rPr>
          <w:i/>
        </w:rPr>
        <w:t>Health is the best investment: Shifting from a sick care system to a healthcare system</w:t>
      </w:r>
      <w:r w:rsidRPr="003C23D2">
        <w:t xml:space="preserve">, AMA, accessed October 2024, </w:t>
      </w:r>
      <w:hyperlink r:id="rId41" w:history="1">
        <w:r w:rsidR="00A60E5A" w:rsidRPr="000E17F9">
          <w:rPr>
            <w:rStyle w:val="Hyperlink"/>
          </w:rPr>
          <w:t>https://www.ama.com.au/health-is-the-best-investment</w:t>
        </w:r>
      </w:hyperlink>
      <w:r w:rsidRPr="003C23D2">
        <w:t>.</w:t>
      </w:r>
    </w:p>
    <w:p w14:paraId="21714DD7" w14:textId="77777777" w:rsidR="008E5242" w:rsidRPr="003C23D2" w:rsidRDefault="008E5242" w:rsidP="001952AB">
      <w:pPr>
        <w:pStyle w:val="EndNoteBibliography"/>
        <w:spacing w:after="0"/>
      </w:pPr>
    </w:p>
    <w:p w14:paraId="12C3E748" w14:textId="62C801E7" w:rsidR="008E5242" w:rsidRPr="003C23D2" w:rsidRDefault="008E5242" w:rsidP="001952AB">
      <w:pPr>
        <w:pStyle w:val="EndNoteBibliography"/>
      </w:pPr>
      <w:r w:rsidRPr="003C23D2">
        <w:t xml:space="preserve">Anglicare Australia (2024) </w:t>
      </w:r>
      <w:r w:rsidRPr="003C23D2">
        <w:rPr>
          <w:i/>
        </w:rPr>
        <w:t>Rental Affordability Snapshot: National Report</w:t>
      </w:r>
      <w:r w:rsidRPr="003C23D2">
        <w:t xml:space="preserve">, Fifteenth Edition, accessed September 2024, </w:t>
      </w:r>
      <w:hyperlink r:id="rId42" w:history="1">
        <w:r w:rsidR="00A60E5A" w:rsidRPr="000E17F9">
          <w:rPr>
            <w:rStyle w:val="Hyperlink"/>
          </w:rPr>
          <w:t>https://www.anglicare.asn.au/publications/2024-rental-affordability-snapshot</w:t>
        </w:r>
      </w:hyperlink>
      <w:r w:rsidRPr="003C23D2">
        <w:t>.</w:t>
      </w:r>
    </w:p>
    <w:p w14:paraId="008C7526" w14:textId="77777777" w:rsidR="008E5242" w:rsidRPr="003C23D2" w:rsidRDefault="008E5242" w:rsidP="001952AB">
      <w:pPr>
        <w:pStyle w:val="EndNoteBibliography"/>
        <w:spacing w:after="0"/>
      </w:pPr>
    </w:p>
    <w:p w14:paraId="2776EAEE" w14:textId="6EDC6729" w:rsidR="008E5242" w:rsidRPr="003C23D2" w:rsidRDefault="008E5242" w:rsidP="001952AB">
      <w:pPr>
        <w:pStyle w:val="EndNoteBibliography"/>
      </w:pPr>
      <w:r w:rsidRPr="003C23D2">
        <w:t xml:space="preserve">ANROWS (Australia's National Research Organisation for Women's Safety) (2020) </w:t>
      </w:r>
      <w:r w:rsidRPr="003C23D2">
        <w:rPr>
          <w:i/>
        </w:rPr>
        <w:t>Submission 132 to Inquiry into family, domestic and sexual violence</w:t>
      </w:r>
      <w:r w:rsidRPr="003C23D2">
        <w:t xml:space="preserve">, accessed October 2024, </w:t>
      </w:r>
      <w:hyperlink r:id="rId43" w:history="1">
        <w:r w:rsidR="00A60E5A" w:rsidRPr="000E17F9">
          <w:rPr>
            <w:rStyle w:val="Hyperlink"/>
          </w:rPr>
          <w:t>https://www.aph.gov.au/Parliamentary_Business/Committees/House/Social_Policy_and_Legal_Affairs/Familyviolence/Submissions</w:t>
        </w:r>
      </w:hyperlink>
      <w:r w:rsidRPr="003C23D2">
        <w:t>.</w:t>
      </w:r>
    </w:p>
    <w:p w14:paraId="181F61D0" w14:textId="77777777" w:rsidR="008E5242" w:rsidRPr="003C23D2" w:rsidRDefault="008E5242" w:rsidP="001952AB">
      <w:pPr>
        <w:pStyle w:val="EndNoteBibliography"/>
        <w:spacing w:after="0"/>
      </w:pPr>
    </w:p>
    <w:p w14:paraId="06F83422" w14:textId="53A771A8" w:rsidR="008E5242" w:rsidRPr="003C23D2" w:rsidRDefault="008E5242" w:rsidP="001952AB">
      <w:pPr>
        <w:pStyle w:val="EndNoteBibliography"/>
      </w:pPr>
      <w:r w:rsidRPr="003C23D2">
        <w:t xml:space="preserve">APS (Australian Psychological Society) (2024) </w:t>
      </w:r>
      <w:r w:rsidRPr="003C23D2">
        <w:rPr>
          <w:i/>
        </w:rPr>
        <w:t>APS National schedule of suggested fees 2024-2025</w:t>
      </w:r>
      <w:r w:rsidRPr="003C23D2">
        <w:t xml:space="preserve">, APS, accessed October 2024, </w:t>
      </w:r>
      <w:hyperlink r:id="rId44" w:history="1">
        <w:r w:rsidR="00A60E5A" w:rsidRPr="000E17F9">
          <w:rPr>
            <w:rStyle w:val="Hyperlink"/>
          </w:rPr>
          <w:t>https://www.oraclepsychology.com.au/uploads/4/4/8/3/44838937/24-25-aps-suggested-fee-schedule.pdf</w:t>
        </w:r>
      </w:hyperlink>
      <w:r w:rsidRPr="003C23D2">
        <w:t>.</w:t>
      </w:r>
    </w:p>
    <w:p w14:paraId="7AF4A3B9" w14:textId="77777777" w:rsidR="008E5242" w:rsidRPr="003C23D2" w:rsidRDefault="008E5242" w:rsidP="001952AB">
      <w:pPr>
        <w:pStyle w:val="EndNoteBibliography"/>
        <w:spacing w:after="0"/>
      </w:pPr>
    </w:p>
    <w:p w14:paraId="1639EE94" w14:textId="0835851F" w:rsidR="008E5242" w:rsidRPr="003C23D2" w:rsidRDefault="008E5242" w:rsidP="001952AB">
      <w:pPr>
        <w:pStyle w:val="EndNoteBibliography"/>
      </w:pPr>
      <w:r w:rsidRPr="003C23D2">
        <w:lastRenderedPageBreak/>
        <w:t xml:space="preserve">ARACY (Australian Research Alliance for Children and Youth) (2024) </w:t>
      </w:r>
      <w:r w:rsidRPr="003C23D2">
        <w:rPr>
          <w:i/>
        </w:rPr>
        <w:t>What's in The Nest?</w:t>
      </w:r>
      <w:r w:rsidRPr="003C23D2">
        <w:t xml:space="preserve">, ARACY, accessed October 2024, </w:t>
      </w:r>
      <w:hyperlink r:id="rId45" w:history="1">
        <w:r w:rsidR="00A60E5A" w:rsidRPr="000E17F9">
          <w:rPr>
            <w:rStyle w:val="Hyperlink"/>
          </w:rPr>
          <w:t>https://www.aracy.org.au/documents/item/700</w:t>
        </w:r>
      </w:hyperlink>
      <w:r w:rsidRPr="003C23D2">
        <w:t>.</w:t>
      </w:r>
    </w:p>
    <w:p w14:paraId="47825119" w14:textId="77777777" w:rsidR="008E5242" w:rsidRPr="003C23D2" w:rsidRDefault="008E5242" w:rsidP="001952AB">
      <w:pPr>
        <w:pStyle w:val="EndNoteBibliography"/>
        <w:spacing w:after="0"/>
      </w:pPr>
    </w:p>
    <w:p w14:paraId="6D6E01CC" w14:textId="699EFA21" w:rsidR="008E5242" w:rsidRPr="003C23D2" w:rsidRDefault="008E5242" w:rsidP="001952AB">
      <w:pPr>
        <w:pStyle w:val="EndNoteBibliography"/>
      </w:pPr>
      <w:r w:rsidRPr="003C23D2">
        <w:t xml:space="preserve">Black N, Harris A, Jayawardana D and Johnston D (2024) </w:t>
      </w:r>
      <w:r w:rsidRPr="003C23D2">
        <w:rPr>
          <w:i/>
        </w:rPr>
        <w:t>High inflation and implications for health: A framework to examine the potential pathways through which high inflation may impact on health</w:t>
      </w:r>
      <w:r w:rsidRPr="003C23D2">
        <w:t xml:space="preserve">, VicHealth, accessed October 2024, </w:t>
      </w:r>
      <w:hyperlink r:id="rId46" w:history="1">
        <w:r w:rsidR="00A60E5A" w:rsidRPr="000E17F9">
          <w:rPr>
            <w:rStyle w:val="Hyperlink"/>
          </w:rPr>
          <w:t>https://www.vichealth.vic.gov.au/resources/resource-download/high-inflation-and-implications-for-health</w:t>
        </w:r>
      </w:hyperlink>
      <w:r w:rsidRPr="003C23D2">
        <w:t>.</w:t>
      </w:r>
    </w:p>
    <w:p w14:paraId="3047E785" w14:textId="77777777" w:rsidR="008E5242" w:rsidRPr="003C23D2" w:rsidRDefault="008E5242" w:rsidP="001952AB">
      <w:pPr>
        <w:pStyle w:val="EndNoteBibliography"/>
        <w:spacing w:after="0"/>
      </w:pPr>
    </w:p>
    <w:p w14:paraId="5189AF42" w14:textId="7DE653F3" w:rsidR="008E5242" w:rsidRPr="003C23D2" w:rsidRDefault="008E5242" w:rsidP="001952AB">
      <w:pPr>
        <w:pStyle w:val="EndNoteBibliography"/>
      </w:pPr>
      <w:r w:rsidRPr="003C23D2">
        <w:t xml:space="preserve">Budinski M and Gahan L (2023) </w:t>
      </w:r>
      <w:r w:rsidRPr="003C23D2">
        <w:rPr>
          <w:i/>
        </w:rPr>
        <w:t>What is family: Australian views on what makes a family</w:t>
      </w:r>
      <w:r w:rsidRPr="003C23D2">
        <w:t xml:space="preserve">, Australian Institute of Family Studies, Melbourne, accessed October 2024, </w:t>
      </w:r>
      <w:hyperlink r:id="rId47" w:history="1">
        <w:r w:rsidR="00A60E5A" w:rsidRPr="000E17F9">
          <w:rPr>
            <w:rStyle w:val="Hyperlink"/>
          </w:rPr>
          <w:t>https://aifs.gov.au/research/research-reports/what-is-family</w:t>
        </w:r>
      </w:hyperlink>
      <w:r w:rsidRPr="003C23D2">
        <w:t>.</w:t>
      </w:r>
    </w:p>
    <w:p w14:paraId="2A155DEE" w14:textId="77777777" w:rsidR="008E5242" w:rsidRPr="003C23D2" w:rsidRDefault="008E5242" w:rsidP="001952AB">
      <w:pPr>
        <w:pStyle w:val="EndNoteBibliography"/>
        <w:spacing w:after="0"/>
      </w:pPr>
    </w:p>
    <w:p w14:paraId="10C13CF8" w14:textId="58720FED" w:rsidR="008E5242" w:rsidRPr="003C23D2" w:rsidRDefault="008E5242" w:rsidP="001952AB">
      <w:pPr>
        <w:pStyle w:val="EndNoteBibliography"/>
      </w:pPr>
      <w:r w:rsidRPr="003C23D2">
        <w:t xml:space="preserve">CCYP (Commissioner for Children and Young People Tasmania (2024) </w:t>
      </w:r>
      <w:r w:rsidRPr="003C23D2">
        <w:rPr>
          <w:i/>
        </w:rPr>
        <w:t>Nowhere else to go: Young people's views on homelessness</w:t>
      </w:r>
      <w:r w:rsidRPr="003C23D2">
        <w:t xml:space="preserve">, Voices of young people in the youth justice system project, State of Tasmania, accessed October 2024, </w:t>
      </w:r>
      <w:hyperlink r:id="rId48" w:history="1">
        <w:r w:rsidR="00A60E5A" w:rsidRPr="000E17F9">
          <w:rPr>
            <w:rStyle w:val="Hyperlink"/>
          </w:rPr>
          <w:t>https://childcomm.tas.gov.au/resource/nowhere-else-to-go-young-peoples-views-on-homelessness</w:t>
        </w:r>
      </w:hyperlink>
      <w:r w:rsidRPr="003C23D2">
        <w:t>.</w:t>
      </w:r>
    </w:p>
    <w:p w14:paraId="604CB0D6" w14:textId="77777777" w:rsidR="008E5242" w:rsidRPr="003C23D2" w:rsidRDefault="008E5242" w:rsidP="001952AB">
      <w:pPr>
        <w:pStyle w:val="EndNoteBibliography"/>
        <w:spacing w:after="0"/>
      </w:pPr>
    </w:p>
    <w:p w14:paraId="7928EB2A" w14:textId="78097C6B" w:rsidR="008E5242" w:rsidRPr="003C23D2" w:rsidRDefault="008E5242" w:rsidP="001952AB">
      <w:pPr>
        <w:pStyle w:val="EndNoteBibliography"/>
      </w:pPr>
      <w:r w:rsidRPr="003C23D2">
        <w:t xml:space="preserve">Coley RL, Lynch AB and Kull M (2015) 'Early exposure to environmental chaos and children's physical and mental health', </w:t>
      </w:r>
      <w:r w:rsidRPr="003C23D2">
        <w:rPr>
          <w:i/>
        </w:rPr>
        <w:t>Early Childhood Research Quarterly</w:t>
      </w:r>
      <w:r w:rsidRPr="003C23D2">
        <w:t>, 3rd quarter(32):94-104, doi: 10.1016/j.ecresq.2015.03.001.</w:t>
      </w:r>
    </w:p>
    <w:p w14:paraId="31D299E7" w14:textId="77777777" w:rsidR="008E5242" w:rsidRPr="003C23D2" w:rsidRDefault="008E5242" w:rsidP="001952AB">
      <w:pPr>
        <w:pStyle w:val="EndNoteBibliography"/>
        <w:spacing w:after="0"/>
      </w:pPr>
    </w:p>
    <w:p w14:paraId="7766FF44" w14:textId="23D4A6FE" w:rsidR="008E5242" w:rsidRPr="003C23D2" w:rsidRDefault="008E5242" w:rsidP="001952AB">
      <w:pPr>
        <w:pStyle w:val="EndNoteBibliography"/>
      </w:pPr>
      <w:r w:rsidRPr="003C23D2">
        <w:t xml:space="preserve">Cook K, Byrt A, Coen A and Rogers M (2024) 'Australia's child support system can put single mothers at risk of poverty and financial abuse', </w:t>
      </w:r>
      <w:r w:rsidRPr="003C23D2">
        <w:rPr>
          <w:i/>
        </w:rPr>
        <w:t>The Conversation</w:t>
      </w:r>
      <w:r w:rsidRPr="003C23D2">
        <w:t xml:space="preserve">, accessed October 2024, </w:t>
      </w:r>
      <w:hyperlink r:id="rId49" w:history="1">
        <w:r w:rsidR="00A60E5A" w:rsidRPr="000E17F9">
          <w:rPr>
            <w:rStyle w:val="Hyperlink"/>
          </w:rPr>
          <w:t>https://theconversation.com/australias-child-support-system-can-put-single-mothers-at-risk-of-poverty-and-financial-abuse-240917</w:t>
        </w:r>
      </w:hyperlink>
      <w:r w:rsidRPr="003C23D2">
        <w:t>.</w:t>
      </w:r>
    </w:p>
    <w:p w14:paraId="455BD76D" w14:textId="77777777" w:rsidR="008E5242" w:rsidRPr="003C23D2" w:rsidRDefault="008E5242" w:rsidP="001952AB">
      <w:pPr>
        <w:pStyle w:val="EndNoteBibliography"/>
        <w:spacing w:after="0"/>
      </w:pPr>
    </w:p>
    <w:p w14:paraId="6F645706" w14:textId="7E90A8F1" w:rsidR="008E5242" w:rsidRPr="003C23D2" w:rsidRDefault="008E5242" w:rsidP="001952AB">
      <w:pPr>
        <w:pStyle w:val="EndNoteBibliography"/>
      </w:pPr>
      <w:r w:rsidRPr="003C23D2">
        <w:t xml:space="preserve">Department of Health (2019) </w:t>
      </w:r>
      <w:r w:rsidRPr="003C23D2">
        <w:rPr>
          <w:i/>
        </w:rPr>
        <w:t>National action plan for the health of children and young people 2020–2030</w:t>
      </w:r>
      <w:r w:rsidRPr="003C23D2">
        <w:t xml:space="preserve">, accessed October 2024, </w:t>
      </w:r>
      <w:hyperlink r:id="rId50" w:history="1">
        <w:r w:rsidR="00A60E5A" w:rsidRPr="000E17F9">
          <w:rPr>
            <w:rStyle w:val="Hyperlink"/>
          </w:rPr>
          <w:t>https://www.health.gov.au/resources/publications/national-action-plan-for-the-health-of-children-and-young-people-2020-2030</w:t>
        </w:r>
      </w:hyperlink>
      <w:r w:rsidRPr="003C23D2">
        <w:t>.</w:t>
      </w:r>
    </w:p>
    <w:p w14:paraId="776B66A1" w14:textId="77777777" w:rsidR="008E5242" w:rsidRPr="003C23D2" w:rsidRDefault="008E5242" w:rsidP="001952AB">
      <w:pPr>
        <w:pStyle w:val="EndNoteBibliography"/>
        <w:spacing w:after="0"/>
      </w:pPr>
    </w:p>
    <w:p w14:paraId="6E4D2C97" w14:textId="4B466006" w:rsidR="008E5242" w:rsidRPr="003C23D2" w:rsidRDefault="008E5242" w:rsidP="001952AB">
      <w:pPr>
        <w:pStyle w:val="EndNoteBibliography"/>
      </w:pPr>
      <w:r w:rsidRPr="003C23D2">
        <w:t xml:space="preserve">DHAC (Department of Health and Aged Care) (2024a) </w:t>
      </w:r>
      <w:r w:rsidRPr="003C23D2">
        <w:rPr>
          <w:i/>
        </w:rPr>
        <w:t>July 2024 News</w:t>
      </w:r>
      <w:r w:rsidRPr="003C23D2">
        <w:t xml:space="preserve">, accessed October 2024, </w:t>
      </w:r>
      <w:hyperlink r:id="rId51" w:history="1">
        <w:r w:rsidR="00A60E5A" w:rsidRPr="000E17F9">
          <w:rPr>
            <w:rStyle w:val="Hyperlink"/>
          </w:rPr>
          <w:t>https://www.mbsonline.gov.au/internet/mbsonline/publishing.nsf/Content/news-240701</w:t>
        </w:r>
      </w:hyperlink>
      <w:r w:rsidRPr="003C23D2">
        <w:t>.</w:t>
      </w:r>
    </w:p>
    <w:p w14:paraId="21B491AC" w14:textId="77777777" w:rsidR="008E5242" w:rsidRPr="003C23D2" w:rsidRDefault="008E5242" w:rsidP="001952AB">
      <w:pPr>
        <w:pStyle w:val="EndNoteBibliography"/>
        <w:spacing w:after="0"/>
      </w:pPr>
    </w:p>
    <w:p w14:paraId="27452DDB" w14:textId="27F0BC90" w:rsidR="008E5242" w:rsidRPr="003C23D2" w:rsidRDefault="008E5242" w:rsidP="001952AB">
      <w:pPr>
        <w:pStyle w:val="EndNoteBibliography"/>
      </w:pPr>
      <w:r w:rsidRPr="003C23D2">
        <w:t xml:space="preserve">--- (2024b) </w:t>
      </w:r>
      <w:r w:rsidRPr="003C23D2">
        <w:rPr>
          <w:i/>
        </w:rPr>
        <w:t>Medicare Benefits Schedule - Item 80110</w:t>
      </w:r>
      <w:r w:rsidRPr="003C23D2">
        <w:t xml:space="preserve">, accessed October 2024, </w:t>
      </w:r>
      <w:hyperlink r:id="rId52" w:history="1">
        <w:r w:rsidR="00A60E5A" w:rsidRPr="000E17F9">
          <w:rPr>
            <w:rStyle w:val="Hyperlink"/>
          </w:rPr>
          <w:t>https://www9.health.gov.au/mbs/fullDisplay.cfm?type=item&amp;q=80110</w:t>
        </w:r>
      </w:hyperlink>
      <w:r w:rsidRPr="003C23D2">
        <w:t>.</w:t>
      </w:r>
    </w:p>
    <w:p w14:paraId="23FCF125" w14:textId="77777777" w:rsidR="008E5242" w:rsidRPr="003C23D2" w:rsidRDefault="008E5242" w:rsidP="001952AB">
      <w:pPr>
        <w:pStyle w:val="EndNoteBibliography"/>
        <w:spacing w:after="0"/>
      </w:pPr>
    </w:p>
    <w:p w14:paraId="39BBCFF7" w14:textId="33F761CA" w:rsidR="008E5242" w:rsidRPr="003C23D2" w:rsidRDefault="008E5242" w:rsidP="001952AB">
      <w:pPr>
        <w:pStyle w:val="EndNoteBibliography"/>
      </w:pPr>
      <w:r w:rsidRPr="003C23D2">
        <w:t xml:space="preserve">--- (n. d.) </w:t>
      </w:r>
      <w:r w:rsidRPr="003C23D2">
        <w:rPr>
          <w:i/>
        </w:rPr>
        <w:t>Medical costs finder: Standard GP consult (in rooms)</w:t>
      </w:r>
      <w:r w:rsidRPr="003C23D2">
        <w:t xml:space="preserve">, accessed October 2024, </w:t>
      </w:r>
      <w:hyperlink r:id="rId53" w:history="1">
        <w:r w:rsidR="00A60E5A" w:rsidRPr="000E17F9">
          <w:rPr>
            <w:rStyle w:val="Hyperlink"/>
          </w:rPr>
          <w:t>https://medicalcostsfinder.health.gov.au/services/G23/oh?term=GP&amp;postcode=7000&amp;filters%5Bcurrent%5D=2&amp;specialty=019999</w:t>
        </w:r>
      </w:hyperlink>
      <w:r w:rsidRPr="003C23D2">
        <w:t>.</w:t>
      </w:r>
    </w:p>
    <w:p w14:paraId="7526010E" w14:textId="77777777" w:rsidR="008E5242" w:rsidRPr="003C23D2" w:rsidRDefault="008E5242" w:rsidP="001952AB">
      <w:pPr>
        <w:pStyle w:val="EndNoteBibliography"/>
        <w:spacing w:after="0"/>
      </w:pPr>
    </w:p>
    <w:p w14:paraId="4E037D7B" w14:textId="6578B1F8" w:rsidR="008E5242" w:rsidRPr="003C23D2" w:rsidRDefault="008E5242" w:rsidP="001952AB">
      <w:pPr>
        <w:pStyle w:val="EndNoteBibliography"/>
      </w:pPr>
      <w:r w:rsidRPr="003C23D2">
        <w:lastRenderedPageBreak/>
        <w:t xml:space="preserve">DSS (Department of Social Services) (2023) </w:t>
      </w:r>
      <w:r w:rsidRPr="003C23D2">
        <w:rPr>
          <w:i/>
        </w:rPr>
        <w:t>Executive summary: National plan to end violence against women and children 2022–2032</w:t>
      </w:r>
      <w:r w:rsidRPr="003C23D2">
        <w:t xml:space="preserve">, Australian Government, accessed October 2024, </w:t>
      </w:r>
      <w:hyperlink r:id="rId54" w:history="1">
        <w:r w:rsidR="00A60E5A" w:rsidRPr="000E17F9">
          <w:rPr>
            <w:rStyle w:val="Hyperlink"/>
          </w:rPr>
          <w:t>https://www.dss.gov.au/the-national-plan-to-end-violence-against-women-and-children/executive-summary-of-the-national-plan</w:t>
        </w:r>
      </w:hyperlink>
      <w:r w:rsidRPr="003C23D2">
        <w:t>.</w:t>
      </w:r>
    </w:p>
    <w:p w14:paraId="76F1BA36" w14:textId="77777777" w:rsidR="008E5242" w:rsidRPr="003C23D2" w:rsidRDefault="008E5242" w:rsidP="001952AB">
      <w:pPr>
        <w:pStyle w:val="EndNoteBibliography"/>
        <w:spacing w:after="0"/>
      </w:pPr>
    </w:p>
    <w:p w14:paraId="3281A45A" w14:textId="7A7C1D2F" w:rsidR="008E5242" w:rsidRPr="003C23D2" w:rsidRDefault="008E5242" w:rsidP="001952AB">
      <w:pPr>
        <w:pStyle w:val="EndNoteBibliography"/>
      </w:pPr>
      <w:r w:rsidRPr="003C23D2">
        <w:t xml:space="preserve">Edwards B, Baxter J, Smart D, Sanson A and Hayes A (2009) </w:t>
      </w:r>
      <w:r w:rsidRPr="003C23D2">
        <w:rPr>
          <w:i/>
        </w:rPr>
        <w:t>Financial disadvantage and children's school readiness</w:t>
      </w:r>
      <w:r w:rsidRPr="003C23D2">
        <w:t xml:space="preserve">, Family Matters, no. 83, AIHW, accessed September 2024, </w:t>
      </w:r>
      <w:hyperlink r:id="rId55" w:history="1">
        <w:r w:rsidR="00A60E5A" w:rsidRPr="000E17F9">
          <w:rPr>
            <w:rStyle w:val="Hyperlink"/>
          </w:rPr>
          <w:t>https://aifs.gov.au/research/family-matters/no-83/financial-disadvantage-and-childrens-school-readiness</w:t>
        </w:r>
      </w:hyperlink>
      <w:r w:rsidRPr="003C23D2">
        <w:t>.</w:t>
      </w:r>
    </w:p>
    <w:p w14:paraId="328AD88D" w14:textId="77777777" w:rsidR="008E5242" w:rsidRPr="003C23D2" w:rsidRDefault="008E5242" w:rsidP="001952AB">
      <w:pPr>
        <w:pStyle w:val="EndNoteBibliography"/>
        <w:spacing w:after="0"/>
      </w:pPr>
    </w:p>
    <w:p w14:paraId="13A27A7C" w14:textId="5857104E" w:rsidR="008E5242" w:rsidRPr="003C23D2" w:rsidRDefault="008E5242" w:rsidP="001952AB">
      <w:pPr>
        <w:pStyle w:val="EndNoteBibliography"/>
      </w:pPr>
      <w:r w:rsidRPr="003C23D2">
        <w:t xml:space="preserve">Foodbank (2023) </w:t>
      </w:r>
      <w:r w:rsidRPr="003C23D2">
        <w:rPr>
          <w:i/>
        </w:rPr>
        <w:t>Foodbank Hunger Report</w:t>
      </w:r>
      <w:r w:rsidRPr="003C23D2">
        <w:t xml:space="preserve">, accessed October 2024, </w:t>
      </w:r>
      <w:hyperlink r:id="rId56" w:history="1">
        <w:r w:rsidR="00A60E5A" w:rsidRPr="000E17F9">
          <w:rPr>
            <w:rStyle w:val="Hyperlink"/>
          </w:rPr>
          <w:t>https://reports.foodbank.org.au/foodbank-hunger-report-2023</w:t>
        </w:r>
      </w:hyperlink>
      <w:r w:rsidRPr="003C23D2">
        <w:t>.</w:t>
      </w:r>
    </w:p>
    <w:p w14:paraId="5B4191AE" w14:textId="77777777" w:rsidR="008E5242" w:rsidRPr="003C23D2" w:rsidRDefault="008E5242" w:rsidP="001952AB">
      <w:pPr>
        <w:pStyle w:val="EndNoteBibliography"/>
        <w:spacing w:after="0"/>
      </w:pPr>
    </w:p>
    <w:p w14:paraId="7D7EA79C" w14:textId="49CBABC6" w:rsidR="008E5242" w:rsidRPr="003C23D2" w:rsidRDefault="008E5242" w:rsidP="001952AB">
      <w:pPr>
        <w:pStyle w:val="EndNoteBibliography"/>
      </w:pPr>
      <w:r w:rsidRPr="003C23D2">
        <w:t xml:space="preserve">Gillespie J (2024) </w:t>
      </w:r>
      <w:r w:rsidRPr="003C23D2">
        <w:rPr>
          <w:i/>
        </w:rPr>
        <w:t>Blue report: National general practitioner listings</w:t>
      </w:r>
      <w:r w:rsidRPr="003C23D2">
        <w:t xml:space="preserve">, Cleanbill, accessed October 2024, </w:t>
      </w:r>
      <w:hyperlink r:id="rId57" w:history="1">
        <w:r w:rsidR="00A60E5A" w:rsidRPr="000E17F9">
          <w:rPr>
            <w:rStyle w:val="Hyperlink"/>
          </w:rPr>
          <w:t>https://cleanbill.com.au/2024/01/cleanbill-blue-report-2024</w:t>
        </w:r>
      </w:hyperlink>
      <w:r w:rsidRPr="003C23D2">
        <w:t>.</w:t>
      </w:r>
    </w:p>
    <w:p w14:paraId="7EF0FEFC" w14:textId="77777777" w:rsidR="008E5242" w:rsidRPr="003C23D2" w:rsidRDefault="008E5242" w:rsidP="001952AB">
      <w:pPr>
        <w:pStyle w:val="EndNoteBibliography"/>
        <w:spacing w:after="0"/>
      </w:pPr>
    </w:p>
    <w:p w14:paraId="7E72F85D" w14:textId="02833E71" w:rsidR="008E5242" w:rsidRPr="003C23D2" w:rsidRDefault="008E5242" w:rsidP="001952AB">
      <w:pPr>
        <w:pStyle w:val="EndNoteBibliography"/>
      </w:pPr>
      <w:r w:rsidRPr="003C23D2">
        <w:t xml:space="preserve">Healthdirect (2023) </w:t>
      </w:r>
      <w:r w:rsidRPr="003C23D2">
        <w:rPr>
          <w:i/>
        </w:rPr>
        <w:t>Financial stress and your health</w:t>
      </w:r>
      <w:r w:rsidRPr="003C23D2">
        <w:t xml:space="preserve">, accessed October 2024, </w:t>
      </w:r>
      <w:hyperlink r:id="rId58" w:history="1">
        <w:r w:rsidR="00A60E5A" w:rsidRPr="000E17F9">
          <w:rPr>
            <w:rStyle w:val="Hyperlink"/>
          </w:rPr>
          <w:t>https://www.healthdirect.gov.au/financial-stress</w:t>
        </w:r>
      </w:hyperlink>
      <w:r w:rsidRPr="003C23D2">
        <w:t>.</w:t>
      </w:r>
    </w:p>
    <w:p w14:paraId="1BAEFA81" w14:textId="77777777" w:rsidR="008E5242" w:rsidRPr="003C23D2" w:rsidRDefault="008E5242" w:rsidP="001952AB">
      <w:pPr>
        <w:pStyle w:val="EndNoteBibliography"/>
        <w:spacing w:after="0"/>
      </w:pPr>
    </w:p>
    <w:p w14:paraId="22CCDDF0" w14:textId="052F37EA" w:rsidR="008E5242" w:rsidRPr="003C23D2" w:rsidRDefault="008E5242" w:rsidP="001952AB">
      <w:pPr>
        <w:pStyle w:val="EndNoteBibliography"/>
      </w:pPr>
      <w:r w:rsidRPr="003C23D2">
        <w:t xml:space="preserve">Homelessness Australia (2024) </w:t>
      </w:r>
      <w:r w:rsidRPr="003C23D2">
        <w:rPr>
          <w:i/>
        </w:rPr>
        <w:t>2024 Child homelessness snapshot</w:t>
      </w:r>
      <w:r w:rsidRPr="003C23D2">
        <w:t xml:space="preserve">, accessed September 2024, </w:t>
      </w:r>
      <w:hyperlink r:id="rId59" w:history="1">
        <w:r w:rsidR="00A60E5A" w:rsidRPr="000E17F9">
          <w:rPr>
            <w:rStyle w:val="Hyperlink"/>
          </w:rPr>
          <w:t>https://homelessnessaustralia.org.au/advocacy/child-homelessness-snapshot-2024</w:t>
        </w:r>
      </w:hyperlink>
      <w:r w:rsidRPr="003C23D2">
        <w:t>.</w:t>
      </w:r>
    </w:p>
    <w:p w14:paraId="286B0712" w14:textId="77777777" w:rsidR="008E5242" w:rsidRPr="003C23D2" w:rsidRDefault="008E5242" w:rsidP="001952AB">
      <w:pPr>
        <w:pStyle w:val="EndNoteBibliography"/>
        <w:spacing w:after="0"/>
      </w:pPr>
    </w:p>
    <w:p w14:paraId="2CFB10F0" w14:textId="39AC3338" w:rsidR="008E5242" w:rsidRPr="003C23D2" w:rsidRDefault="008E5242" w:rsidP="001952AB">
      <w:pPr>
        <w:pStyle w:val="EndNoteBibliography"/>
      </w:pPr>
      <w:r w:rsidRPr="003C23D2">
        <w:t xml:space="preserve">Homes Tasmania (2024) </w:t>
      </w:r>
      <w:r w:rsidRPr="003C23D2">
        <w:rPr>
          <w:i/>
        </w:rPr>
        <w:t>Homes Tasmania Dashboard</w:t>
      </w:r>
      <w:r w:rsidRPr="003C23D2">
        <w:t xml:space="preserve">, accessed October 2024, </w:t>
      </w:r>
      <w:hyperlink r:id="rId60" w:history="1">
        <w:r w:rsidR="00A60E5A" w:rsidRPr="000E17F9">
          <w:rPr>
            <w:rStyle w:val="Hyperlink"/>
          </w:rPr>
          <w:t>https://www.homestasmania.com.au/about-us/Publications/housing-dashboard</w:t>
        </w:r>
      </w:hyperlink>
      <w:r w:rsidRPr="003C23D2">
        <w:t>.</w:t>
      </w:r>
    </w:p>
    <w:p w14:paraId="36C58108" w14:textId="77777777" w:rsidR="008E5242" w:rsidRPr="003C23D2" w:rsidRDefault="008E5242" w:rsidP="001952AB">
      <w:pPr>
        <w:pStyle w:val="EndNoteBibliography"/>
        <w:spacing w:after="0"/>
      </w:pPr>
    </w:p>
    <w:p w14:paraId="51F3F270" w14:textId="0ACE527D" w:rsidR="008E5242" w:rsidRPr="003C23D2" w:rsidRDefault="008E5242" w:rsidP="001952AB">
      <w:pPr>
        <w:pStyle w:val="EndNoteBibliography"/>
      </w:pPr>
      <w:r w:rsidRPr="003C23D2">
        <w:t xml:space="preserve">Jose K, Smith K, Sutton L, Masila N, Fraser B, Proudfoot F and Cleland V (2024) </w:t>
      </w:r>
      <w:r w:rsidRPr="003C23D2">
        <w:rPr>
          <w:i/>
        </w:rPr>
        <w:t>School lunch project evaluation: Final report 2024</w:t>
      </w:r>
      <w:r w:rsidRPr="003C23D2">
        <w:t xml:space="preserve">, Menzies Institute, University of Tasmania, accessed October 2024, </w:t>
      </w:r>
      <w:hyperlink r:id="rId61" w:history="1">
        <w:r w:rsidR="00A60E5A" w:rsidRPr="000E17F9">
          <w:rPr>
            <w:rStyle w:val="Hyperlink"/>
          </w:rPr>
          <w:t>https://www.schoolfoodmatters.org.au/school-lunch-project/evaluation</w:t>
        </w:r>
      </w:hyperlink>
      <w:r w:rsidRPr="003C23D2">
        <w:t>.</w:t>
      </w:r>
    </w:p>
    <w:p w14:paraId="16A8870F" w14:textId="77777777" w:rsidR="008E5242" w:rsidRPr="003C23D2" w:rsidRDefault="008E5242" w:rsidP="001952AB">
      <w:pPr>
        <w:pStyle w:val="EndNoteBibliography"/>
        <w:spacing w:after="0"/>
      </w:pPr>
    </w:p>
    <w:p w14:paraId="5A521228" w14:textId="77777777" w:rsidR="008E5242" w:rsidRPr="003C23D2" w:rsidRDefault="008E5242" w:rsidP="001952AB">
      <w:pPr>
        <w:pStyle w:val="EndNoteBibliography"/>
      </w:pPr>
      <w:r w:rsidRPr="003C23D2">
        <w:t xml:space="preserve">Kent K, Seivwright A, Visentin D and Murray S (2024) </w:t>
      </w:r>
      <w:r w:rsidRPr="003C23D2">
        <w:rPr>
          <w:i/>
        </w:rPr>
        <w:t>“There is no food bank I can access”: Food insecurity and use of emergency food relief in Tasmania</w:t>
      </w:r>
      <w:r w:rsidRPr="003C23D2">
        <w:t>, Faculty of Science Medicine and Health, University of Wollongong.</w:t>
      </w:r>
    </w:p>
    <w:p w14:paraId="198F5BDB" w14:textId="77777777" w:rsidR="008E5242" w:rsidRPr="003C23D2" w:rsidRDefault="008E5242" w:rsidP="001952AB">
      <w:pPr>
        <w:pStyle w:val="EndNoteBibliography"/>
        <w:spacing w:after="0"/>
      </w:pPr>
    </w:p>
    <w:p w14:paraId="2BC39370" w14:textId="3AB49335" w:rsidR="008E5242" w:rsidRPr="003C23D2" w:rsidRDefault="008E5242" w:rsidP="001952AB">
      <w:pPr>
        <w:pStyle w:val="EndNoteBibliography"/>
      </w:pPr>
      <w:r w:rsidRPr="003C23D2">
        <w:t xml:space="preserve">KPMG (2024) </w:t>
      </w:r>
      <w:r w:rsidRPr="003C23D2">
        <w:rPr>
          <w:i/>
        </w:rPr>
        <w:t>Residential property market outlook June 2024</w:t>
      </w:r>
      <w:r w:rsidRPr="003C23D2">
        <w:t xml:space="preserve">, KPMG Australia, accessed October 2024, </w:t>
      </w:r>
      <w:hyperlink r:id="rId62" w:history="1">
        <w:r w:rsidR="00A60E5A" w:rsidRPr="000E17F9">
          <w:rPr>
            <w:rStyle w:val="Hyperlink"/>
          </w:rPr>
          <w:t>https://kpmg.com/au/en/home/insights/2024/06/residential-property-market-outlook.html</w:t>
        </w:r>
      </w:hyperlink>
      <w:r w:rsidRPr="003C23D2">
        <w:t>.</w:t>
      </w:r>
    </w:p>
    <w:p w14:paraId="08FBEFFB" w14:textId="77777777" w:rsidR="008E5242" w:rsidRPr="003C23D2" w:rsidRDefault="008E5242" w:rsidP="001952AB">
      <w:pPr>
        <w:pStyle w:val="EndNoteBibliography"/>
        <w:spacing w:after="0"/>
      </w:pPr>
    </w:p>
    <w:p w14:paraId="44321DD1" w14:textId="6EA7E35B" w:rsidR="008E5242" w:rsidRPr="003C23D2" w:rsidRDefault="008E5242" w:rsidP="001952AB">
      <w:pPr>
        <w:pStyle w:val="EndNoteBibliography"/>
      </w:pPr>
      <w:r w:rsidRPr="003C23D2">
        <w:t xml:space="preserve">Livingstone R (2018) '"It takes a village to raise a child": The role of community', </w:t>
      </w:r>
      <w:r w:rsidRPr="003C23D2">
        <w:rPr>
          <w:i/>
        </w:rPr>
        <w:t>We hear you</w:t>
      </w:r>
      <w:r w:rsidRPr="003C23D2">
        <w:t xml:space="preserve">, ACECQA, accessed October 2024, </w:t>
      </w:r>
      <w:hyperlink r:id="rId63" w:history="1">
        <w:r w:rsidR="00A60E5A" w:rsidRPr="000E17F9">
          <w:rPr>
            <w:rStyle w:val="Hyperlink"/>
          </w:rPr>
          <w:t>https://www.acecqa.gov.au/latest-news/blog/it-takes-village-raise-child-role-community-part-2</w:t>
        </w:r>
      </w:hyperlink>
      <w:r w:rsidRPr="003C23D2">
        <w:t>.</w:t>
      </w:r>
    </w:p>
    <w:p w14:paraId="51AEA627" w14:textId="77777777" w:rsidR="008E5242" w:rsidRPr="003C23D2" w:rsidRDefault="008E5242" w:rsidP="001952AB">
      <w:pPr>
        <w:pStyle w:val="EndNoteBibliography"/>
        <w:spacing w:after="0"/>
      </w:pPr>
    </w:p>
    <w:p w14:paraId="34290E18" w14:textId="01703F37" w:rsidR="008E5242" w:rsidRPr="003C23D2" w:rsidRDefault="008E5242" w:rsidP="001952AB">
      <w:pPr>
        <w:pStyle w:val="EndNoteBibliography"/>
      </w:pPr>
      <w:r w:rsidRPr="003C23D2">
        <w:t xml:space="preserve">MHCT (Mental Health Council of Tasmania) (2023) </w:t>
      </w:r>
      <w:r w:rsidRPr="003C23D2">
        <w:rPr>
          <w:i/>
        </w:rPr>
        <w:t>Access and affordability: Mental health services in Tasmania</w:t>
      </w:r>
      <w:r w:rsidRPr="003C23D2">
        <w:t xml:space="preserve">, Report 2: Highlighting the experience of Tasmanians, accessed October 2024, </w:t>
      </w:r>
      <w:hyperlink r:id="rId64" w:history="1">
        <w:r w:rsidR="00A60E5A" w:rsidRPr="000E17F9">
          <w:rPr>
            <w:rStyle w:val="Hyperlink"/>
          </w:rPr>
          <w:t>https://mhct.org/wp-content/uploads/2023/07/MHCT-Access-and-Affordability-Report-2.pdf</w:t>
        </w:r>
      </w:hyperlink>
      <w:r w:rsidRPr="003C23D2">
        <w:t>.</w:t>
      </w:r>
    </w:p>
    <w:p w14:paraId="260E8616" w14:textId="77777777" w:rsidR="008E5242" w:rsidRPr="003C23D2" w:rsidRDefault="008E5242" w:rsidP="001952AB">
      <w:pPr>
        <w:pStyle w:val="EndNoteBibliography"/>
        <w:spacing w:after="0"/>
      </w:pPr>
    </w:p>
    <w:p w14:paraId="163ACBE4" w14:textId="4D0D6175" w:rsidR="008E5242" w:rsidRPr="003C23D2" w:rsidRDefault="008E5242" w:rsidP="001952AB">
      <w:pPr>
        <w:pStyle w:val="EndNoteBibliography"/>
      </w:pPr>
      <w:r w:rsidRPr="003C23D2">
        <w:t xml:space="preserve">Moloney M (2024) 'Tasmanians reveal their primary concerns in new survey', </w:t>
      </w:r>
      <w:r w:rsidRPr="003C23D2">
        <w:rPr>
          <w:i/>
        </w:rPr>
        <w:t>The Examiner</w:t>
      </w:r>
      <w:r w:rsidRPr="003C23D2">
        <w:t xml:space="preserve">, accessed October 2024, </w:t>
      </w:r>
      <w:hyperlink r:id="rId65" w:history="1">
        <w:r w:rsidR="00A60E5A" w:rsidRPr="000E17F9">
          <w:rPr>
            <w:rStyle w:val="Hyperlink"/>
          </w:rPr>
          <w:t>https://www.examiner.com.au/story/8508443/one-third-of-tasmanians-forego-medical-care-due-to-costs</w:t>
        </w:r>
      </w:hyperlink>
      <w:r w:rsidRPr="003C23D2">
        <w:t>.</w:t>
      </w:r>
    </w:p>
    <w:p w14:paraId="68ACB1C2" w14:textId="77777777" w:rsidR="008E5242" w:rsidRPr="003C23D2" w:rsidRDefault="008E5242" w:rsidP="001952AB">
      <w:pPr>
        <w:pStyle w:val="EndNoteBibliography"/>
        <w:spacing w:after="0"/>
      </w:pPr>
    </w:p>
    <w:p w14:paraId="442C47B4" w14:textId="3F605372" w:rsidR="008E5242" w:rsidRPr="003C23D2" w:rsidRDefault="008E5242" w:rsidP="001952AB">
      <w:pPr>
        <w:pStyle w:val="EndNoteBibliography"/>
      </w:pPr>
      <w:r w:rsidRPr="003C23D2">
        <w:t xml:space="preserve">Monks H (2017) </w:t>
      </w:r>
      <w:r w:rsidRPr="003C23D2">
        <w:rPr>
          <w:i/>
        </w:rPr>
        <w:t>The impact of poverty on the developing child</w:t>
      </w:r>
      <w:r w:rsidRPr="003C23D2">
        <w:t xml:space="preserve">, CoLab Evidence Report, CoLab, accessed October 2024, </w:t>
      </w:r>
      <w:hyperlink r:id="rId66" w:history="1">
        <w:r w:rsidR="00A60E5A" w:rsidRPr="000E17F9">
          <w:rPr>
            <w:rStyle w:val="Hyperlink"/>
          </w:rPr>
          <w:t>https://valuingchildreninitiative.com.au/assets/uploads/documents/colab-poverty-and-the-developing-child-research-overview-2017.pdf</w:t>
        </w:r>
      </w:hyperlink>
      <w:r w:rsidRPr="003C23D2">
        <w:t>.</w:t>
      </w:r>
    </w:p>
    <w:p w14:paraId="71C79144" w14:textId="77777777" w:rsidR="008E5242" w:rsidRPr="003C23D2" w:rsidRDefault="008E5242" w:rsidP="001952AB">
      <w:pPr>
        <w:pStyle w:val="EndNoteBibliography"/>
        <w:spacing w:after="0"/>
      </w:pPr>
    </w:p>
    <w:p w14:paraId="101CC57B" w14:textId="47E340CB" w:rsidR="008E5242" w:rsidRPr="003C23D2" w:rsidRDefault="008E5242" w:rsidP="001952AB">
      <w:pPr>
        <w:pStyle w:val="EndNoteBibliography"/>
      </w:pPr>
      <w:r w:rsidRPr="003C23D2">
        <w:t xml:space="preserve">NASEM (National Academies of Sciences Engineering and Medicine) (2016) </w:t>
      </w:r>
      <w:r w:rsidRPr="003C23D2">
        <w:rPr>
          <w:i/>
        </w:rPr>
        <w:t>Parenting matters: Supporting parents of children ages 0-8</w:t>
      </w:r>
      <w:r w:rsidRPr="003C23D2">
        <w:t>, The National Academies Press, Washington, DC, doi: 10.17226/21868.</w:t>
      </w:r>
    </w:p>
    <w:p w14:paraId="3AD0C930" w14:textId="77777777" w:rsidR="008E5242" w:rsidRPr="003C23D2" w:rsidRDefault="008E5242" w:rsidP="001952AB">
      <w:pPr>
        <w:pStyle w:val="EndNoteBibliography"/>
        <w:spacing w:after="0"/>
      </w:pPr>
    </w:p>
    <w:p w14:paraId="76C3178B" w14:textId="2DBA2F66" w:rsidR="008E5242" w:rsidRPr="003C23D2" w:rsidRDefault="008E5242" w:rsidP="001952AB">
      <w:pPr>
        <w:pStyle w:val="EndNoteBibliography"/>
      </w:pPr>
      <w:r w:rsidRPr="003C23D2">
        <w:t xml:space="preserve">NDH (National Debt Helpline) (n.d.) </w:t>
      </w:r>
      <w:r w:rsidRPr="003C23D2">
        <w:rPr>
          <w:i/>
        </w:rPr>
        <w:t>What is financial hardship and what are your rights</w:t>
      </w:r>
      <w:r w:rsidRPr="003C23D2">
        <w:t xml:space="preserve">, accessed October 2024, </w:t>
      </w:r>
      <w:hyperlink r:id="rId67" w:history="1">
        <w:r w:rsidR="00A60E5A" w:rsidRPr="000E17F9">
          <w:rPr>
            <w:rStyle w:val="Hyperlink"/>
          </w:rPr>
          <w:t>https://ndh.org.au/debt-solutions/what-is-financial-hardship-and-what-are-your-rights</w:t>
        </w:r>
      </w:hyperlink>
      <w:r w:rsidRPr="003C23D2">
        <w:t>.</w:t>
      </w:r>
    </w:p>
    <w:p w14:paraId="356B18EC" w14:textId="77777777" w:rsidR="008E5242" w:rsidRPr="003C23D2" w:rsidRDefault="008E5242" w:rsidP="001952AB">
      <w:pPr>
        <w:pStyle w:val="EndNoteBibliography"/>
        <w:spacing w:after="0"/>
      </w:pPr>
    </w:p>
    <w:p w14:paraId="68A7DF16" w14:textId="77777777" w:rsidR="008E5242" w:rsidRPr="003C23D2" w:rsidRDefault="008E5242" w:rsidP="001952AB">
      <w:pPr>
        <w:pStyle w:val="EndNoteBibliography"/>
      </w:pPr>
      <w:r w:rsidRPr="003C23D2">
        <w:t xml:space="preserve">Neppl TK, Senia JM and Donnellan MB (2016) 'The effects of economic hardship: Testing the family stress model over time ', </w:t>
      </w:r>
      <w:r w:rsidRPr="003C23D2">
        <w:rPr>
          <w:i/>
        </w:rPr>
        <w:t>Journal of Family Psychology</w:t>
      </w:r>
      <w:r w:rsidRPr="003C23D2">
        <w:t>, 30(1):12-21, doi: 10.1037/fam0000168.</w:t>
      </w:r>
    </w:p>
    <w:p w14:paraId="0B264888" w14:textId="77777777" w:rsidR="008E5242" w:rsidRPr="003C23D2" w:rsidRDefault="008E5242" w:rsidP="001952AB">
      <w:pPr>
        <w:pStyle w:val="EndNoteBibliography"/>
        <w:spacing w:after="0"/>
      </w:pPr>
    </w:p>
    <w:p w14:paraId="56B92E58" w14:textId="10635785" w:rsidR="008E5242" w:rsidRPr="003C23D2" w:rsidRDefault="008E5242" w:rsidP="001952AB">
      <w:pPr>
        <w:pStyle w:val="EndNoteBibliography"/>
      </w:pPr>
      <w:r w:rsidRPr="003C23D2">
        <w:t xml:space="preserve">NSCDC (National Scientific Council on the Developing Child) (2020) </w:t>
      </w:r>
      <w:r w:rsidRPr="003C23D2">
        <w:rPr>
          <w:i/>
        </w:rPr>
        <w:t>Connecting the brain to the rest of the body: Early childhood development and lifelong health are deeply intertwined</w:t>
      </w:r>
      <w:r w:rsidRPr="003C23D2">
        <w:t xml:space="preserve">, Working Paper No. 15, Center on the Developing Child at Harvard University, accessed October 2024, </w:t>
      </w:r>
      <w:hyperlink r:id="rId68" w:history="1">
        <w:r w:rsidR="00A60E5A" w:rsidRPr="000E17F9">
          <w:rPr>
            <w:rStyle w:val="Hyperlink"/>
          </w:rPr>
          <w:t>https://harvardcenter.wpenginepowered.com/wp-content/uploads/2020/06/wp15_health_FINALv2.pdf</w:t>
        </w:r>
      </w:hyperlink>
      <w:r w:rsidRPr="003C23D2">
        <w:t>.</w:t>
      </w:r>
    </w:p>
    <w:p w14:paraId="1933D4DE" w14:textId="77777777" w:rsidR="008E5242" w:rsidRPr="003C23D2" w:rsidRDefault="008E5242" w:rsidP="001952AB">
      <w:pPr>
        <w:pStyle w:val="EndNoteBibliography"/>
        <w:spacing w:after="0"/>
      </w:pPr>
    </w:p>
    <w:p w14:paraId="7479F587" w14:textId="7CCC0B10" w:rsidR="008E5242" w:rsidRPr="003C23D2" w:rsidRDefault="008E5242" w:rsidP="001952AB">
      <w:pPr>
        <w:pStyle w:val="EndNoteBibliography"/>
      </w:pPr>
      <w:r w:rsidRPr="003C23D2">
        <w:t xml:space="preserve">Productivity Commission (2024) </w:t>
      </w:r>
      <w:r w:rsidRPr="003C23D2">
        <w:rPr>
          <w:i/>
        </w:rPr>
        <w:t>Report on Government Services 2024: E Health</w:t>
      </w:r>
      <w:r w:rsidRPr="003C23D2">
        <w:t xml:space="preserve">, accessed October 2024, </w:t>
      </w:r>
      <w:hyperlink r:id="rId69" w:history="1">
        <w:r w:rsidR="00A60E5A" w:rsidRPr="000E17F9">
          <w:rPr>
            <w:rStyle w:val="Hyperlink"/>
          </w:rPr>
          <w:t>https://www.pc.gov.au/ongoing/report-on-government-services/2024/health</w:t>
        </w:r>
      </w:hyperlink>
      <w:r w:rsidRPr="003C23D2">
        <w:t>.</w:t>
      </w:r>
    </w:p>
    <w:p w14:paraId="05CD34AE" w14:textId="77777777" w:rsidR="008E5242" w:rsidRPr="003C23D2" w:rsidRDefault="008E5242" w:rsidP="001952AB">
      <w:pPr>
        <w:pStyle w:val="EndNoteBibliography"/>
        <w:spacing w:after="0"/>
      </w:pPr>
    </w:p>
    <w:p w14:paraId="2C6ABBC6" w14:textId="560C5944" w:rsidR="008E5242" w:rsidRPr="003C23D2" w:rsidRDefault="008E5242" w:rsidP="001952AB">
      <w:pPr>
        <w:pStyle w:val="EndNoteBibliography"/>
      </w:pPr>
      <w:r w:rsidRPr="003C23D2">
        <w:t xml:space="preserve">RACGP (Royal Australian College of General Practitioners) (2024) </w:t>
      </w:r>
      <w:r w:rsidRPr="003C23D2">
        <w:rPr>
          <w:i/>
        </w:rPr>
        <w:t>1 July 2024 MBS changes</w:t>
      </w:r>
      <w:r w:rsidRPr="003C23D2">
        <w:t xml:space="preserve">, accessed October 2024, </w:t>
      </w:r>
      <w:hyperlink r:id="rId70" w:history="1">
        <w:r w:rsidR="00A60E5A" w:rsidRPr="000E17F9">
          <w:rPr>
            <w:rStyle w:val="Hyperlink"/>
          </w:rPr>
          <w:t>https://www.racgp.org.au/running-a-practice/practice-resources/medicare/medicare-benefits-schedule/indexation-and-medicare-benefits-schedule-updates</w:t>
        </w:r>
      </w:hyperlink>
      <w:r w:rsidRPr="003C23D2">
        <w:t>.</w:t>
      </w:r>
    </w:p>
    <w:p w14:paraId="15B25620" w14:textId="77777777" w:rsidR="008E5242" w:rsidRPr="003C23D2" w:rsidRDefault="008E5242" w:rsidP="001952AB">
      <w:pPr>
        <w:pStyle w:val="EndNoteBibliography"/>
        <w:spacing w:after="0"/>
      </w:pPr>
    </w:p>
    <w:p w14:paraId="759ED021" w14:textId="061ECEFF" w:rsidR="008E5242" w:rsidRPr="003C23D2" w:rsidRDefault="008E5242" w:rsidP="001952AB">
      <w:pPr>
        <w:pStyle w:val="EndNoteBibliography"/>
      </w:pPr>
      <w:r w:rsidRPr="003C23D2">
        <w:t xml:space="preserve">RBA (Reserve Bank of Australia) (3 May 2022) 'Statement by Phillip Lowe, Governor: Monetary Policy Decision' [media release], accessed October 2024, </w:t>
      </w:r>
      <w:hyperlink r:id="rId71" w:history="1">
        <w:r w:rsidR="00A60E5A" w:rsidRPr="000E17F9">
          <w:rPr>
            <w:rStyle w:val="Hyperlink"/>
          </w:rPr>
          <w:t>https://www.rba.gov.au/media-releases/2022/mr-22-12.html</w:t>
        </w:r>
      </w:hyperlink>
      <w:r w:rsidRPr="003C23D2">
        <w:t>.</w:t>
      </w:r>
    </w:p>
    <w:p w14:paraId="68A37F44" w14:textId="77777777" w:rsidR="008E5242" w:rsidRPr="003C23D2" w:rsidRDefault="008E5242" w:rsidP="001952AB">
      <w:pPr>
        <w:pStyle w:val="EndNoteBibliography"/>
        <w:spacing w:after="0"/>
      </w:pPr>
    </w:p>
    <w:p w14:paraId="63564884" w14:textId="6583A963" w:rsidR="008E5242" w:rsidRPr="003C23D2" w:rsidRDefault="008E5242" w:rsidP="001952AB">
      <w:pPr>
        <w:pStyle w:val="EndNoteBibliography"/>
      </w:pPr>
      <w:r w:rsidRPr="003C23D2">
        <w:t xml:space="preserve">--- (2024a) </w:t>
      </w:r>
      <w:r w:rsidRPr="003C23D2">
        <w:rPr>
          <w:i/>
        </w:rPr>
        <w:t>About monetary policy</w:t>
      </w:r>
      <w:r w:rsidRPr="003C23D2">
        <w:t xml:space="preserve">, accessed October 2024, </w:t>
      </w:r>
      <w:hyperlink r:id="rId72" w:history="1">
        <w:r w:rsidR="00A60E5A" w:rsidRPr="000E17F9">
          <w:rPr>
            <w:rStyle w:val="Hyperlink"/>
          </w:rPr>
          <w:t>https://www.rba.gov.au/monetary-policy/about.html</w:t>
        </w:r>
      </w:hyperlink>
      <w:r w:rsidRPr="003C23D2">
        <w:t>.</w:t>
      </w:r>
    </w:p>
    <w:p w14:paraId="0028D09D" w14:textId="77777777" w:rsidR="008E5242" w:rsidRPr="003C23D2" w:rsidRDefault="008E5242" w:rsidP="001952AB">
      <w:pPr>
        <w:pStyle w:val="EndNoteBibliography"/>
        <w:spacing w:after="0"/>
      </w:pPr>
    </w:p>
    <w:p w14:paraId="38D7D6A6" w14:textId="46A70FF8" w:rsidR="008E5242" w:rsidRPr="003C23D2" w:rsidRDefault="008E5242" w:rsidP="001952AB">
      <w:pPr>
        <w:pStyle w:val="EndNoteBibliography"/>
      </w:pPr>
      <w:r w:rsidRPr="003C23D2">
        <w:t xml:space="preserve">--- (2024b) </w:t>
      </w:r>
      <w:r w:rsidRPr="003C23D2">
        <w:rPr>
          <w:i/>
        </w:rPr>
        <w:t>Lenders' interest rates</w:t>
      </w:r>
      <w:r w:rsidRPr="003C23D2">
        <w:t xml:space="preserve">, accessed October 2024, </w:t>
      </w:r>
      <w:hyperlink r:id="rId73" w:history="1">
        <w:r w:rsidR="00A60E5A" w:rsidRPr="000E17F9">
          <w:rPr>
            <w:rStyle w:val="Hyperlink"/>
          </w:rPr>
          <w:t>https://www.rba.gov.au/statistics/interest-rates</w:t>
        </w:r>
      </w:hyperlink>
      <w:r w:rsidRPr="003C23D2">
        <w:t>.</w:t>
      </w:r>
    </w:p>
    <w:p w14:paraId="4B528050" w14:textId="77777777" w:rsidR="008E5242" w:rsidRPr="003C23D2" w:rsidRDefault="008E5242" w:rsidP="001952AB">
      <w:pPr>
        <w:pStyle w:val="EndNoteBibliography"/>
        <w:spacing w:after="0"/>
      </w:pPr>
    </w:p>
    <w:p w14:paraId="37115567" w14:textId="20D26382" w:rsidR="008E5242" w:rsidRPr="003C23D2" w:rsidRDefault="008E5242" w:rsidP="001952AB">
      <w:pPr>
        <w:pStyle w:val="EndNoteBibliography"/>
      </w:pPr>
      <w:r w:rsidRPr="003C23D2">
        <w:t xml:space="preserve">RCH (Royal Children's Hospital) (n. d.) </w:t>
      </w:r>
      <w:r w:rsidRPr="003C23D2">
        <w:rPr>
          <w:i/>
        </w:rPr>
        <w:t>Nutrition – school-age to adolescence</w:t>
      </w:r>
      <w:r w:rsidRPr="003C23D2">
        <w:t xml:space="preserve">, accessed October 2024, </w:t>
      </w:r>
      <w:hyperlink r:id="rId74" w:history="1">
        <w:r w:rsidR="00A60E5A" w:rsidRPr="000E17F9">
          <w:rPr>
            <w:rStyle w:val="Hyperlink"/>
          </w:rPr>
          <w:t>https://www.rch.org.au/kidsinfo/fact_sheets/Nutrition_older_children</w:t>
        </w:r>
      </w:hyperlink>
      <w:r w:rsidRPr="003C23D2">
        <w:t>.</w:t>
      </w:r>
    </w:p>
    <w:p w14:paraId="2F06302D" w14:textId="77777777" w:rsidR="008E5242" w:rsidRPr="003C23D2" w:rsidRDefault="008E5242" w:rsidP="001952AB">
      <w:pPr>
        <w:pStyle w:val="EndNoteBibliography"/>
        <w:spacing w:after="0"/>
      </w:pPr>
    </w:p>
    <w:p w14:paraId="1B730D6F" w14:textId="3184797E" w:rsidR="008E5242" w:rsidRPr="003C23D2" w:rsidRDefault="008E5242" w:rsidP="001952AB">
      <w:pPr>
        <w:pStyle w:val="EndNoteBibliography"/>
      </w:pPr>
      <w:r w:rsidRPr="003C23D2">
        <w:t xml:space="preserve">SGS Economics &amp; Planning (2023) </w:t>
      </w:r>
      <w:r w:rsidRPr="003C23D2">
        <w:rPr>
          <w:i/>
        </w:rPr>
        <w:t>Rental Affordability Index</w:t>
      </w:r>
      <w:r w:rsidRPr="003C23D2">
        <w:t xml:space="preserve">, SGS Economics and Planning, National Shelter, Beyond Bank and Brotherhood of St Laurence, accessed October 2024, </w:t>
      </w:r>
      <w:hyperlink r:id="rId75" w:history="1">
        <w:r w:rsidR="00A60E5A" w:rsidRPr="000E17F9">
          <w:rPr>
            <w:rStyle w:val="Hyperlink"/>
          </w:rPr>
          <w:t>https://sgsep.com.au/projects/rental-affordability-index</w:t>
        </w:r>
      </w:hyperlink>
      <w:r w:rsidRPr="003C23D2">
        <w:t>.</w:t>
      </w:r>
    </w:p>
    <w:p w14:paraId="27D7220F" w14:textId="77777777" w:rsidR="008E5242" w:rsidRPr="003C23D2" w:rsidRDefault="008E5242" w:rsidP="001952AB">
      <w:pPr>
        <w:pStyle w:val="EndNoteBibliography"/>
        <w:spacing w:after="0"/>
      </w:pPr>
    </w:p>
    <w:p w14:paraId="03425EE9" w14:textId="1DFC61A3" w:rsidR="008E5242" w:rsidRPr="003C23D2" w:rsidRDefault="008E5242" w:rsidP="001952AB">
      <w:pPr>
        <w:pStyle w:val="EndNoteBibliography"/>
      </w:pPr>
      <w:r w:rsidRPr="003C23D2">
        <w:t xml:space="preserve">Shelter Tas (2021) </w:t>
      </w:r>
      <w:r w:rsidRPr="003C23D2">
        <w:rPr>
          <w:i/>
        </w:rPr>
        <w:t>Guide to housing and homelessness terms</w:t>
      </w:r>
      <w:r w:rsidRPr="003C23D2">
        <w:t xml:space="preserve">, Shelter Tas Fact Sheets, accessed October 2024, </w:t>
      </w:r>
      <w:hyperlink r:id="rId76" w:history="1">
        <w:r w:rsidR="00A60E5A" w:rsidRPr="000E17F9">
          <w:rPr>
            <w:rStyle w:val="Hyperlink"/>
          </w:rPr>
          <w:t>https://sheltertas.org.au/fact-sheets</w:t>
        </w:r>
      </w:hyperlink>
      <w:r w:rsidRPr="003C23D2">
        <w:t>.</w:t>
      </w:r>
    </w:p>
    <w:p w14:paraId="243FD2BC" w14:textId="77777777" w:rsidR="008E5242" w:rsidRPr="003C23D2" w:rsidRDefault="008E5242" w:rsidP="001952AB">
      <w:pPr>
        <w:pStyle w:val="EndNoteBibliography"/>
        <w:spacing w:after="0"/>
      </w:pPr>
    </w:p>
    <w:p w14:paraId="3F8431B8" w14:textId="74D076CC" w:rsidR="008E5242" w:rsidRPr="003C23D2" w:rsidRDefault="008E5242" w:rsidP="001952AB">
      <w:pPr>
        <w:pStyle w:val="EndNoteBibliography"/>
      </w:pPr>
      <w:r w:rsidRPr="003C23D2">
        <w:t xml:space="preserve">SQM Research (2024) </w:t>
      </w:r>
      <w:r w:rsidRPr="003C23D2">
        <w:rPr>
          <w:i/>
        </w:rPr>
        <w:t>Research the property market</w:t>
      </w:r>
      <w:r w:rsidRPr="003C23D2">
        <w:t xml:space="preserve">, accessed September 2024, </w:t>
      </w:r>
      <w:hyperlink r:id="rId77" w:history="1">
        <w:r w:rsidR="00A60E5A" w:rsidRPr="000E17F9">
          <w:rPr>
            <w:rStyle w:val="Hyperlink"/>
          </w:rPr>
          <w:t>https://sqmresearch.com.au/index_property.php</w:t>
        </w:r>
      </w:hyperlink>
      <w:r w:rsidRPr="003C23D2">
        <w:t>.</w:t>
      </w:r>
    </w:p>
    <w:p w14:paraId="4D742BE5" w14:textId="77777777" w:rsidR="008E5242" w:rsidRPr="003C23D2" w:rsidRDefault="008E5242" w:rsidP="001952AB">
      <w:pPr>
        <w:pStyle w:val="EndNoteBibliography"/>
        <w:spacing w:after="0"/>
      </w:pPr>
    </w:p>
    <w:p w14:paraId="7CC4D80A" w14:textId="77777777" w:rsidR="008E5242" w:rsidRPr="003C23D2" w:rsidRDefault="008E5242" w:rsidP="001952AB">
      <w:pPr>
        <w:pStyle w:val="EndNoteBibliography"/>
      </w:pPr>
      <w:r w:rsidRPr="003C23D2">
        <w:t xml:space="preserve">Steen A and MacKenzie D (2013) 'Financial stress, financial literacy, counselling and the risk of homelessness', </w:t>
      </w:r>
      <w:r w:rsidRPr="003C23D2">
        <w:rPr>
          <w:i/>
        </w:rPr>
        <w:t>Australian Accounting, Business and Financial Journal</w:t>
      </w:r>
      <w:r w:rsidRPr="003C23D2">
        <w:t>, 7(3):31-48, doi: 10.14453/aabfj.v7i3.3.</w:t>
      </w:r>
    </w:p>
    <w:p w14:paraId="26A0EE65" w14:textId="77777777" w:rsidR="008E5242" w:rsidRPr="003C23D2" w:rsidRDefault="008E5242" w:rsidP="001952AB">
      <w:pPr>
        <w:pStyle w:val="EndNoteBibliography"/>
        <w:spacing w:after="0"/>
      </w:pPr>
    </w:p>
    <w:p w14:paraId="06E66ECA" w14:textId="7AF867B3" w:rsidR="008E5242" w:rsidRPr="003C23D2" w:rsidRDefault="008E5242" w:rsidP="001952AB">
      <w:pPr>
        <w:pStyle w:val="EndNoteBibliography"/>
      </w:pPr>
      <w:r w:rsidRPr="003C23D2">
        <w:t xml:space="preserve">Tasmanian Government (2023a) </w:t>
      </w:r>
      <w:r w:rsidRPr="003C23D2">
        <w:rPr>
          <w:i/>
        </w:rPr>
        <w:t>Responding and reporting 2023: Achievements in the delivery of Survivors at the Centre: Tasmania's Third Family and Sexual Violence Action Plan 2022-2027</w:t>
      </w:r>
      <w:r w:rsidRPr="003C23D2">
        <w:t xml:space="preserve">, Tasmanian Government, accessed October 2024, </w:t>
      </w:r>
      <w:hyperlink r:id="rId78" w:history="1">
        <w:r w:rsidR="00A60E5A" w:rsidRPr="000E17F9">
          <w:rPr>
            <w:rStyle w:val="Hyperlink"/>
          </w:rPr>
          <w:t>https://www.safefromviolence.tas.gov.au/__data/assets/pdf_file/0030/365790/Survivors-at-the-Centre-Responding-and-Reporting-2023.pdf</w:t>
        </w:r>
      </w:hyperlink>
      <w:r w:rsidRPr="003C23D2">
        <w:t>.</w:t>
      </w:r>
    </w:p>
    <w:p w14:paraId="5134E38B" w14:textId="77777777" w:rsidR="008E5242" w:rsidRPr="003C23D2" w:rsidRDefault="008E5242" w:rsidP="001952AB">
      <w:pPr>
        <w:pStyle w:val="EndNoteBibliography"/>
        <w:spacing w:after="0"/>
      </w:pPr>
    </w:p>
    <w:p w14:paraId="750A331E" w14:textId="22561F0D" w:rsidR="008E5242" w:rsidRPr="003C23D2" w:rsidRDefault="008E5242" w:rsidP="001952AB">
      <w:pPr>
        <w:pStyle w:val="EndNoteBibliography"/>
      </w:pPr>
      <w:r w:rsidRPr="003C23D2">
        <w:t xml:space="preserve">--- (2023b) </w:t>
      </w:r>
      <w:r w:rsidRPr="003C23D2">
        <w:rPr>
          <w:i/>
        </w:rPr>
        <w:t>Tasmanian Housing Strategy: Delivering more homes for a growing Tasmania and ending homelessness</w:t>
      </w:r>
      <w:r w:rsidRPr="003C23D2">
        <w:t xml:space="preserve">, accessed September 2024, </w:t>
      </w:r>
      <w:hyperlink r:id="rId79" w:history="1">
        <w:r w:rsidR="00A60E5A" w:rsidRPr="000E17F9">
          <w:rPr>
            <w:rStyle w:val="Hyperlink"/>
          </w:rPr>
          <w:t>https://www.homestasmania.com.au/__data/assets/pdf_file/0028/276931/230265_Homes_Tas_Strategy_document_wcag.pdf</w:t>
        </w:r>
      </w:hyperlink>
      <w:r w:rsidRPr="003C23D2">
        <w:t>.</w:t>
      </w:r>
    </w:p>
    <w:p w14:paraId="23580E1F" w14:textId="77777777" w:rsidR="008E5242" w:rsidRPr="003C23D2" w:rsidRDefault="008E5242" w:rsidP="001952AB">
      <w:pPr>
        <w:pStyle w:val="EndNoteBibliography"/>
        <w:spacing w:after="0"/>
      </w:pPr>
    </w:p>
    <w:p w14:paraId="0422776F" w14:textId="53D71430" w:rsidR="008E5242" w:rsidRPr="003C23D2" w:rsidRDefault="008E5242" w:rsidP="001952AB">
      <w:pPr>
        <w:pStyle w:val="EndNoteBibliography"/>
      </w:pPr>
      <w:r w:rsidRPr="003C23D2">
        <w:t xml:space="preserve">--- (2024) </w:t>
      </w:r>
      <w:r w:rsidRPr="003C23D2">
        <w:rPr>
          <w:i/>
        </w:rPr>
        <w:t>Tasmanian Budget 2024-25: Delivering the 2030 Strong Plan for Tasmania's Future Overview</w:t>
      </w:r>
      <w:r w:rsidRPr="003C23D2">
        <w:t xml:space="preserve">, accessed September 2024, </w:t>
      </w:r>
      <w:hyperlink r:id="rId80" w:history="1">
        <w:r w:rsidR="00A60E5A" w:rsidRPr="000E17F9">
          <w:rPr>
            <w:rStyle w:val="Hyperlink"/>
          </w:rPr>
          <w:t>https://www.premier.tas.gov.au/budget-2024/budget-overview</w:t>
        </w:r>
      </w:hyperlink>
      <w:r w:rsidRPr="003C23D2">
        <w:t>.</w:t>
      </w:r>
    </w:p>
    <w:p w14:paraId="394C8B55" w14:textId="77777777" w:rsidR="008E5242" w:rsidRPr="003C23D2" w:rsidRDefault="008E5242" w:rsidP="001952AB">
      <w:pPr>
        <w:pStyle w:val="EndNoteBibliography"/>
        <w:spacing w:after="0"/>
      </w:pPr>
    </w:p>
    <w:p w14:paraId="488A0396" w14:textId="61D79CF7" w:rsidR="008E5242" w:rsidRPr="003C23D2" w:rsidRDefault="008E5242" w:rsidP="001952AB">
      <w:pPr>
        <w:pStyle w:val="EndNoteBibliography"/>
      </w:pPr>
      <w:r w:rsidRPr="003C23D2">
        <w:lastRenderedPageBreak/>
        <w:t xml:space="preserve">Tasmanian Liberals (n. d.) </w:t>
      </w:r>
      <w:r w:rsidRPr="003C23D2">
        <w:rPr>
          <w:i/>
        </w:rPr>
        <w:t>Doubling our healthy school lunches program</w:t>
      </w:r>
      <w:r w:rsidRPr="003C23D2">
        <w:t xml:space="preserve">, accessed October 2024, </w:t>
      </w:r>
      <w:hyperlink r:id="rId81" w:history="1">
        <w:r w:rsidR="00A60E5A" w:rsidRPr="000E17F9">
          <w:rPr>
            <w:rStyle w:val="Hyperlink"/>
          </w:rPr>
          <w:t>https://tas.liberal.org.au/doubling-our-healthy-school-lunches-program</w:t>
        </w:r>
      </w:hyperlink>
      <w:r w:rsidRPr="003C23D2">
        <w:t>.</w:t>
      </w:r>
    </w:p>
    <w:p w14:paraId="71B864CF" w14:textId="77777777" w:rsidR="008E5242" w:rsidRPr="003C23D2" w:rsidRDefault="008E5242" w:rsidP="001952AB">
      <w:pPr>
        <w:pStyle w:val="EndNoteBibliography"/>
        <w:spacing w:after="0"/>
      </w:pPr>
    </w:p>
    <w:p w14:paraId="4A0058CD" w14:textId="0757AC12" w:rsidR="008E5242" w:rsidRPr="003C23D2" w:rsidRDefault="008E5242" w:rsidP="001952AB">
      <w:pPr>
        <w:pStyle w:val="EndNoteBibliography"/>
      </w:pPr>
      <w:r w:rsidRPr="003C23D2">
        <w:t xml:space="preserve">Taylor M and Edwards B (2012) </w:t>
      </w:r>
      <w:r w:rsidRPr="003C23D2">
        <w:rPr>
          <w:i/>
        </w:rPr>
        <w:t>Housing and children’s wellbeing and development: Evidence from a national longitudinal study</w:t>
      </w:r>
      <w:r w:rsidRPr="003C23D2">
        <w:t xml:space="preserve">, Family Matters, No. 19, AIHW, accessed October 2024, </w:t>
      </w:r>
      <w:hyperlink r:id="rId82" w:history="1">
        <w:r w:rsidR="00A60E5A" w:rsidRPr="000E17F9">
          <w:rPr>
            <w:rStyle w:val="Hyperlink"/>
          </w:rPr>
          <w:t>https://aifs.gov.au/research/family-matters/no-91/housing-and-childrens-wellbeing-and-development</w:t>
        </w:r>
      </w:hyperlink>
      <w:r w:rsidRPr="003C23D2">
        <w:t>.</w:t>
      </w:r>
    </w:p>
    <w:p w14:paraId="0A5B9734" w14:textId="77777777" w:rsidR="008E5242" w:rsidRPr="003C23D2" w:rsidRDefault="008E5242" w:rsidP="001952AB">
      <w:pPr>
        <w:pStyle w:val="EndNoteBibliography"/>
        <w:spacing w:after="0"/>
      </w:pPr>
    </w:p>
    <w:p w14:paraId="76C45A7D" w14:textId="20B05F5E" w:rsidR="008E5242" w:rsidRPr="003C23D2" w:rsidRDefault="008E5242" w:rsidP="001952AB">
      <w:pPr>
        <w:pStyle w:val="EndNoteBibliography"/>
      </w:pPr>
      <w:r w:rsidRPr="003C23D2">
        <w:t xml:space="preserve">Tiyce M (2024) 'How the cost-of-living crisis is keeping victims of financial abuse from leaving ', </w:t>
      </w:r>
      <w:r w:rsidRPr="003C23D2">
        <w:rPr>
          <w:i/>
        </w:rPr>
        <w:t>Lawyers Weekly</w:t>
      </w:r>
      <w:r w:rsidRPr="003C23D2">
        <w:t xml:space="preserve">, accessed October 2024, </w:t>
      </w:r>
      <w:hyperlink r:id="rId83" w:history="1">
        <w:r w:rsidR="00A60E5A" w:rsidRPr="000E17F9">
          <w:rPr>
            <w:rStyle w:val="Hyperlink"/>
          </w:rPr>
          <w:t>https://www.lawyersweekly.com.au/politics/39873-how-the-cost-of-living-crisis-is-keeping-victims-of-financial-abuse-from-leaving</w:t>
        </w:r>
      </w:hyperlink>
      <w:r w:rsidRPr="003C23D2">
        <w:t>.</w:t>
      </w:r>
    </w:p>
    <w:p w14:paraId="65D05AE1" w14:textId="77777777" w:rsidR="008E5242" w:rsidRPr="003C23D2" w:rsidRDefault="008E5242" w:rsidP="001952AB">
      <w:pPr>
        <w:pStyle w:val="EndNoteBibliography"/>
        <w:spacing w:after="0"/>
      </w:pPr>
    </w:p>
    <w:p w14:paraId="053B521E" w14:textId="24DEB415" w:rsidR="008E5242" w:rsidRPr="003C23D2" w:rsidRDefault="008E5242" w:rsidP="001952AB">
      <w:pPr>
        <w:pStyle w:val="EndNoteBibliography"/>
      </w:pPr>
      <w:r w:rsidRPr="003C23D2">
        <w:t xml:space="preserve">Treasury (5 June 2024) 'Government introduces consumer protections for Buy Now Pay Later' [media release], accessed September 2024, </w:t>
      </w:r>
      <w:hyperlink r:id="rId84" w:history="1">
        <w:r w:rsidR="00A60E5A" w:rsidRPr="000E17F9">
          <w:rPr>
            <w:rStyle w:val="Hyperlink"/>
          </w:rPr>
          <w:t>https://ministers.treasury.gov.au/ministers/stephen-jones-2022/media-releases/government-introduces-consumer-protections-buy-now-pay</w:t>
        </w:r>
      </w:hyperlink>
      <w:r w:rsidRPr="003C23D2">
        <w:t>.</w:t>
      </w:r>
    </w:p>
    <w:p w14:paraId="4FC9FD59" w14:textId="77777777" w:rsidR="008E5242" w:rsidRPr="003C23D2" w:rsidRDefault="008E5242" w:rsidP="001952AB">
      <w:pPr>
        <w:pStyle w:val="EndNoteBibliography"/>
        <w:spacing w:after="0"/>
      </w:pPr>
    </w:p>
    <w:p w14:paraId="13091EDE" w14:textId="11760A5C" w:rsidR="008E5242" w:rsidRPr="003C23D2" w:rsidRDefault="008E5242" w:rsidP="001952AB">
      <w:pPr>
        <w:pStyle w:val="EndNoteBibliography"/>
      </w:pPr>
      <w:r w:rsidRPr="003C23D2">
        <w:t xml:space="preserve">Ung B (2024) 'Cash rate pass-through to outstanding mortgage rates', </w:t>
      </w:r>
      <w:r w:rsidRPr="003C23D2">
        <w:rPr>
          <w:i/>
        </w:rPr>
        <w:t>Bulletin</w:t>
      </w:r>
      <w:r w:rsidRPr="003C23D2">
        <w:t xml:space="preserve">, RBA, accessed October 2024, </w:t>
      </w:r>
      <w:hyperlink r:id="rId85" w:history="1">
        <w:r w:rsidR="00A60E5A" w:rsidRPr="000E17F9">
          <w:rPr>
            <w:rStyle w:val="Hyperlink"/>
          </w:rPr>
          <w:t>https://www.rba.gov.au/publications/bulletin/2024/apr/cash-rate-pass-through-to-outstanding-mortgage-rates.html</w:t>
        </w:r>
      </w:hyperlink>
      <w:r w:rsidRPr="003C23D2">
        <w:t>.</w:t>
      </w:r>
    </w:p>
    <w:p w14:paraId="5FF1F4D3" w14:textId="77777777" w:rsidR="008E5242" w:rsidRPr="003C23D2" w:rsidRDefault="008E5242" w:rsidP="001952AB">
      <w:pPr>
        <w:pStyle w:val="EndNoteBibliography"/>
        <w:spacing w:after="0"/>
      </w:pPr>
    </w:p>
    <w:p w14:paraId="604A3C1C" w14:textId="5397ACE2" w:rsidR="008E5242" w:rsidRPr="003C23D2" w:rsidRDefault="008E5242" w:rsidP="001952AB">
      <w:pPr>
        <w:pStyle w:val="EndNoteBibliography"/>
      </w:pPr>
      <w:r w:rsidRPr="003C23D2">
        <w:t xml:space="preserve">University of Melbourne (2020) </w:t>
      </w:r>
      <w:r w:rsidRPr="003C23D2">
        <w:rPr>
          <w:i/>
        </w:rPr>
        <w:t>Majority of Australians are at risk of financial vulnerability</w:t>
      </w:r>
      <w:r w:rsidRPr="003C23D2">
        <w:t xml:space="preserve">, accessed October 2024, </w:t>
      </w:r>
      <w:hyperlink r:id="rId86" w:history="1">
        <w:r w:rsidR="00A60E5A" w:rsidRPr="000E17F9">
          <w:rPr>
            <w:rStyle w:val="Hyperlink"/>
          </w:rPr>
          <w:t>https://melbourneinstitute.unimelb.edu.au/news/news/old/2021/majority-of-australians-are-at-risk-of-financial-vulnerability</w:t>
        </w:r>
      </w:hyperlink>
      <w:r w:rsidRPr="003C23D2">
        <w:t>.</w:t>
      </w:r>
    </w:p>
    <w:p w14:paraId="1AF0E8DF" w14:textId="77777777" w:rsidR="008E5242" w:rsidRPr="003C23D2" w:rsidRDefault="008E5242" w:rsidP="001952AB">
      <w:pPr>
        <w:pStyle w:val="EndNoteBibliography"/>
        <w:spacing w:after="0"/>
      </w:pPr>
    </w:p>
    <w:p w14:paraId="27227FAA" w14:textId="36343B7E" w:rsidR="008E5242" w:rsidRPr="003C23D2" w:rsidRDefault="008E5242" w:rsidP="001952AB">
      <w:pPr>
        <w:pStyle w:val="EndNoteBibliography"/>
      </w:pPr>
      <w:r w:rsidRPr="003C23D2">
        <w:t xml:space="preserve">--- (2024) </w:t>
      </w:r>
      <w:r w:rsidRPr="003C23D2">
        <w:rPr>
          <w:i/>
        </w:rPr>
        <w:t>March Quarter 2024</w:t>
      </w:r>
      <w:r w:rsidRPr="003C23D2">
        <w:t xml:space="preserve">, Poverty Lines: Australia, Melbourne Institute Applied Economic &amp; Social Research, accessed October 2024, </w:t>
      </w:r>
      <w:hyperlink r:id="rId87" w:history="1">
        <w:r w:rsidR="00A60E5A" w:rsidRPr="000E17F9">
          <w:rPr>
            <w:rStyle w:val="Hyperlink"/>
          </w:rPr>
          <w:t>https://melbourneinstitute.unimelb.edu.au/publications/poverty-lines</w:t>
        </w:r>
      </w:hyperlink>
      <w:r w:rsidRPr="003C23D2">
        <w:t>.</w:t>
      </w:r>
    </w:p>
    <w:p w14:paraId="71886FA0" w14:textId="77777777" w:rsidR="008E5242" w:rsidRPr="003C23D2" w:rsidRDefault="008E5242" w:rsidP="001952AB">
      <w:pPr>
        <w:pStyle w:val="EndNoteBibliography"/>
        <w:spacing w:after="0"/>
      </w:pPr>
    </w:p>
    <w:p w14:paraId="1A2F4949" w14:textId="5FB599A3" w:rsidR="008E5242" w:rsidRPr="003C23D2" w:rsidRDefault="008E5242" w:rsidP="001952AB">
      <w:pPr>
        <w:pStyle w:val="EndNoteBibliography"/>
      </w:pPr>
      <w:r w:rsidRPr="003C23D2">
        <w:t xml:space="preserve">Whitten R (2024) </w:t>
      </w:r>
      <w:r w:rsidRPr="003C23D2">
        <w:rPr>
          <w:i/>
        </w:rPr>
        <w:t>Mortgage repayment calculator</w:t>
      </w:r>
      <w:r w:rsidRPr="003C23D2">
        <w:t xml:space="preserve">, Finder, accessed September 2024, </w:t>
      </w:r>
      <w:hyperlink r:id="rId88" w:history="1">
        <w:r w:rsidR="00A60E5A" w:rsidRPr="000E17F9">
          <w:rPr>
            <w:rStyle w:val="Hyperlink"/>
          </w:rPr>
          <w:t>https://www.finder.com.au/home-loans/home-loan-calculators/home-loan-repayment-calculator</w:t>
        </w:r>
      </w:hyperlink>
      <w:r w:rsidRPr="003C23D2">
        <w:t>.</w:t>
      </w:r>
    </w:p>
    <w:p w14:paraId="231B2840" w14:textId="77777777" w:rsidR="008E5242" w:rsidRPr="003C23D2" w:rsidRDefault="008E5242" w:rsidP="001952AB">
      <w:pPr>
        <w:pStyle w:val="EndNoteBibliography"/>
        <w:spacing w:after="0"/>
      </w:pPr>
    </w:p>
    <w:p w14:paraId="5AEE1E8D" w14:textId="212E9D0B" w:rsidR="008E5242" w:rsidRPr="00777CB6" w:rsidRDefault="008E5242" w:rsidP="00167E8A">
      <w:pPr>
        <w:pStyle w:val="EndNoteBibliography"/>
      </w:pPr>
      <w:r w:rsidRPr="003C23D2">
        <w:t xml:space="preserve">Women Against Abuse (2024) </w:t>
      </w:r>
      <w:r w:rsidRPr="003C23D2">
        <w:rPr>
          <w:i/>
        </w:rPr>
        <w:t xml:space="preserve">The language we use </w:t>
      </w:r>
      <w:r w:rsidRPr="003C23D2">
        <w:t xml:space="preserve">accessed October 2024, </w:t>
      </w:r>
      <w:hyperlink r:id="rId89" w:history="1">
        <w:r w:rsidR="00A60E5A" w:rsidRPr="000E17F9">
          <w:rPr>
            <w:rStyle w:val="Hyperlink"/>
          </w:rPr>
          <w:t>https://www.womenagainstabuse.org/education-resources/the-language-we-use</w:t>
        </w:r>
      </w:hyperlink>
      <w:r w:rsidRPr="003C23D2">
        <w:t>.</w:t>
      </w:r>
      <w:r w:rsidR="00167E8A" w:rsidRPr="00777CB6">
        <w:t xml:space="preserve"> </w:t>
      </w:r>
    </w:p>
    <w:p w14:paraId="7C16F630" w14:textId="77777777" w:rsidR="001952AB" w:rsidRDefault="001952AB"/>
    <w:sectPr w:rsidR="001952AB" w:rsidSect="001952AB">
      <w:pgSz w:w="11910" w:h="16840"/>
      <w:pgMar w:top="1542" w:right="998" w:bottom="278" w:left="95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67098" w14:textId="77777777" w:rsidR="007E6107" w:rsidRDefault="007E6107">
      <w:pPr>
        <w:spacing w:before="0" w:after="0"/>
      </w:pPr>
      <w:r>
        <w:separator/>
      </w:r>
    </w:p>
  </w:endnote>
  <w:endnote w:type="continuationSeparator" w:id="0">
    <w:p w14:paraId="5C5180E4" w14:textId="77777777" w:rsidR="007E6107" w:rsidRDefault="007E610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AvenirNext LT Pro Bold">
    <w:altName w:val="Calibri"/>
    <w:panose1 w:val="00000000000000000000"/>
    <w:charset w:val="4D"/>
    <w:family w:val="swiss"/>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Avenir Next">
    <w:altName w:val="Calibri"/>
    <w:charset w:val="00"/>
    <w:family w:val="swiss"/>
    <w:pitch w:val="variable"/>
    <w:sig w:usb0="8000002F" w:usb1="5000204A" w:usb2="00000000" w:usb3="00000000" w:csb0="0000009B" w:csb1="00000000"/>
  </w:font>
  <w:font w:name="Avenir Next Demi Bold">
    <w:altName w:val="Calibri"/>
    <w:charset w:val="00"/>
    <w:family w:val="swiss"/>
    <w:pitch w:val="variable"/>
    <w:sig w:usb0="8000002F" w:usb1="5000204A" w:usb2="00000000" w:usb3="00000000" w:csb0="0000009B" w:csb1="00000000"/>
  </w:font>
  <w:font w:name="AvenirNextLTPro-Demi">
    <w:altName w:val="Cambria"/>
    <w:panose1 w:val="00000000000000000000"/>
    <w:charset w:val="4D"/>
    <w:family w:val="swiss"/>
    <w:notTrueType/>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venirNext LT Pro Regular">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80060690"/>
      <w:docPartObj>
        <w:docPartGallery w:val="Page Numbers (Bottom of Page)"/>
        <w:docPartUnique/>
      </w:docPartObj>
    </w:sdtPr>
    <w:sdtContent>
      <w:p w14:paraId="629552CB" w14:textId="77777777" w:rsidR="007E6107" w:rsidRDefault="007E6107" w:rsidP="001952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5961CA0" w14:textId="77777777" w:rsidR="007E6107" w:rsidRDefault="007E6107" w:rsidP="001952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E80A0" w14:textId="77777777" w:rsidR="007E6107" w:rsidRDefault="007E6107" w:rsidP="001952AB">
    <w:pPr>
      <w:pStyle w:val="Footer"/>
      <w:jc w:val="right"/>
      <w:rPr>
        <w:sz w:val="18"/>
        <w:szCs w:val="18"/>
      </w:rPr>
    </w:pPr>
  </w:p>
  <w:p w14:paraId="1CC93CD0" w14:textId="77777777" w:rsidR="007E6107" w:rsidRPr="00C61F11" w:rsidRDefault="007E6107" w:rsidP="001952AB">
    <w:pPr>
      <w:pStyle w:val="Footer"/>
      <w:jc w:val="right"/>
      <w:rPr>
        <w:sz w:val="18"/>
        <w:szCs w:val="18"/>
      </w:rPr>
    </w:pPr>
    <w:r>
      <w:rPr>
        <w:sz w:val="18"/>
        <w:szCs w:val="18"/>
      </w:rPr>
      <w:t xml:space="preserve">Stretched too far: Children and families surviving the cost of living crisis in Tasmania </w:t>
    </w:r>
    <w:r w:rsidRPr="00C61F11">
      <w:rPr>
        <w:sz w:val="18"/>
        <w:szCs w:val="18"/>
      </w:rPr>
      <w:t xml:space="preserve">| </w:t>
    </w:r>
    <w:r w:rsidRPr="00C61F11">
      <w:rPr>
        <w:rFonts w:cs="Times New Roman"/>
        <w:sz w:val="18"/>
        <w:szCs w:val="18"/>
        <w:lang w:val="en-GB"/>
      </w:rPr>
      <w:fldChar w:fldCharType="begin"/>
    </w:r>
    <w:r w:rsidRPr="00C61F11">
      <w:rPr>
        <w:rFonts w:cs="Times New Roman"/>
        <w:sz w:val="18"/>
        <w:szCs w:val="18"/>
        <w:lang w:val="en-GB"/>
      </w:rPr>
      <w:instrText xml:space="preserve"> PAGE </w:instrText>
    </w:r>
    <w:r w:rsidRPr="00C61F11">
      <w:rPr>
        <w:rFonts w:cs="Times New Roman"/>
        <w:sz w:val="18"/>
        <w:szCs w:val="18"/>
        <w:lang w:val="en-GB"/>
      </w:rPr>
      <w:fldChar w:fldCharType="separate"/>
    </w:r>
    <w:r w:rsidRPr="00C61F11">
      <w:rPr>
        <w:rFonts w:cs="Times New Roman"/>
        <w:noProof/>
        <w:sz w:val="18"/>
        <w:szCs w:val="18"/>
        <w:lang w:val="en-GB"/>
      </w:rPr>
      <w:t>2</w:t>
    </w:r>
    <w:r w:rsidRPr="00C61F11">
      <w:rPr>
        <w:rFonts w:cs="Times New Roman"/>
        <w:sz w:val="18"/>
        <w:szCs w:val="18"/>
        <w:lang w:val="en-GB"/>
      </w:rPr>
      <w:fldChar w:fldCharType="end"/>
    </w:r>
    <w:r w:rsidRPr="00C61F11">
      <w:rPr>
        <w:rFonts w:cs="Times New Roman"/>
        <w:sz w:val="18"/>
        <w:szCs w:val="18"/>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69850" w14:textId="77777777" w:rsidR="007E6107" w:rsidRDefault="007E6107">
      <w:pPr>
        <w:spacing w:before="0" w:after="0"/>
      </w:pPr>
      <w:r>
        <w:separator/>
      </w:r>
    </w:p>
  </w:footnote>
  <w:footnote w:type="continuationSeparator" w:id="0">
    <w:p w14:paraId="1ACA747E" w14:textId="77777777" w:rsidR="007E6107" w:rsidRDefault="007E610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30B"/>
    <w:multiLevelType w:val="hybridMultilevel"/>
    <w:tmpl w:val="DE4CC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0E69AD"/>
    <w:multiLevelType w:val="hybridMultilevel"/>
    <w:tmpl w:val="4B70871E"/>
    <w:lvl w:ilvl="0" w:tplc="912E3C86">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E54D18"/>
    <w:multiLevelType w:val="hybridMultilevel"/>
    <w:tmpl w:val="2DEE6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993618"/>
    <w:multiLevelType w:val="hybridMultilevel"/>
    <w:tmpl w:val="0E4A6D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E874C77"/>
    <w:multiLevelType w:val="hybridMultilevel"/>
    <w:tmpl w:val="5AAA7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075F07"/>
    <w:multiLevelType w:val="hybridMultilevel"/>
    <w:tmpl w:val="CA906F8E"/>
    <w:lvl w:ilvl="0" w:tplc="BAE20A26">
      <w:start w:val="11"/>
      <w:numFmt w:val="bullet"/>
      <w:lvlText w:val="-"/>
      <w:lvlJc w:val="left"/>
      <w:pPr>
        <w:ind w:left="720" w:hanging="360"/>
      </w:pPr>
      <w:rPr>
        <w:rFonts w:ascii="Avenir Next LT Pro" w:eastAsia="AvenirNext LT Pro Bold" w:hAnsi="Avenir Next LT Pro" w:cs="AvenirNext LT Pro Bol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707FAF"/>
    <w:multiLevelType w:val="hybridMultilevel"/>
    <w:tmpl w:val="7ADEF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A765453"/>
    <w:multiLevelType w:val="hybridMultilevel"/>
    <w:tmpl w:val="2A6E0E00"/>
    <w:lvl w:ilvl="0" w:tplc="702CC0F8">
      <w:start w:val="1"/>
      <w:numFmt w:val="decimal"/>
      <w:pStyle w:val="Bullets"/>
      <w:lvlText w:val="%1."/>
      <w:lvlJc w:val="left"/>
      <w:pPr>
        <w:ind w:left="720" w:hanging="360"/>
      </w:pPr>
      <w:rPr>
        <w:rFonts w:hint="default"/>
        <w:b/>
        <w:color w:val="ECC6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8CD7093"/>
    <w:multiLevelType w:val="hybridMultilevel"/>
    <w:tmpl w:val="2DEE6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C267938"/>
    <w:multiLevelType w:val="hybridMultilevel"/>
    <w:tmpl w:val="4D900F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FC608C5"/>
    <w:multiLevelType w:val="hybridMultilevel"/>
    <w:tmpl w:val="6114AF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67AA2B6A"/>
    <w:multiLevelType w:val="hybridMultilevel"/>
    <w:tmpl w:val="FCE6B120"/>
    <w:lvl w:ilvl="0" w:tplc="BB80C658">
      <w:numFmt w:val="bullet"/>
      <w:lvlText w:val="•"/>
      <w:lvlJc w:val="left"/>
      <w:pPr>
        <w:ind w:left="720" w:hanging="360"/>
      </w:pPr>
      <w:rPr>
        <w:rFonts w:ascii="AvenirNext LT Pro Bold" w:eastAsia="AvenirNext LT Pro Bold" w:hAnsi="AvenirNext LT Pro Bold" w:cs="AvenirNext LT Pro Bold" w:hint="default"/>
        <w:b w:val="0"/>
        <w:bCs w:val="0"/>
        <w:i w:val="0"/>
        <w:iCs w:val="0"/>
        <w:color w:val="595959" w:themeColor="text1" w:themeTint="A6"/>
        <w:w w:val="100"/>
        <w:sz w:val="24"/>
        <w:szCs w:val="24"/>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EE47336"/>
    <w:multiLevelType w:val="hybridMultilevel"/>
    <w:tmpl w:val="8124AD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F6936D2"/>
    <w:multiLevelType w:val="hybridMultilevel"/>
    <w:tmpl w:val="04AA307E"/>
    <w:lvl w:ilvl="0" w:tplc="AB70612C">
      <w:numFmt w:val="bullet"/>
      <w:lvlText w:val="•"/>
      <w:lvlJc w:val="left"/>
      <w:pPr>
        <w:ind w:left="360" w:hanging="360"/>
      </w:pPr>
      <w:rPr>
        <w:rFonts w:ascii="AvenirNext LT Pro Bold" w:eastAsia="AvenirNext LT Pro Bold" w:hAnsi="AvenirNext LT Pro Bold" w:cs="AvenirNext LT Pro Bold" w:hint="default"/>
        <w:b w:val="0"/>
        <w:bCs w:val="0"/>
        <w:i w:val="0"/>
        <w:iCs w:val="0"/>
        <w:color w:val="EFBA1C"/>
        <w:w w:val="100"/>
        <w:sz w:val="24"/>
        <w:szCs w:val="24"/>
        <w:u w:val="none"/>
        <w:lang w:val="en-US" w:eastAsia="en-US" w:bidi="ar-SA"/>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7"/>
  </w:num>
  <w:num w:numId="2">
    <w:abstractNumId w:val="11"/>
  </w:num>
  <w:num w:numId="3">
    <w:abstractNumId w:val="7"/>
    <w:lvlOverride w:ilvl="0">
      <w:startOverride w:val="1"/>
    </w:lvlOverride>
  </w:num>
  <w:num w:numId="4">
    <w:abstractNumId w:val="13"/>
  </w:num>
  <w:num w:numId="5">
    <w:abstractNumId w:val="0"/>
  </w:num>
  <w:num w:numId="6">
    <w:abstractNumId w:val="4"/>
  </w:num>
  <w:num w:numId="7">
    <w:abstractNumId w:val="5"/>
  </w:num>
  <w:num w:numId="8">
    <w:abstractNumId w:val="6"/>
  </w:num>
  <w:num w:numId="9">
    <w:abstractNumId w:val="1"/>
  </w:num>
  <w:num w:numId="10">
    <w:abstractNumId w:val="1"/>
  </w:num>
  <w:num w:numId="11">
    <w:abstractNumId w:val="2"/>
  </w:num>
  <w:num w:numId="12">
    <w:abstractNumId w:val="12"/>
  </w:num>
  <w:num w:numId="13">
    <w:abstractNumId w:val="9"/>
  </w:num>
  <w:num w:numId="14">
    <w:abstractNumId w:val="3"/>
  </w:num>
  <w:num w:numId="15">
    <w:abstractNumId w:val="10"/>
  </w:num>
  <w:num w:numId="1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lina Claxton">
    <w15:presenceInfo w15:providerId="AD" w15:userId="S-1-5-21-425619922-1794723047-43063111-50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8E5242"/>
    <w:rsid w:val="00105CDF"/>
    <w:rsid w:val="00157E8D"/>
    <w:rsid w:val="00167E8A"/>
    <w:rsid w:val="001952AB"/>
    <w:rsid w:val="0025343B"/>
    <w:rsid w:val="002D6A6A"/>
    <w:rsid w:val="00325DDF"/>
    <w:rsid w:val="0056767D"/>
    <w:rsid w:val="005F7AD3"/>
    <w:rsid w:val="0061085D"/>
    <w:rsid w:val="007E6107"/>
    <w:rsid w:val="00867219"/>
    <w:rsid w:val="008E5242"/>
    <w:rsid w:val="00A237C0"/>
    <w:rsid w:val="00A60E5A"/>
    <w:rsid w:val="00D34837"/>
    <w:rsid w:val="00DA411B"/>
    <w:rsid w:val="00DF2C42"/>
    <w:rsid w:val="00F237D4"/>
    <w:rsid w:val="00F73415"/>
    <w:rsid w:val="00F920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E05E2"/>
  <w15:chartTrackingRefBased/>
  <w15:docId w15:val="{AB5883C0-1777-4E4C-9BAE-4B6BCA7C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5242"/>
    <w:pPr>
      <w:widowControl w:val="0"/>
      <w:autoSpaceDE w:val="0"/>
      <w:autoSpaceDN w:val="0"/>
      <w:spacing w:before="120" w:after="120" w:line="240" w:lineRule="auto"/>
    </w:pPr>
    <w:rPr>
      <w:rFonts w:ascii="Avenir Next" w:eastAsia="AvenirNext LT Pro Bold" w:hAnsi="Avenir Next" w:cs="AvenirNext LT Pro Bold"/>
      <w:sz w:val="24"/>
      <w:lang w:val="en-US"/>
    </w:rPr>
  </w:style>
  <w:style w:type="paragraph" w:styleId="Heading1">
    <w:name w:val="heading 1"/>
    <w:next w:val="Normal"/>
    <w:link w:val="Heading1Char"/>
    <w:autoRedefine/>
    <w:uiPriority w:val="9"/>
    <w:qFormat/>
    <w:rsid w:val="008E5242"/>
    <w:pPr>
      <w:widowControl w:val="0"/>
      <w:autoSpaceDE w:val="0"/>
      <w:autoSpaceDN w:val="0"/>
      <w:spacing w:before="240" w:after="120" w:line="520" w:lineRule="exact"/>
      <w:ind w:right="-115"/>
      <w:outlineLvl w:val="0"/>
    </w:pPr>
    <w:rPr>
      <w:rFonts w:ascii="Avenir Next Demi Bold" w:eastAsia="AvenirNextLTPro-Demi" w:hAnsi="Avenir Next Demi Bold" w:cs="AvenirNextLTPro-Demi"/>
      <w:b/>
      <w:bCs/>
      <w:color w:val="1598CB"/>
      <w:sz w:val="48"/>
      <w:szCs w:val="48"/>
      <w:lang w:val="en-US"/>
    </w:rPr>
  </w:style>
  <w:style w:type="paragraph" w:styleId="Heading2">
    <w:name w:val="heading 2"/>
    <w:basedOn w:val="Heading1"/>
    <w:next w:val="Normal"/>
    <w:link w:val="Heading2Char"/>
    <w:autoRedefine/>
    <w:uiPriority w:val="9"/>
    <w:unhideWhenUsed/>
    <w:qFormat/>
    <w:rsid w:val="008E5242"/>
    <w:pPr>
      <w:spacing w:before="360"/>
      <w:ind w:right="169"/>
      <w:jc w:val="both"/>
      <w:outlineLvl w:val="1"/>
    </w:pPr>
    <w:rPr>
      <w:bCs w:val="0"/>
      <w:spacing w:val="-6"/>
      <w:sz w:val="36"/>
      <w:szCs w:val="36"/>
    </w:rPr>
  </w:style>
  <w:style w:type="paragraph" w:styleId="Heading3">
    <w:name w:val="heading 3"/>
    <w:basedOn w:val="Normal"/>
    <w:next w:val="Normal"/>
    <w:link w:val="Heading3Char"/>
    <w:autoRedefine/>
    <w:uiPriority w:val="9"/>
    <w:unhideWhenUsed/>
    <w:qFormat/>
    <w:rsid w:val="008E5242"/>
    <w:pPr>
      <w:spacing w:before="240" w:after="240"/>
      <w:outlineLvl w:val="2"/>
    </w:pPr>
    <w:rPr>
      <w:rFonts w:ascii="Avenir Next Demi Bold" w:hAnsi="Avenir Next Demi Bold"/>
      <w:b/>
      <w:color w:val="1598C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242"/>
    <w:rPr>
      <w:rFonts w:ascii="Avenir Next Demi Bold" w:eastAsia="AvenirNextLTPro-Demi" w:hAnsi="Avenir Next Demi Bold" w:cs="AvenirNextLTPro-Demi"/>
      <w:b/>
      <w:bCs/>
      <w:color w:val="1598CB"/>
      <w:sz w:val="48"/>
      <w:szCs w:val="48"/>
      <w:lang w:val="en-US"/>
    </w:rPr>
  </w:style>
  <w:style w:type="character" w:customStyle="1" w:styleId="Heading2Char">
    <w:name w:val="Heading 2 Char"/>
    <w:basedOn w:val="DefaultParagraphFont"/>
    <w:link w:val="Heading2"/>
    <w:uiPriority w:val="9"/>
    <w:rsid w:val="008E5242"/>
    <w:rPr>
      <w:rFonts w:ascii="Avenir Next Demi Bold" w:eastAsia="AvenirNextLTPro-Demi" w:hAnsi="Avenir Next Demi Bold" w:cs="AvenirNextLTPro-Demi"/>
      <w:b/>
      <w:color w:val="1598CB"/>
      <w:spacing w:val="-6"/>
      <w:sz w:val="36"/>
      <w:szCs w:val="36"/>
      <w:lang w:val="en-US"/>
    </w:rPr>
  </w:style>
  <w:style w:type="character" w:customStyle="1" w:styleId="Heading3Char">
    <w:name w:val="Heading 3 Char"/>
    <w:basedOn w:val="DefaultParagraphFont"/>
    <w:link w:val="Heading3"/>
    <w:uiPriority w:val="9"/>
    <w:rsid w:val="008E5242"/>
    <w:rPr>
      <w:rFonts w:ascii="Avenir Next Demi Bold" w:eastAsia="AvenirNext LT Pro Bold" w:hAnsi="Avenir Next Demi Bold" w:cs="AvenirNext LT Pro Bold"/>
      <w:b/>
      <w:color w:val="1598CB"/>
      <w:sz w:val="32"/>
      <w:szCs w:val="32"/>
      <w:lang w:val="en-US"/>
    </w:rPr>
  </w:style>
  <w:style w:type="paragraph" w:styleId="TOC1">
    <w:name w:val="toc 1"/>
    <w:basedOn w:val="Normal"/>
    <w:uiPriority w:val="39"/>
    <w:qFormat/>
    <w:rsid w:val="008E5242"/>
    <w:pPr>
      <w:spacing w:before="240"/>
    </w:pPr>
    <w:rPr>
      <w:rFonts w:asciiTheme="minorHAnsi" w:hAnsiTheme="minorHAnsi" w:cstheme="minorHAnsi"/>
      <w:b/>
      <w:bCs/>
      <w:sz w:val="20"/>
      <w:szCs w:val="20"/>
    </w:rPr>
  </w:style>
  <w:style w:type="paragraph" w:styleId="NoSpacing">
    <w:name w:val="No Spacing"/>
    <w:uiPriority w:val="1"/>
    <w:qFormat/>
    <w:rsid w:val="008E5242"/>
    <w:pPr>
      <w:widowControl w:val="0"/>
      <w:autoSpaceDE w:val="0"/>
      <w:autoSpaceDN w:val="0"/>
      <w:spacing w:after="0" w:line="240" w:lineRule="auto"/>
    </w:pPr>
    <w:rPr>
      <w:rFonts w:ascii="Avenir Next" w:eastAsia="AvenirNext LT Pro Bold" w:hAnsi="Avenir Next" w:cs="AvenirNext LT Pro Bold"/>
      <w:color w:val="575F61"/>
      <w:sz w:val="24"/>
      <w:lang w:val="en-US"/>
    </w:rPr>
  </w:style>
  <w:style w:type="paragraph" w:styleId="Title">
    <w:name w:val="Title"/>
    <w:basedOn w:val="Normal"/>
    <w:link w:val="TitleChar"/>
    <w:uiPriority w:val="10"/>
    <w:rsid w:val="00D34837"/>
    <w:pPr>
      <w:spacing w:before="75" w:line="196" w:lineRule="auto"/>
      <w:ind w:left="1127" w:right="1085"/>
      <w:jc w:val="center"/>
    </w:pPr>
    <w:rPr>
      <w:rFonts w:ascii="Avenir Next Demi Bold" w:eastAsia="AvenirNextLTPro-Demi" w:hAnsi="Avenir Next Demi Bold" w:cs="AvenirNextLTPro-Demi"/>
      <w:b/>
      <w:bCs/>
      <w:noProof/>
      <w:spacing w:val="-14"/>
      <w:sz w:val="64"/>
      <w:szCs w:val="56"/>
    </w:rPr>
  </w:style>
  <w:style w:type="character" w:customStyle="1" w:styleId="TitleChar">
    <w:name w:val="Title Char"/>
    <w:basedOn w:val="DefaultParagraphFont"/>
    <w:link w:val="Title"/>
    <w:uiPriority w:val="10"/>
    <w:rsid w:val="00D34837"/>
    <w:rPr>
      <w:rFonts w:ascii="Avenir Next Demi Bold" w:eastAsia="AvenirNextLTPro-Demi" w:hAnsi="Avenir Next Demi Bold" w:cs="AvenirNextLTPro-Demi"/>
      <w:b/>
      <w:bCs/>
      <w:noProof/>
      <w:spacing w:val="-14"/>
      <w:sz w:val="64"/>
      <w:szCs w:val="56"/>
      <w:lang w:val="en-US"/>
    </w:rPr>
  </w:style>
  <w:style w:type="paragraph" w:styleId="ListParagraph">
    <w:name w:val="List Paragraph"/>
    <w:aliases w:val="Bullets 2"/>
    <w:basedOn w:val="Normal"/>
    <w:next w:val="Normal"/>
    <w:link w:val="ListParagraphChar"/>
    <w:autoRedefine/>
    <w:uiPriority w:val="34"/>
    <w:qFormat/>
    <w:rsid w:val="00867219"/>
    <w:pPr>
      <w:widowControl/>
      <w:numPr>
        <w:numId w:val="9"/>
      </w:numPr>
      <w:autoSpaceDE/>
      <w:autoSpaceDN/>
      <w:spacing w:beforeLines="30" w:before="72" w:afterLines="30" w:after="72" w:line="259" w:lineRule="auto"/>
    </w:pPr>
    <w:rPr>
      <w:rFonts w:ascii="Avenir Next LT Pro" w:hAnsi="Avenir Next LT Pro"/>
      <w:color w:val="595959" w:themeColor="text1" w:themeTint="A6"/>
      <w:lang w:val="en-GB"/>
    </w:rPr>
  </w:style>
  <w:style w:type="paragraph" w:customStyle="1" w:styleId="TableParagraph">
    <w:name w:val="Table Paragraph"/>
    <w:basedOn w:val="Normal"/>
    <w:uiPriority w:val="1"/>
    <w:qFormat/>
    <w:rsid w:val="008E5242"/>
    <w:rPr>
      <w:rFonts w:eastAsia="AvenirNextLTPro-Demi" w:cs="AvenirNextLTPro-Demi"/>
      <w:sz w:val="20"/>
    </w:rPr>
  </w:style>
  <w:style w:type="paragraph" w:customStyle="1" w:styleId="Bullets">
    <w:name w:val="Bullets"/>
    <w:basedOn w:val="Normal"/>
    <w:next w:val="Normal"/>
    <w:autoRedefine/>
    <w:qFormat/>
    <w:rsid w:val="008E5242"/>
    <w:pPr>
      <w:numPr>
        <w:numId w:val="1"/>
      </w:numPr>
      <w:spacing w:after="0"/>
    </w:pPr>
    <w:rPr>
      <w:rFonts w:ascii="Avenir Next LT Pro" w:hAnsi="Avenir Next LT Pro"/>
      <w:color w:val="595959" w:themeColor="text1" w:themeTint="A6"/>
      <w:szCs w:val="24"/>
    </w:rPr>
  </w:style>
  <w:style w:type="paragraph" w:customStyle="1" w:styleId="Breakout">
    <w:name w:val="Breakout"/>
    <w:basedOn w:val="Normal"/>
    <w:next w:val="Normal"/>
    <w:autoRedefine/>
    <w:qFormat/>
    <w:rsid w:val="008E5242"/>
    <w:pPr>
      <w:spacing w:after="0" w:line="440" w:lineRule="exact"/>
      <w:jc w:val="center"/>
    </w:pPr>
    <w:rPr>
      <w:b/>
      <w:color w:val="0070C0"/>
      <w:spacing w:val="-2"/>
      <w:sz w:val="64"/>
      <w:szCs w:val="36"/>
    </w:rPr>
  </w:style>
  <w:style w:type="paragraph" w:styleId="TOCHeading">
    <w:name w:val="TOC Heading"/>
    <w:basedOn w:val="Heading1"/>
    <w:next w:val="Normal"/>
    <w:uiPriority w:val="39"/>
    <w:unhideWhenUsed/>
    <w:qFormat/>
    <w:rsid w:val="008E5242"/>
    <w:pPr>
      <w:keepNext/>
      <w:keepLines/>
      <w:widowControl/>
      <w:autoSpaceDE/>
      <w:autoSpaceDN/>
      <w:spacing w:before="480" w:after="0" w:line="276" w:lineRule="auto"/>
      <w:outlineLvl w:val="9"/>
    </w:pPr>
    <w:rPr>
      <w:rFonts w:asciiTheme="majorHAnsi" w:eastAsiaTheme="majorEastAsia" w:hAnsiTheme="majorHAnsi" w:cstheme="majorBidi"/>
      <w:color w:val="2F5496" w:themeColor="accent1" w:themeShade="BF"/>
      <w:sz w:val="28"/>
      <w:szCs w:val="28"/>
    </w:rPr>
  </w:style>
  <w:style w:type="paragraph" w:styleId="TOC2">
    <w:name w:val="toc 2"/>
    <w:basedOn w:val="Normal"/>
    <w:next w:val="Normal"/>
    <w:autoRedefine/>
    <w:uiPriority w:val="39"/>
    <w:unhideWhenUsed/>
    <w:rsid w:val="008E5242"/>
    <w:pPr>
      <w:spacing w:after="0"/>
      <w:ind w:left="240"/>
    </w:pPr>
    <w:rPr>
      <w:rFonts w:asciiTheme="minorHAnsi" w:hAnsiTheme="minorHAnsi" w:cstheme="minorHAnsi"/>
      <w:i/>
      <w:iCs/>
      <w:sz w:val="20"/>
      <w:szCs w:val="20"/>
    </w:rPr>
  </w:style>
  <w:style w:type="character" w:styleId="Hyperlink">
    <w:name w:val="Hyperlink"/>
    <w:basedOn w:val="DefaultParagraphFont"/>
    <w:uiPriority w:val="99"/>
    <w:unhideWhenUsed/>
    <w:rsid w:val="008E5242"/>
    <w:rPr>
      <w:rFonts w:ascii="AvenirNext LT Pro Regular" w:hAnsi="AvenirNext LT Pro Regular"/>
      <w:color w:val="0563C1" w:themeColor="hyperlink"/>
      <w:u w:val="single"/>
    </w:rPr>
  </w:style>
  <w:style w:type="paragraph" w:styleId="TOC3">
    <w:name w:val="toc 3"/>
    <w:basedOn w:val="Normal"/>
    <w:next w:val="Normal"/>
    <w:autoRedefine/>
    <w:uiPriority w:val="39"/>
    <w:unhideWhenUsed/>
    <w:rsid w:val="008E5242"/>
    <w:pPr>
      <w:spacing w:before="0"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8E5242"/>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8E5242"/>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8E5242"/>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8E5242"/>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8E5242"/>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8E5242"/>
    <w:pPr>
      <w:spacing w:before="0" w:after="0"/>
      <w:ind w:left="1920"/>
    </w:pPr>
    <w:rPr>
      <w:rFonts w:asciiTheme="minorHAnsi" w:hAnsiTheme="minorHAnsi" w:cstheme="minorHAnsi"/>
      <w:sz w:val="20"/>
      <w:szCs w:val="20"/>
    </w:rPr>
  </w:style>
  <w:style w:type="paragraph" w:styleId="Footer">
    <w:name w:val="footer"/>
    <w:basedOn w:val="Normal"/>
    <w:link w:val="FooterChar"/>
    <w:uiPriority w:val="99"/>
    <w:unhideWhenUsed/>
    <w:rsid w:val="008E5242"/>
    <w:pPr>
      <w:tabs>
        <w:tab w:val="center" w:pos="4513"/>
        <w:tab w:val="right" w:pos="9026"/>
      </w:tabs>
      <w:spacing w:before="0" w:after="0"/>
    </w:pPr>
  </w:style>
  <w:style w:type="character" w:customStyle="1" w:styleId="FooterChar">
    <w:name w:val="Footer Char"/>
    <w:basedOn w:val="DefaultParagraphFont"/>
    <w:link w:val="Footer"/>
    <w:uiPriority w:val="99"/>
    <w:rsid w:val="008E5242"/>
    <w:rPr>
      <w:rFonts w:ascii="Avenir Next" w:eastAsia="AvenirNext LT Pro Bold" w:hAnsi="Avenir Next" w:cs="AvenirNext LT Pro Bold"/>
      <w:sz w:val="24"/>
      <w:lang w:val="en-US"/>
    </w:rPr>
  </w:style>
  <w:style w:type="character" w:styleId="PageNumber">
    <w:name w:val="page number"/>
    <w:basedOn w:val="DefaultParagraphFont"/>
    <w:uiPriority w:val="99"/>
    <w:semiHidden/>
    <w:unhideWhenUsed/>
    <w:rsid w:val="008E5242"/>
    <w:rPr>
      <w:rFonts w:ascii="AvenirNext LT Pro Regular" w:hAnsi="AvenirNext LT Pro Regular"/>
    </w:rPr>
  </w:style>
  <w:style w:type="paragraph" w:styleId="Header">
    <w:name w:val="header"/>
    <w:basedOn w:val="Normal"/>
    <w:link w:val="HeaderChar"/>
    <w:uiPriority w:val="99"/>
    <w:unhideWhenUsed/>
    <w:rsid w:val="008E5242"/>
    <w:pPr>
      <w:tabs>
        <w:tab w:val="center" w:pos="4513"/>
        <w:tab w:val="right" w:pos="9026"/>
      </w:tabs>
      <w:spacing w:before="0" w:after="0"/>
    </w:pPr>
  </w:style>
  <w:style w:type="character" w:customStyle="1" w:styleId="HeaderChar">
    <w:name w:val="Header Char"/>
    <w:basedOn w:val="DefaultParagraphFont"/>
    <w:link w:val="Header"/>
    <w:uiPriority w:val="99"/>
    <w:rsid w:val="008E5242"/>
    <w:rPr>
      <w:rFonts w:ascii="Avenir Next" w:eastAsia="AvenirNext LT Pro Bold" w:hAnsi="Avenir Next" w:cs="AvenirNext LT Pro Bold"/>
      <w:sz w:val="24"/>
      <w:lang w:val="en-US"/>
    </w:rPr>
  </w:style>
  <w:style w:type="table" w:customStyle="1" w:styleId="Table">
    <w:name w:val="Table"/>
    <w:basedOn w:val="TableNormal"/>
    <w:uiPriority w:val="99"/>
    <w:rsid w:val="008E5242"/>
    <w:pPr>
      <w:spacing w:after="0" w:line="240" w:lineRule="auto"/>
    </w:pPr>
    <w:rPr>
      <w:rFonts w:ascii="Avenir Next" w:hAnsi="Avenir Next"/>
      <w:color w:val="575F61"/>
      <w:sz w:val="20"/>
      <w:lang w:val="en-US"/>
    </w:rPr>
    <w:tblPr>
      <w:tblBorders>
        <w:top w:val="single" w:sz="2" w:space="0" w:color="auto"/>
        <w:bottom w:val="single" w:sz="2" w:space="0" w:color="auto"/>
        <w:insideH w:val="single" w:sz="2" w:space="0" w:color="auto"/>
      </w:tblBorders>
    </w:tblPr>
    <w:tcPr>
      <w:shd w:val="clear" w:color="auto" w:fill="575F61"/>
      <w:vAlign w:val="center"/>
    </w:tcPr>
  </w:style>
  <w:style w:type="table" w:styleId="TableGrid">
    <w:name w:val="Table Grid"/>
    <w:basedOn w:val="TableNormal"/>
    <w:uiPriority w:val="39"/>
    <w:rsid w:val="008E524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inText">
    <w:name w:val="Title in Text"/>
    <w:basedOn w:val="Normal"/>
    <w:qFormat/>
    <w:rsid w:val="008E5242"/>
    <w:pPr>
      <w:spacing w:after="0"/>
    </w:pPr>
    <w:rPr>
      <w:rFonts w:ascii="Avenir Next Demi Bold" w:hAnsi="Avenir Next Demi Bold"/>
      <w:b/>
      <w:bCs/>
      <w:szCs w:val="24"/>
    </w:rPr>
  </w:style>
  <w:style w:type="paragraph" w:styleId="BalloonText">
    <w:name w:val="Balloon Text"/>
    <w:basedOn w:val="Normal"/>
    <w:link w:val="BalloonTextChar"/>
    <w:uiPriority w:val="99"/>
    <w:semiHidden/>
    <w:unhideWhenUsed/>
    <w:rsid w:val="008E524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242"/>
    <w:rPr>
      <w:rFonts w:ascii="Segoe UI" w:eastAsia="AvenirNext LT Pro Bold" w:hAnsi="Segoe UI" w:cs="Segoe UI"/>
      <w:sz w:val="18"/>
      <w:szCs w:val="18"/>
      <w:lang w:val="en-US"/>
    </w:rPr>
  </w:style>
  <w:style w:type="character" w:styleId="CommentReference">
    <w:name w:val="annotation reference"/>
    <w:basedOn w:val="DefaultParagraphFont"/>
    <w:uiPriority w:val="99"/>
    <w:semiHidden/>
    <w:unhideWhenUsed/>
    <w:rsid w:val="008E5242"/>
    <w:rPr>
      <w:sz w:val="16"/>
      <w:szCs w:val="16"/>
    </w:rPr>
  </w:style>
  <w:style w:type="paragraph" w:styleId="CommentText">
    <w:name w:val="annotation text"/>
    <w:basedOn w:val="Normal"/>
    <w:link w:val="CommentTextChar"/>
    <w:uiPriority w:val="99"/>
    <w:unhideWhenUsed/>
    <w:rsid w:val="008E5242"/>
    <w:rPr>
      <w:sz w:val="20"/>
      <w:szCs w:val="20"/>
    </w:rPr>
  </w:style>
  <w:style w:type="character" w:customStyle="1" w:styleId="CommentTextChar">
    <w:name w:val="Comment Text Char"/>
    <w:basedOn w:val="DefaultParagraphFont"/>
    <w:link w:val="CommentText"/>
    <w:uiPriority w:val="99"/>
    <w:rsid w:val="008E5242"/>
    <w:rPr>
      <w:rFonts w:ascii="Avenir Next" w:eastAsia="AvenirNext LT Pro Bold" w:hAnsi="Avenir Next" w:cs="AvenirNext LT Pro Bold"/>
      <w:sz w:val="20"/>
      <w:szCs w:val="20"/>
      <w:lang w:val="en-US"/>
    </w:rPr>
  </w:style>
  <w:style w:type="paragraph" w:styleId="CommentSubject">
    <w:name w:val="annotation subject"/>
    <w:basedOn w:val="CommentText"/>
    <w:next w:val="CommentText"/>
    <w:link w:val="CommentSubjectChar"/>
    <w:uiPriority w:val="99"/>
    <w:semiHidden/>
    <w:unhideWhenUsed/>
    <w:rsid w:val="008E5242"/>
    <w:rPr>
      <w:b/>
      <w:bCs/>
    </w:rPr>
  </w:style>
  <w:style w:type="character" w:customStyle="1" w:styleId="CommentSubjectChar">
    <w:name w:val="Comment Subject Char"/>
    <w:basedOn w:val="CommentTextChar"/>
    <w:link w:val="CommentSubject"/>
    <w:uiPriority w:val="99"/>
    <w:semiHidden/>
    <w:rsid w:val="008E5242"/>
    <w:rPr>
      <w:rFonts w:ascii="Avenir Next" w:eastAsia="AvenirNext LT Pro Bold" w:hAnsi="Avenir Next" w:cs="AvenirNext LT Pro Bold"/>
      <w:b/>
      <w:bCs/>
      <w:sz w:val="20"/>
      <w:szCs w:val="20"/>
      <w:lang w:val="en-US"/>
    </w:rPr>
  </w:style>
  <w:style w:type="paragraph" w:styleId="Revision">
    <w:name w:val="Revision"/>
    <w:hidden/>
    <w:uiPriority w:val="99"/>
    <w:semiHidden/>
    <w:rsid w:val="008E5242"/>
    <w:pPr>
      <w:spacing w:after="0" w:line="240" w:lineRule="auto"/>
    </w:pPr>
    <w:rPr>
      <w:rFonts w:ascii="Avenir Next" w:eastAsia="AvenirNext LT Pro Bold" w:hAnsi="Avenir Next" w:cs="AvenirNext LT Pro Bold"/>
      <w:color w:val="575F61"/>
      <w:sz w:val="24"/>
      <w:lang w:val="en-US"/>
    </w:rPr>
  </w:style>
  <w:style w:type="table" w:styleId="ListTable6Colorful-Accent1">
    <w:name w:val="List Table 6 Colorful Accent 1"/>
    <w:basedOn w:val="TableNormal"/>
    <w:uiPriority w:val="51"/>
    <w:rsid w:val="008E5242"/>
    <w:pPr>
      <w:widowControl w:val="0"/>
      <w:autoSpaceDE w:val="0"/>
      <w:autoSpaceDN w:val="0"/>
      <w:spacing w:after="0" w:line="240" w:lineRule="auto"/>
    </w:pPr>
    <w:rPr>
      <w:color w:val="2F5496" w:themeColor="accent1" w:themeShade="BF"/>
      <w:lang w:val="en-US"/>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EndNoteBibliographyTitle">
    <w:name w:val="EndNote Bibliography Title"/>
    <w:basedOn w:val="Normal"/>
    <w:link w:val="EndNoteBibliographyTitleChar"/>
    <w:rsid w:val="008E5242"/>
    <w:pPr>
      <w:spacing w:after="0"/>
      <w:jc w:val="center"/>
    </w:pPr>
    <w:rPr>
      <w:rFonts w:ascii="Avenir Next Demi Bold" w:hAnsi="Avenir Next Demi Bold"/>
      <w:noProof/>
    </w:rPr>
  </w:style>
  <w:style w:type="character" w:customStyle="1" w:styleId="EndNoteBibliographyTitleChar">
    <w:name w:val="EndNote Bibliography Title Char"/>
    <w:basedOn w:val="DefaultParagraphFont"/>
    <w:link w:val="EndNoteBibliographyTitle"/>
    <w:rsid w:val="008E5242"/>
    <w:rPr>
      <w:rFonts w:ascii="Avenir Next Demi Bold" w:eastAsia="AvenirNext LT Pro Bold" w:hAnsi="Avenir Next Demi Bold" w:cs="AvenirNext LT Pro Bold"/>
      <w:noProof/>
      <w:sz w:val="24"/>
      <w:lang w:val="en-US"/>
    </w:rPr>
  </w:style>
  <w:style w:type="paragraph" w:customStyle="1" w:styleId="EndNoteBibliography">
    <w:name w:val="EndNote Bibliography"/>
    <w:basedOn w:val="Normal"/>
    <w:link w:val="EndNoteBibliographyChar"/>
    <w:rsid w:val="008E5242"/>
    <w:rPr>
      <w:rFonts w:ascii="Avenir Next Demi Bold" w:hAnsi="Avenir Next Demi Bold"/>
      <w:noProof/>
    </w:rPr>
  </w:style>
  <w:style w:type="character" w:customStyle="1" w:styleId="EndNoteBibliographyChar">
    <w:name w:val="EndNote Bibliography Char"/>
    <w:basedOn w:val="DefaultParagraphFont"/>
    <w:link w:val="EndNoteBibliography"/>
    <w:rsid w:val="008E5242"/>
    <w:rPr>
      <w:rFonts w:ascii="Avenir Next Demi Bold" w:eastAsia="AvenirNext LT Pro Bold" w:hAnsi="Avenir Next Demi Bold" w:cs="AvenirNext LT Pro Bold"/>
      <w:noProof/>
      <w:sz w:val="24"/>
      <w:lang w:val="en-US"/>
    </w:rPr>
  </w:style>
  <w:style w:type="paragraph" w:styleId="IntenseQuote">
    <w:name w:val="Intense Quote"/>
    <w:basedOn w:val="Normal"/>
    <w:next w:val="Normal"/>
    <w:link w:val="IntenseQuoteChar"/>
    <w:uiPriority w:val="30"/>
    <w:qFormat/>
    <w:rsid w:val="008E524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E5242"/>
    <w:rPr>
      <w:rFonts w:ascii="Avenir Next" w:eastAsia="AvenirNext LT Pro Bold" w:hAnsi="Avenir Next" w:cs="AvenirNext LT Pro Bold"/>
      <w:i/>
      <w:iCs/>
      <w:color w:val="4472C4" w:themeColor="accent1"/>
      <w:sz w:val="24"/>
      <w:lang w:val="en-US"/>
    </w:rPr>
  </w:style>
  <w:style w:type="character" w:styleId="IntenseReference">
    <w:name w:val="Intense Reference"/>
    <w:basedOn w:val="DefaultParagraphFont"/>
    <w:uiPriority w:val="32"/>
    <w:qFormat/>
    <w:rsid w:val="008E5242"/>
    <w:rPr>
      <w:b/>
      <w:bCs/>
      <w:smallCaps/>
      <w:color w:val="4472C4" w:themeColor="accent1"/>
      <w:spacing w:val="5"/>
    </w:rPr>
  </w:style>
  <w:style w:type="paragraph" w:styleId="FootnoteText">
    <w:name w:val="footnote text"/>
    <w:basedOn w:val="Normal"/>
    <w:link w:val="FootnoteTextChar"/>
    <w:uiPriority w:val="99"/>
    <w:semiHidden/>
    <w:unhideWhenUsed/>
    <w:rsid w:val="008E5242"/>
    <w:pPr>
      <w:spacing w:before="0" w:after="0"/>
    </w:pPr>
    <w:rPr>
      <w:sz w:val="20"/>
      <w:szCs w:val="20"/>
    </w:rPr>
  </w:style>
  <w:style w:type="character" w:customStyle="1" w:styleId="FootnoteTextChar">
    <w:name w:val="Footnote Text Char"/>
    <w:basedOn w:val="DefaultParagraphFont"/>
    <w:link w:val="FootnoteText"/>
    <w:uiPriority w:val="99"/>
    <w:semiHidden/>
    <w:rsid w:val="008E5242"/>
    <w:rPr>
      <w:rFonts w:ascii="Avenir Next" w:eastAsia="AvenirNext LT Pro Bold" w:hAnsi="Avenir Next" w:cs="AvenirNext LT Pro Bold"/>
      <w:sz w:val="20"/>
      <w:szCs w:val="20"/>
      <w:lang w:val="en-US"/>
    </w:rPr>
  </w:style>
  <w:style w:type="character" w:styleId="FootnoteReference">
    <w:name w:val="footnote reference"/>
    <w:basedOn w:val="DefaultParagraphFont"/>
    <w:uiPriority w:val="99"/>
    <w:semiHidden/>
    <w:unhideWhenUsed/>
    <w:rsid w:val="008E5242"/>
    <w:rPr>
      <w:vertAlign w:val="superscript"/>
    </w:rPr>
  </w:style>
  <w:style w:type="paragraph" w:styleId="NormalWeb">
    <w:name w:val="Normal (Web)"/>
    <w:basedOn w:val="Normal"/>
    <w:uiPriority w:val="99"/>
    <w:unhideWhenUsed/>
    <w:rsid w:val="008E5242"/>
    <w:pPr>
      <w:widowControl/>
      <w:autoSpaceDE/>
      <w:autoSpaceDN/>
      <w:spacing w:before="100" w:beforeAutospacing="1" w:after="100" w:afterAutospacing="1"/>
    </w:pPr>
    <w:rPr>
      <w:rFonts w:ascii="Times New Roman" w:eastAsiaTheme="minorEastAsia" w:hAnsi="Times New Roman" w:cs="Times New Roman"/>
      <w:szCs w:val="24"/>
      <w:lang w:val="en-AU" w:eastAsia="en-AU"/>
    </w:rPr>
  </w:style>
  <w:style w:type="character" w:styleId="UnresolvedMention">
    <w:name w:val="Unresolved Mention"/>
    <w:basedOn w:val="DefaultParagraphFont"/>
    <w:uiPriority w:val="99"/>
    <w:semiHidden/>
    <w:unhideWhenUsed/>
    <w:rsid w:val="008E5242"/>
    <w:rPr>
      <w:color w:val="605E5C"/>
      <w:shd w:val="clear" w:color="auto" w:fill="E1DFDD"/>
    </w:rPr>
  </w:style>
  <w:style w:type="character" w:styleId="FollowedHyperlink">
    <w:name w:val="FollowedHyperlink"/>
    <w:basedOn w:val="DefaultParagraphFont"/>
    <w:uiPriority w:val="99"/>
    <w:semiHidden/>
    <w:unhideWhenUsed/>
    <w:rsid w:val="008E5242"/>
    <w:rPr>
      <w:color w:val="954F72" w:themeColor="followedHyperlink"/>
      <w:u w:val="single"/>
    </w:rPr>
  </w:style>
  <w:style w:type="character" w:styleId="Emphasis">
    <w:name w:val="Emphasis"/>
    <w:basedOn w:val="DefaultParagraphFont"/>
    <w:uiPriority w:val="20"/>
    <w:qFormat/>
    <w:rsid w:val="008E5242"/>
    <w:rPr>
      <w:i/>
      <w:iCs/>
    </w:rPr>
  </w:style>
  <w:style w:type="character" w:styleId="SubtleEmphasis">
    <w:name w:val="Subtle Emphasis"/>
    <w:basedOn w:val="DefaultParagraphFont"/>
    <w:uiPriority w:val="19"/>
    <w:qFormat/>
    <w:rsid w:val="008E5242"/>
    <w:rPr>
      <w:i/>
      <w:iCs/>
      <w:color w:val="404040" w:themeColor="text1" w:themeTint="BF"/>
    </w:rPr>
  </w:style>
  <w:style w:type="character" w:customStyle="1" w:styleId="ListParagraphChar">
    <w:name w:val="List Paragraph Char"/>
    <w:aliases w:val="Bullets 2 Char"/>
    <w:basedOn w:val="DefaultParagraphFont"/>
    <w:link w:val="ListParagraph"/>
    <w:uiPriority w:val="34"/>
    <w:rsid w:val="00867219"/>
    <w:rPr>
      <w:rFonts w:ascii="Avenir Next LT Pro" w:eastAsia="AvenirNext LT Pro Bold" w:hAnsi="Avenir Next LT Pro" w:cs="AvenirNext LT Pro Bold"/>
      <w:color w:val="595959" w:themeColor="text1" w:themeTint="A6"/>
      <w:sz w:val="24"/>
      <w:lang w:val="en-GB"/>
    </w:rPr>
  </w:style>
  <w:style w:type="paragraph" w:styleId="Subtitle">
    <w:name w:val="Subtitle"/>
    <w:basedOn w:val="Title"/>
    <w:next w:val="Normal"/>
    <w:link w:val="SubtitleChar"/>
    <w:uiPriority w:val="11"/>
    <w:qFormat/>
    <w:rsid w:val="00D34837"/>
    <w:rPr>
      <w:sz w:val="52"/>
      <w:szCs w:val="52"/>
    </w:rPr>
  </w:style>
  <w:style w:type="character" w:customStyle="1" w:styleId="SubtitleChar">
    <w:name w:val="Subtitle Char"/>
    <w:basedOn w:val="DefaultParagraphFont"/>
    <w:link w:val="Subtitle"/>
    <w:uiPriority w:val="11"/>
    <w:rsid w:val="00D34837"/>
    <w:rPr>
      <w:rFonts w:ascii="Avenir Next Demi Bold" w:eastAsia="AvenirNextLTPro-Demi" w:hAnsi="Avenir Next Demi Bold" w:cs="AvenirNextLTPro-Demi"/>
      <w:b/>
      <w:bCs/>
      <w:noProof/>
      <w:spacing w:val="-14"/>
      <w:sz w:val="52"/>
      <w:szCs w:val="52"/>
      <w:lang w:val="en-US"/>
    </w:rPr>
  </w:style>
  <w:style w:type="character" w:styleId="PlaceholderText">
    <w:name w:val="Placeholder Text"/>
    <w:basedOn w:val="DefaultParagraphFont"/>
    <w:uiPriority w:val="99"/>
    <w:semiHidden/>
    <w:rsid w:val="00F237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ph.gov.au/Parliamentary_Business/Committees/House/Social_Policy_and_Legal_Affairs/Familyviolence/Submissions" TargetMode="External"/><Relationship Id="rId21" Type="http://schemas.openxmlformats.org/officeDocument/2006/relationships/image" Target="media/image9.png"/><Relationship Id="rId42" Type="http://schemas.openxmlformats.org/officeDocument/2006/relationships/hyperlink" Target="https://www.anglicare.asn.au/publications/2024-rental-affordability-snapshot" TargetMode="External"/><Relationship Id="rId47" Type="http://schemas.openxmlformats.org/officeDocument/2006/relationships/hyperlink" Target="https://aifs.gov.au/research/research-reports/what-is-family" TargetMode="External"/><Relationship Id="rId63" Type="http://schemas.openxmlformats.org/officeDocument/2006/relationships/hyperlink" Target="https://www.acecqa.gov.au/latest-news/blog/it-takes-village-raise-child-role-community-part-2" TargetMode="External"/><Relationship Id="rId68" Type="http://schemas.openxmlformats.org/officeDocument/2006/relationships/hyperlink" Target="https://harvardcenter.wpenginepowered.com/wp-content/uploads/2020/06/wp15_health_FINALv2.pdf" TargetMode="External"/><Relationship Id="rId84" Type="http://schemas.openxmlformats.org/officeDocument/2006/relationships/hyperlink" Target="https://ministers.treasury.gov.au/ministers/stephen-jones-2022/media-releases/government-introduces-consumer-protections-buy-now-pay" TargetMode="External"/><Relationship Id="rId89" Type="http://schemas.openxmlformats.org/officeDocument/2006/relationships/hyperlink" Target="https://www.womenagainstabuse.org/education-resources/the-language-we-use" TargetMode="External"/><Relationship Id="rId16" Type="http://schemas.openxmlformats.org/officeDocument/2006/relationships/image" Target="media/image6.png"/><Relationship Id="rId11" Type="http://schemas.openxmlformats.org/officeDocument/2006/relationships/image" Target="media/image2.png"/><Relationship Id="rId32" Type="http://schemas.openxmlformats.org/officeDocument/2006/relationships/hyperlink" Target="https://www.abs.gov.au/statistics/economy/price-indexes-and-inflation/consumer-price-index-australia/latest-release" TargetMode="External"/><Relationship Id="rId37" Type="http://schemas.openxmlformats.org/officeDocument/2006/relationships/hyperlink" Target="https://www.aihw.gov.au/reports/children-youth/australias-children/contents/housing/housing-stress" TargetMode="External"/><Relationship Id="rId53" Type="http://schemas.openxmlformats.org/officeDocument/2006/relationships/hyperlink" Target="https://medicalcostsfinder.health.gov.au/services/G23/oh?term=GP&amp;postcode=7000&amp;filters%5Bcurrent%5D=2&amp;specialty=019999" TargetMode="External"/><Relationship Id="rId58" Type="http://schemas.openxmlformats.org/officeDocument/2006/relationships/hyperlink" Target="https://www.healthdirect.gov.au/financial-stress" TargetMode="External"/><Relationship Id="rId74" Type="http://schemas.openxmlformats.org/officeDocument/2006/relationships/hyperlink" Target="https://www.rch.org.au/kidsinfo/fact_sheets/Nutrition_older_children" TargetMode="External"/><Relationship Id="rId79" Type="http://schemas.openxmlformats.org/officeDocument/2006/relationships/hyperlink" Target="https://www.homestasmania.com.au/__data/assets/pdf_file/0028/276931/230265_Homes_Tas_Strategy_document_wcag.pdf" TargetMode="External"/><Relationship Id="rId5" Type="http://schemas.openxmlformats.org/officeDocument/2006/relationships/footnotes" Target="footnotes.xml"/><Relationship Id="rId90" Type="http://schemas.openxmlformats.org/officeDocument/2006/relationships/fontTable" Target="fontTable.xml"/><Relationship Id="rId22" Type="http://schemas.openxmlformats.org/officeDocument/2006/relationships/image" Target="media/image10.png"/><Relationship Id="rId27" Type="http://schemas.openxmlformats.org/officeDocument/2006/relationships/hyperlink" Target="https://www.abs.gov.au/statistics/economy/finance/household-expenditure-survey-australia-summary-results/latest-release" TargetMode="External"/><Relationship Id="rId43" Type="http://schemas.openxmlformats.org/officeDocument/2006/relationships/hyperlink" Target="https://www.aph.gov.au/Parliamentary_Business/Committees/House/Social_Policy_and_Legal_Affairs/Familyviolence/Submissions" TargetMode="External"/><Relationship Id="rId48" Type="http://schemas.openxmlformats.org/officeDocument/2006/relationships/hyperlink" Target="https://childcomm.tas.gov.au/resource/nowhere-else-to-go-young-peoples-views-on-homelessness" TargetMode="External"/><Relationship Id="rId64" Type="http://schemas.openxmlformats.org/officeDocument/2006/relationships/hyperlink" Target="https://mhct.org/wp-content/uploads/2023/07/MHCT-Access-and-Affordability-Report-2.pdf" TargetMode="External"/><Relationship Id="rId69" Type="http://schemas.openxmlformats.org/officeDocument/2006/relationships/hyperlink" Target="https://www.pc.gov.au/ongoing/report-on-government-services/2024/health" TargetMode="External"/><Relationship Id="rId8" Type="http://schemas.openxmlformats.org/officeDocument/2006/relationships/footer" Target="footer2.xml"/><Relationship Id="rId51" Type="http://schemas.openxmlformats.org/officeDocument/2006/relationships/hyperlink" Target="https://www.mbsonline.gov.au/internet/mbsonline/publishing.nsf/Content/news-240701" TargetMode="External"/><Relationship Id="rId72" Type="http://schemas.openxmlformats.org/officeDocument/2006/relationships/hyperlink" Target="https://www.rba.gov.au/monetary-policy/about.html" TargetMode="External"/><Relationship Id="rId80" Type="http://schemas.openxmlformats.org/officeDocument/2006/relationships/hyperlink" Target="https://www.premier.tas.gov.au/budget-2024/budget-overview" TargetMode="External"/><Relationship Id="rId85" Type="http://schemas.openxmlformats.org/officeDocument/2006/relationships/hyperlink" Target="https://www.rba.gov.au/publications/bulletin/2024/apr/cash-rate-pass-through-to-outstanding-mortgage-rates.html"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2.xml"/><Relationship Id="rId25" Type="http://schemas.openxmlformats.org/officeDocument/2006/relationships/image" Target="media/image12.png"/><Relationship Id="rId33" Type="http://schemas.openxmlformats.org/officeDocument/2006/relationships/hyperlink" Target="https://www.afsa.gov.au/about-us/corporate-information/key-documents/vulnerability-framework" TargetMode="External"/><Relationship Id="rId38" Type="http://schemas.openxmlformats.org/officeDocument/2006/relationships/hyperlink" Target="https://www.aihw.gov.au/reports/housing-assistance/housing-assistance-in-australia-2023/contents-2023/suitability-of-dwelling-size" TargetMode="External"/><Relationship Id="rId46" Type="http://schemas.openxmlformats.org/officeDocument/2006/relationships/hyperlink" Target="https://www.vichealth.vic.gov.au/resources/resource-download/high-inflation-and-implications-for-health" TargetMode="External"/><Relationship Id="rId59" Type="http://schemas.openxmlformats.org/officeDocument/2006/relationships/hyperlink" Target="https://homelessnessaustralia.org.au/advocacy/child-homelessness-snapshot-2024" TargetMode="External"/><Relationship Id="rId67" Type="http://schemas.openxmlformats.org/officeDocument/2006/relationships/hyperlink" Target="https://ndh.org.au/debt-solutions/what-is-financial-hardship-and-what-are-your-rights" TargetMode="External"/><Relationship Id="rId20" Type="http://schemas.openxmlformats.org/officeDocument/2006/relationships/image" Target="media/image8.png"/><Relationship Id="rId41" Type="http://schemas.openxmlformats.org/officeDocument/2006/relationships/hyperlink" Target="https://www.ama.com.au/health-is-the-best-investment" TargetMode="External"/><Relationship Id="rId54" Type="http://schemas.openxmlformats.org/officeDocument/2006/relationships/hyperlink" Target="https://www.dss.gov.au/the-national-plan-to-end-violence-against-women-and-children/executive-summary-of-the-national-plan" TargetMode="External"/><Relationship Id="rId62" Type="http://schemas.openxmlformats.org/officeDocument/2006/relationships/hyperlink" Target="https://kpmg.com/au/en/home/insights/2024/06/residential-property-market-outlook.html" TargetMode="External"/><Relationship Id="rId70" Type="http://schemas.openxmlformats.org/officeDocument/2006/relationships/hyperlink" Target="https://www.racgp.org.au/running-a-practice/practice-resources/medicare/medicare-benefits-schedule/indexation-and-medicare-benefits-schedule-updates" TargetMode="External"/><Relationship Id="rId75" Type="http://schemas.openxmlformats.org/officeDocument/2006/relationships/hyperlink" Target="https://sgsep.com.au/projects/rental-affordability-index" TargetMode="External"/><Relationship Id="rId83" Type="http://schemas.openxmlformats.org/officeDocument/2006/relationships/hyperlink" Target="https://www.lawyersweekly.com.au/politics/39873-how-the-cost-of-living-crisis-is-keeping-victims-of-financial-abuse-from-leaving" TargetMode="External"/><Relationship Id="rId88" Type="http://schemas.openxmlformats.org/officeDocument/2006/relationships/hyperlink" Target="https://www.finder.com.au/home-loans/home-loan-calculators/home-loan-repayment-calculator" TargetMode="External"/><Relationship Id="rId9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hyperlink" Target="https://www.anglicare-tas.org.au/research/buy-now-struggle-later/" TargetMode="External"/><Relationship Id="rId28" Type="http://schemas.openxmlformats.org/officeDocument/2006/relationships/hyperlink" Target="https://www.abs.gov.au/statistics/economy/price-indexes-and-inflation/residential-property-price-indexes-eight-capital-cities/latest-release" TargetMode="External"/><Relationship Id="rId36" Type="http://schemas.openxmlformats.org/officeDocument/2006/relationships/hyperlink" Target="https://www.aihw.gov.au/reports/children-youth/australias-children/contents/income-finance-employment/family-economic-situation" TargetMode="External"/><Relationship Id="rId49" Type="http://schemas.openxmlformats.org/officeDocument/2006/relationships/hyperlink" Target="https://theconversation.com/australias-child-support-system-can-put-single-mothers-at-risk-of-poverty-and-financial-abuse-240917" TargetMode="External"/><Relationship Id="rId57" Type="http://schemas.openxmlformats.org/officeDocument/2006/relationships/hyperlink" Target="https://cleanbill.com.au/2024/01/cleanbill-blue-report-2024" TargetMode="External"/><Relationship Id="rId10" Type="http://schemas.openxmlformats.org/officeDocument/2006/relationships/image" Target="media/image1.png"/><Relationship Id="rId31" Type="http://schemas.openxmlformats.org/officeDocument/2006/relationships/hyperlink" Target="https://www.abs.gov.au/media-centre/media-releases/monthly-cpi-indicator-rose-35-year-july-2024" TargetMode="External"/><Relationship Id="rId44" Type="http://schemas.openxmlformats.org/officeDocument/2006/relationships/hyperlink" Target="https://www.oraclepsychology.com.au/uploads/4/4/8/3/44838937/24-25-aps-suggested-fee-schedule.pdf" TargetMode="External"/><Relationship Id="rId52" Type="http://schemas.openxmlformats.org/officeDocument/2006/relationships/hyperlink" Target="https://www9.health.gov.au/mbs/fullDisplay.cfm?type=item&amp;q=80110" TargetMode="External"/><Relationship Id="rId60" Type="http://schemas.openxmlformats.org/officeDocument/2006/relationships/hyperlink" Target="https://www.homestasmania.com.au/about-us/Publications/housing-dashboard" TargetMode="External"/><Relationship Id="rId65" Type="http://schemas.openxmlformats.org/officeDocument/2006/relationships/hyperlink" Target="https://www.examiner.com.au/story/8508443/one-third-of-tasmanians-forego-medical-care-due-to-costs" TargetMode="External"/><Relationship Id="rId73" Type="http://schemas.openxmlformats.org/officeDocument/2006/relationships/hyperlink" Target="https://www.rba.gov.au/statistics/interest-rates" TargetMode="External"/><Relationship Id="rId78" Type="http://schemas.openxmlformats.org/officeDocument/2006/relationships/hyperlink" Target="https://www.safefromviolence.tas.gov.au/__data/assets/pdf_file/0030/365790/Survivors-at-the-Centre-Responding-and-Reporting-2023.pdf" TargetMode="External"/><Relationship Id="rId81" Type="http://schemas.openxmlformats.org/officeDocument/2006/relationships/hyperlink" Target="https://tas.liberal.org.au/doubling-our-healthy-school-lunches-program" TargetMode="External"/><Relationship Id="rId86" Type="http://schemas.openxmlformats.org/officeDocument/2006/relationships/hyperlink" Target="https://melbourneinstitute.unimelb.edu.au/news/news/old/2021/majority-of-australians-are-at-risk-of-financial-vulnerability" TargetMode="External"/><Relationship Id="rId4" Type="http://schemas.openxmlformats.org/officeDocument/2006/relationships/webSettings" Target="webSettings.xml"/><Relationship Id="rId9" Type="http://schemas.openxmlformats.org/officeDocument/2006/relationships/hyperlink" Target="https://melbourneinstitute.unimelb.edu.au/publications/poverty-lines" TargetMode="External"/><Relationship Id="rId13" Type="http://schemas.openxmlformats.org/officeDocument/2006/relationships/image" Target="media/image3.png"/><Relationship Id="rId18" Type="http://schemas.openxmlformats.org/officeDocument/2006/relationships/chart" Target="charts/chart3.xml"/><Relationship Id="rId39" Type="http://schemas.openxmlformats.org/officeDocument/2006/relationships/hyperlink" Target="https://www.aihw.gov.au/reports/homelessness-services/specialist-homelessness-services-annual-report/contents/state-and-territory-summary-data-and-fact-sheets" TargetMode="External"/><Relationship Id="rId34" Type="http://schemas.openxmlformats.org/officeDocument/2006/relationships/hyperlink" Target="https://www.ahuri.edu.au/sites/default/files/migration/documents/AHURI_RAP_Issue_171_What-impact-does-a-childs-housing-have-on-their-development-and-wellbeing.pdf" TargetMode="External"/><Relationship Id="rId50" Type="http://schemas.openxmlformats.org/officeDocument/2006/relationships/hyperlink" Target="https://www.health.gov.au/resources/publications/national-action-plan-for-the-health-of-children-and-young-people-2020-2030" TargetMode="External"/><Relationship Id="rId55" Type="http://schemas.openxmlformats.org/officeDocument/2006/relationships/hyperlink" Target="https://aifs.gov.au/research/family-matters/no-83/financial-disadvantage-and-childrens-school-readiness" TargetMode="External"/><Relationship Id="rId76" Type="http://schemas.openxmlformats.org/officeDocument/2006/relationships/hyperlink" Target="https://sheltertas.org.au/fact-sheets" TargetMode="External"/><Relationship Id="rId7" Type="http://schemas.openxmlformats.org/officeDocument/2006/relationships/footer" Target="footer1.xml"/><Relationship Id="rId71" Type="http://schemas.openxmlformats.org/officeDocument/2006/relationships/hyperlink" Target="https://www.rba.gov.au/media-releases/2022/mr-22-12.html" TargetMode="External"/><Relationship Id="rId92" Type="http://schemas.openxmlformats.org/officeDocument/2006/relationships/glossaryDocument" Target="glossary/document.xml"/><Relationship Id="rId2" Type="http://schemas.openxmlformats.org/officeDocument/2006/relationships/styles" Target="styles.xml"/><Relationship Id="rId29" Type="http://schemas.openxmlformats.org/officeDocument/2006/relationships/hyperlink" Target="https://www.abs.gov.au/census/find-census-data/search-by-area" TargetMode="External"/><Relationship Id="rId24" Type="http://schemas.openxmlformats.org/officeDocument/2006/relationships/image" Target="media/image11.png"/><Relationship Id="rId40" Type="http://schemas.openxmlformats.org/officeDocument/2006/relationships/hyperlink" Target="https://www.ama.com.au/articles/why-medicare-indexation-matters" TargetMode="External"/><Relationship Id="rId45" Type="http://schemas.openxmlformats.org/officeDocument/2006/relationships/hyperlink" Target="https://www.aracy.org.au/documents/item/700" TargetMode="External"/><Relationship Id="rId66" Type="http://schemas.openxmlformats.org/officeDocument/2006/relationships/hyperlink" Target="https://valuingchildreninitiative.com.au/assets/uploads/documents/colab-poverty-and-the-developing-child-research-overview-2017.pdf" TargetMode="External"/><Relationship Id="rId87" Type="http://schemas.openxmlformats.org/officeDocument/2006/relationships/hyperlink" Target="https://melbourneinstitute.unimelb.edu.au/publications/poverty-lines" TargetMode="External"/><Relationship Id="rId61" Type="http://schemas.openxmlformats.org/officeDocument/2006/relationships/hyperlink" Target="https://www.schoolfoodmatters.org.au/school-lunch-project/evaluation" TargetMode="External"/><Relationship Id="rId82" Type="http://schemas.openxmlformats.org/officeDocument/2006/relationships/hyperlink" Target="https://aifs.gov.au/research/family-matters/no-91/housing-and-childrens-wellbeing-and-development" TargetMode="External"/><Relationship Id="rId19" Type="http://schemas.openxmlformats.org/officeDocument/2006/relationships/image" Target="media/image7.png"/><Relationship Id="rId14" Type="http://schemas.openxmlformats.org/officeDocument/2006/relationships/image" Target="media/image4.png"/><Relationship Id="rId30" Type="http://schemas.openxmlformats.org/officeDocument/2006/relationships/hyperlink" Target="https://www.abs.gov.au/statistics/labour/earnings-and-working-conditions/average-weekly-earnings-australia/latest-release" TargetMode="External"/><Relationship Id="rId35" Type="http://schemas.openxmlformats.org/officeDocument/2006/relationships/hyperlink" Target="https://www.aihw.gov.au/reports/children-youth/homelessness-and-overcrowding" TargetMode="External"/><Relationship Id="rId56" Type="http://schemas.openxmlformats.org/officeDocument/2006/relationships/hyperlink" Target="https://reports.foodbank.org.au/foodbank-hunger-report-2023" TargetMode="External"/><Relationship Id="rId77" Type="http://schemas.openxmlformats.org/officeDocument/2006/relationships/hyperlink" Target="https://sqmresearch.com.au/index_property.php"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2024\Stretched%20too%20far\4%20Writing\Spreadsheets%20for%20Graphic%20Designers\Figure%201%20-%20Consumer%20Price%20Index%20(CPI)%20June%202014-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2024\Winter%20cost%20of%20living\3%20Research\3.%20Data%20Analysis\Vacancy%20Rate%20-%20Char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Sheet1!$B$7</c:f>
              <c:strCache>
                <c:ptCount val="1"/>
                <c:pt idx="0">
                  <c:v>Annual change (%)</c:v>
                </c:pt>
              </c:strCache>
            </c:strRef>
          </c:tx>
          <c:spPr>
            <a:ln w="28575" cap="rnd">
              <a:solidFill>
                <a:schemeClr val="accent1"/>
              </a:solidFill>
              <a:round/>
            </a:ln>
            <a:effectLst/>
          </c:spPr>
          <c:marker>
            <c:symbol val="none"/>
          </c:marker>
          <c:cat>
            <c:strRef>
              <c:f>Sheet1!$A$8:$A$48</c:f>
              <c:strCache>
                <c:ptCount val="41"/>
                <c:pt idx="0">
                  <c:v>Jun-14</c:v>
                </c:pt>
                <c:pt idx="1">
                  <c:v>Sep-14</c:v>
                </c:pt>
                <c:pt idx="2">
                  <c:v>Dec-14</c:v>
                </c:pt>
                <c:pt idx="3">
                  <c:v>Mar-15</c:v>
                </c:pt>
                <c:pt idx="4">
                  <c:v>Jun-15</c:v>
                </c:pt>
                <c:pt idx="5">
                  <c:v>Sep-15</c:v>
                </c:pt>
                <c:pt idx="6">
                  <c:v>Dec-15</c:v>
                </c:pt>
                <c:pt idx="7">
                  <c:v>Mar-16</c:v>
                </c:pt>
                <c:pt idx="8">
                  <c:v>Jun-16</c:v>
                </c:pt>
                <c:pt idx="9">
                  <c:v>Sep-16</c:v>
                </c:pt>
                <c:pt idx="10">
                  <c:v>Dec-16</c:v>
                </c:pt>
                <c:pt idx="11">
                  <c:v>Mar-17</c:v>
                </c:pt>
                <c:pt idx="12">
                  <c:v>Jun-17</c:v>
                </c:pt>
                <c:pt idx="13">
                  <c:v>Sep-17</c:v>
                </c:pt>
                <c:pt idx="14">
                  <c:v>Dec-17</c:v>
                </c:pt>
                <c:pt idx="15">
                  <c:v>Mar-18</c:v>
                </c:pt>
                <c:pt idx="16">
                  <c:v>Jun-18</c:v>
                </c:pt>
                <c:pt idx="17">
                  <c:v>Sep-18</c:v>
                </c:pt>
                <c:pt idx="18">
                  <c:v>Dec-18</c:v>
                </c:pt>
                <c:pt idx="19">
                  <c:v>Mar-19</c:v>
                </c:pt>
                <c:pt idx="20">
                  <c:v>Jun-19</c:v>
                </c:pt>
                <c:pt idx="21">
                  <c:v>Sep-19</c:v>
                </c:pt>
                <c:pt idx="22">
                  <c:v>Dec-19</c:v>
                </c:pt>
                <c:pt idx="23">
                  <c:v>Mar-20</c:v>
                </c:pt>
                <c:pt idx="24">
                  <c:v>Jun-20</c:v>
                </c:pt>
                <c:pt idx="25">
                  <c:v>Sep-20</c:v>
                </c:pt>
                <c:pt idx="26">
                  <c:v>Dec-20</c:v>
                </c:pt>
                <c:pt idx="27">
                  <c:v>Mar-21</c:v>
                </c:pt>
                <c:pt idx="28">
                  <c:v>Jun-21</c:v>
                </c:pt>
                <c:pt idx="29">
                  <c:v>Sep-21</c:v>
                </c:pt>
                <c:pt idx="30">
                  <c:v>Dec-21</c:v>
                </c:pt>
                <c:pt idx="31">
                  <c:v>Mar-22</c:v>
                </c:pt>
                <c:pt idx="32">
                  <c:v>Jun-22</c:v>
                </c:pt>
                <c:pt idx="33">
                  <c:v>Sep-22</c:v>
                </c:pt>
                <c:pt idx="34">
                  <c:v>Dec-22</c:v>
                </c:pt>
                <c:pt idx="35">
                  <c:v>Mar-23</c:v>
                </c:pt>
                <c:pt idx="36">
                  <c:v>Jun-23</c:v>
                </c:pt>
                <c:pt idx="37">
                  <c:v>Sep-23</c:v>
                </c:pt>
                <c:pt idx="38">
                  <c:v>Dec-23</c:v>
                </c:pt>
                <c:pt idx="39">
                  <c:v>Mar-24</c:v>
                </c:pt>
                <c:pt idx="40">
                  <c:v>Jun-24</c:v>
                </c:pt>
              </c:strCache>
            </c:strRef>
          </c:cat>
          <c:val>
            <c:numRef>
              <c:f>Sheet1!$B$8:$B$48</c:f>
              <c:numCache>
                <c:formatCode>#,##0.0</c:formatCode>
                <c:ptCount val="41"/>
                <c:pt idx="0">
                  <c:v>3</c:v>
                </c:pt>
                <c:pt idx="1">
                  <c:v>2.2999999999999998</c:v>
                </c:pt>
                <c:pt idx="2">
                  <c:v>1.7</c:v>
                </c:pt>
                <c:pt idx="3">
                  <c:v>1.3</c:v>
                </c:pt>
                <c:pt idx="4">
                  <c:v>1.5</c:v>
                </c:pt>
                <c:pt idx="5">
                  <c:v>1.5</c:v>
                </c:pt>
                <c:pt idx="6">
                  <c:v>1.7</c:v>
                </c:pt>
                <c:pt idx="7">
                  <c:v>1.3</c:v>
                </c:pt>
                <c:pt idx="8">
                  <c:v>1</c:v>
                </c:pt>
                <c:pt idx="9">
                  <c:v>1.3</c:v>
                </c:pt>
                <c:pt idx="10">
                  <c:v>1.5</c:v>
                </c:pt>
                <c:pt idx="11">
                  <c:v>2.1</c:v>
                </c:pt>
                <c:pt idx="12">
                  <c:v>1.9</c:v>
                </c:pt>
                <c:pt idx="13">
                  <c:v>1.8</c:v>
                </c:pt>
                <c:pt idx="14">
                  <c:v>1.9</c:v>
                </c:pt>
                <c:pt idx="15">
                  <c:v>1.9</c:v>
                </c:pt>
                <c:pt idx="16">
                  <c:v>2.1</c:v>
                </c:pt>
                <c:pt idx="17">
                  <c:v>1.9</c:v>
                </c:pt>
                <c:pt idx="18">
                  <c:v>1.8</c:v>
                </c:pt>
                <c:pt idx="19">
                  <c:v>1.3</c:v>
                </c:pt>
                <c:pt idx="20">
                  <c:v>1.6</c:v>
                </c:pt>
                <c:pt idx="21">
                  <c:v>1.7</c:v>
                </c:pt>
                <c:pt idx="22">
                  <c:v>1.8</c:v>
                </c:pt>
                <c:pt idx="23">
                  <c:v>2.2000000000000002</c:v>
                </c:pt>
                <c:pt idx="24">
                  <c:v>-0.3</c:v>
                </c:pt>
                <c:pt idx="25">
                  <c:v>0.7</c:v>
                </c:pt>
                <c:pt idx="26">
                  <c:v>0.9</c:v>
                </c:pt>
                <c:pt idx="27">
                  <c:v>1.1000000000000001</c:v>
                </c:pt>
                <c:pt idx="28">
                  <c:v>3.8</c:v>
                </c:pt>
                <c:pt idx="29">
                  <c:v>3</c:v>
                </c:pt>
                <c:pt idx="30">
                  <c:v>3.5</c:v>
                </c:pt>
                <c:pt idx="31">
                  <c:v>5.0999999999999996</c:v>
                </c:pt>
                <c:pt idx="32">
                  <c:v>6.1</c:v>
                </c:pt>
                <c:pt idx="33">
                  <c:v>7.3</c:v>
                </c:pt>
                <c:pt idx="34">
                  <c:v>7.8</c:v>
                </c:pt>
                <c:pt idx="35">
                  <c:v>7</c:v>
                </c:pt>
                <c:pt idx="36">
                  <c:v>6</c:v>
                </c:pt>
                <c:pt idx="37">
                  <c:v>5.4</c:v>
                </c:pt>
                <c:pt idx="38">
                  <c:v>4.0999999999999996</c:v>
                </c:pt>
                <c:pt idx="39">
                  <c:v>3.6</c:v>
                </c:pt>
                <c:pt idx="40">
                  <c:v>3.8</c:v>
                </c:pt>
              </c:numCache>
            </c:numRef>
          </c:val>
          <c:smooth val="0"/>
          <c:extLst>
            <c:ext xmlns:c16="http://schemas.microsoft.com/office/drawing/2014/chart" uri="{C3380CC4-5D6E-409C-BE32-E72D297353CC}">
              <c16:uniqueId val="{00000000-BE0A-48D7-8CEA-9B6B04D1B9F0}"/>
            </c:ext>
          </c:extLst>
        </c:ser>
        <c:ser>
          <c:idx val="1"/>
          <c:order val="1"/>
          <c:tx>
            <c:strRef>
              <c:f>Sheet1!$C$7</c:f>
              <c:strCache>
                <c:ptCount val="1"/>
                <c:pt idx="0">
                  <c:v>bottom target range</c:v>
                </c:pt>
              </c:strCache>
            </c:strRef>
          </c:tx>
          <c:spPr>
            <a:ln w="28575" cap="rnd">
              <a:solidFill>
                <a:schemeClr val="accent6"/>
              </a:solidFill>
              <a:round/>
            </a:ln>
            <a:effectLst/>
          </c:spPr>
          <c:marker>
            <c:symbol val="none"/>
          </c:marker>
          <c:cat>
            <c:strRef>
              <c:f>Sheet1!$A$8:$A$48</c:f>
              <c:strCache>
                <c:ptCount val="41"/>
                <c:pt idx="0">
                  <c:v>Jun-14</c:v>
                </c:pt>
                <c:pt idx="1">
                  <c:v>Sep-14</c:v>
                </c:pt>
                <c:pt idx="2">
                  <c:v>Dec-14</c:v>
                </c:pt>
                <c:pt idx="3">
                  <c:v>Mar-15</c:v>
                </c:pt>
                <c:pt idx="4">
                  <c:v>Jun-15</c:v>
                </c:pt>
                <c:pt idx="5">
                  <c:v>Sep-15</c:v>
                </c:pt>
                <c:pt idx="6">
                  <c:v>Dec-15</c:v>
                </c:pt>
                <c:pt idx="7">
                  <c:v>Mar-16</c:v>
                </c:pt>
                <c:pt idx="8">
                  <c:v>Jun-16</c:v>
                </c:pt>
                <c:pt idx="9">
                  <c:v>Sep-16</c:v>
                </c:pt>
                <c:pt idx="10">
                  <c:v>Dec-16</c:v>
                </c:pt>
                <c:pt idx="11">
                  <c:v>Mar-17</c:v>
                </c:pt>
                <c:pt idx="12">
                  <c:v>Jun-17</c:v>
                </c:pt>
                <c:pt idx="13">
                  <c:v>Sep-17</c:v>
                </c:pt>
                <c:pt idx="14">
                  <c:v>Dec-17</c:v>
                </c:pt>
                <c:pt idx="15">
                  <c:v>Mar-18</c:v>
                </c:pt>
                <c:pt idx="16">
                  <c:v>Jun-18</c:v>
                </c:pt>
                <c:pt idx="17">
                  <c:v>Sep-18</c:v>
                </c:pt>
                <c:pt idx="18">
                  <c:v>Dec-18</c:v>
                </c:pt>
                <c:pt idx="19">
                  <c:v>Mar-19</c:v>
                </c:pt>
                <c:pt idx="20">
                  <c:v>Jun-19</c:v>
                </c:pt>
                <c:pt idx="21">
                  <c:v>Sep-19</c:v>
                </c:pt>
                <c:pt idx="22">
                  <c:v>Dec-19</c:v>
                </c:pt>
                <c:pt idx="23">
                  <c:v>Mar-20</c:v>
                </c:pt>
                <c:pt idx="24">
                  <c:v>Jun-20</c:v>
                </c:pt>
                <c:pt idx="25">
                  <c:v>Sep-20</c:v>
                </c:pt>
                <c:pt idx="26">
                  <c:v>Dec-20</c:v>
                </c:pt>
                <c:pt idx="27">
                  <c:v>Mar-21</c:v>
                </c:pt>
                <c:pt idx="28">
                  <c:v>Jun-21</c:v>
                </c:pt>
                <c:pt idx="29">
                  <c:v>Sep-21</c:v>
                </c:pt>
                <c:pt idx="30">
                  <c:v>Dec-21</c:v>
                </c:pt>
                <c:pt idx="31">
                  <c:v>Mar-22</c:v>
                </c:pt>
                <c:pt idx="32">
                  <c:v>Jun-22</c:v>
                </c:pt>
                <c:pt idx="33">
                  <c:v>Sep-22</c:v>
                </c:pt>
                <c:pt idx="34">
                  <c:v>Dec-22</c:v>
                </c:pt>
                <c:pt idx="35">
                  <c:v>Mar-23</c:v>
                </c:pt>
                <c:pt idx="36">
                  <c:v>Jun-23</c:v>
                </c:pt>
                <c:pt idx="37">
                  <c:v>Sep-23</c:v>
                </c:pt>
                <c:pt idx="38">
                  <c:v>Dec-23</c:v>
                </c:pt>
                <c:pt idx="39">
                  <c:v>Mar-24</c:v>
                </c:pt>
                <c:pt idx="40">
                  <c:v>Jun-24</c:v>
                </c:pt>
              </c:strCache>
            </c:strRef>
          </c:cat>
          <c:val>
            <c:numRef>
              <c:f>Sheet1!$C$8:$C$48</c:f>
              <c:numCache>
                <c:formatCode>General</c:formatCode>
                <c:ptCount val="41"/>
                <c:pt idx="0">
                  <c:v>2</c:v>
                </c:pt>
                <c:pt idx="1">
                  <c:v>2</c:v>
                </c:pt>
                <c:pt idx="2">
                  <c:v>2</c:v>
                </c:pt>
                <c:pt idx="3">
                  <c:v>2</c:v>
                </c:pt>
                <c:pt idx="4">
                  <c:v>2</c:v>
                </c:pt>
                <c:pt idx="5">
                  <c:v>2</c:v>
                </c:pt>
                <c:pt idx="6">
                  <c:v>2</c:v>
                </c:pt>
                <c:pt idx="7">
                  <c:v>2</c:v>
                </c:pt>
                <c:pt idx="8">
                  <c:v>2</c:v>
                </c:pt>
                <c:pt idx="9">
                  <c:v>2</c:v>
                </c:pt>
                <c:pt idx="10">
                  <c:v>2</c:v>
                </c:pt>
                <c:pt idx="11">
                  <c:v>2</c:v>
                </c:pt>
                <c:pt idx="12">
                  <c:v>2</c:v>
                </c:pt>
                <c:pt idx="13">
                  <c:v>2</c:v>
                </c:pt>
                <c:pt idx="14">
                  <c:v>2</c:v>
                </c:pt>
                <c:pt idx="15">
                  <c:v>2</c:v>
                </c:pt>
                <c:pt idx="16">
                  <c:v>2</c:v>
                </c:pt>
                <c:pt idx="17">
                  <c:v>2</c:v>
                </c:pt>
                <c:pt idx="18">
                  <c:v>2</c:v>
                </c:pt>
                <c:pt idx="19">
                  <c:v>2</c:v>
                </c:pt>
                <c:pt idx="20">
                  <c:v>2</c:v>
                </c:pt>
                <c:pt idx="21">
                  <c:v>2</c:v>
                </c:pt>
                <c:pt idx="22">
                  <c:v>2</c:v>
                </c:pt>
                <c:pt idx="23">
                  <c:v>2</c:v>
                </c:pt>
                <c:pt idx="24">
                  <c:v>2</c:v>
                </c:pt>
                <c:pt idx="25">
                  <c:v>2</c:v>
                </c:pt>
                <c:pt idx="26">
                  <c:v>2</c:v>
                </c:pt>
                <c:pt idx="27">
                  <c:v>2</c:v>
                </c:pt>
                <c:pt idx="28">
                  <c:v>2</c:v>
                </c:pt>
                <c:pt idx="29">
                  <c:v>2</c:v>
                </c:pt>
                <c:pt idx="30">
                  <c:v>2</c:v>
                </c:pt>
                <c:pt idx="31">
                  <c:v>2</c:v>
                </c:pt>
                <c:pt idx="32">
                  <c:v>2</c:v>
                </c:pt>
                <c:pt idx="33">
                  <c:v>2</c:v>
                </c:pt>
                <c:pt idx="34">
                  <c:v>2</c:v>
                </c:pt>
                <c:pt idx="35">
                  <c:v>2</c:v>
                </c:pt>
                <c:pt idx="36">
                  <c:v>2</c:v>
                </c:pt>
                <c:pt idx="37">
                  <c:v>2</c:v>
                </c:pt>
                <c:pt idx="38">
                  <c:v>2</c:v>
                </c:pt>
                <c:pt idx="39">
                  <c:v>2</c:v>
                </c:pt>
                <c:pt idx="40">
                  <c:v>2</c:v>
                </c:pt>
              </c:numCache>
            </c:numRef>
          </c:val>
          <c:smooth val="0"/>
          <c:extLst>
            <c:ext xmlns:c16="http://schemas.microsoft.com/office/drawing/2014/chart" uri="{C3380CC4-5D6E-409C-BE32-E72D297353CC}">
              <c16:uniqueId val="{00000001-BE0A-48D7-8CEA-9B6B04D1B9F0}"/>
            </c:ext>
          </c:extLst>
        </c:ser>
        <c:ser>
          <c:idx val="2"/>
          <c:order val="2"/>
          <c:tx>
            <c:strRef>
              <c:f>Sheet1!$D$7</c:f>
              <c:strCache>
                <c:ptCount val="1"/>
                <c:pt idx="0">
                  <c:v>top target range</c:v>
                </c:pt>
              </c:strCache>
            </c:strRef>
          </c:tx>
          <c:spPr>
            <a:ln w="28575" cap="rnd">
              <a:solidFill>
                <a:schemeClr val="accent6"/>
              </a:solidFill>
              <a:round/>
            </a:ln>
            <a:effectLst/>
          </c:spPr>
          <c:marker>
            <c:symbol val="none"/>
          </c:marker>
          <c:cat>
            <c:strRef>
              <c:f>Sheet1!$A$8:$A$48</c:f>
              <c:strCache>
                <c:ptCount val="41"/>
                <c:pt idx="0">
                  <c:v>Jun-14</c:v>
                </c:pt>
                <c:pt idx="1">
                  <c:v>Sep-14</c:v>
                </c:pt>
                <c:pt idx="2">
                  <c:v>Dec-14</c:v>
                </c:pt>
                <c:pt idx="3">
                  <c:v>Mar-15</c:v>
                </c:pt>
                <c:pt idx="4">
                  <c:v>Jun-15</c:v>
                </c:pt>
                <c:pt idx="5">
                  <c:v>Sep-15</c:v>
                </c:pt>
                <c:pt idx="6">
                  <c:v>Dec-15</c:v>
                </c:pt>
                <c:pt idx="7">
                  <c:v>Mar-16</c:v>
                </c:pt>
                <c:pt idx="8">
                  <c:v>Jun-16</c:v>
                </c:pt>
                <c:pt idx="9">
                  <c:v>Sep-16</c:v>
                </c:pt>
                <c:pt idx="10">
                  <c:v>Dec-16</c:v>
                </c:pt>
                <c:pt idx="11">
                  <c:v>Mar-17</c:v>
                </c:pt>
                <c:pt idx="12">
                  <c:v>Jun-17</c:v>
                </c:pt>
                <c:pt idx="13">
                  <c:v>Sep-17</c:v>
                </c:pt>
                <c:pt idx="14">
                  <c:v>Dec-17</c:v>
                </c:pt>
                <c:pt idx="15">
                  <c:v>Mar-18</c:v>
                </c:pt>
                <c:pt idx="16">
                  <c:v>Jun-18</c:v>
                </c:pt>
                <c:pt idx="17">
                  <c:v>Sep-18</c:v>
                </c:pt>
                <c:pt idx="18">
                  <c:v>Dec-18</c:v>
                </c:pt>
                <c:pt idx="19">
                  <c:v>Mar-19</c:v>
                </c:pt>
                <c:pt idx="20">
                  <c:v>Jun-19</c:v>
                </c:pt>
                <c:pt idx="21">
                  <c:v>Sep-19</c:v>
                </c:pt>
                <c:pt idx="22">
                  <c:v>Dec-19</c:v>
                </c:pt>
                <c:pt idx="23">
                  <c:v>Mar-20</c:v>
                </c:pt>
                <c:pt idx="24">
                  <c:v>Jun-20</c:v>
                </c:pt>
                <c:pt idx="25">
                  <c:v>Sep-20</c:v>
                </c:pt>
                <c:pt idx="26">
                  <c:v>Dec-20</c:v>
                </c:pt>
                <c:pt idx="27">
                  <c:v>Mar-21</c:v>
                </c:pt>
                <c:pt idx="28">
                  <c:v>Jun-21</c:v>
                </c:pt>
                <c:pt idx="29">
                  <c:v>Sep-21</c:v>
                </c:pt>
                <c:pt idx="30">
                  <c:v>Dec-21</c:v>
                </c:pt>
                <c:pt idx="31">
                  <c:v>Mar-22</c:v>
                </c:pt>
                <c:pt idx="32">
                  <c:v>Jun-22</c:v>
                </c:pt>
                <c:pt idx="33">
                  <c:v>Sep-22</c:v>
                </c:pt>
                <c:pt idx="34">
                  <c:v>Dec-22</c:v>
                </c:pt>
                <c:pt idx="35">
                  <c:v>Mar-23</c:v>
                </c:pt>
                <c:pt idx="36">
                  <c:v>Jun-23</c:v>
                </c:pt>
                <c:pt idx="37">
                  <c:v>Sep-23</c:v>
                </c:pt>
                <c:pt idx="38">
                  <c:v>Dec-23</c:v>
                </c:pt>
                <c:pt idx="39">
                  <c:v>Mar-24</c:v>
                </c:pt>
                <c:pt idx="40">
                  <c:v>Jun-24</c:v>
                </c:pt>
              </c:strCache>
            </c:strRef>
          </c:cat>
          <c:val>
            <c:numRef>
              <c:f>Sheet1!$D$8:$D$48</c:f>
              <c:numCache>
                <c:formatCode>General</c:formatCode>
                <c:ptCount val="41"/>
                <c:pt idx="0">
                  <c:v>3</c:v>
                </c:pt>
                <c:pt idx="1">
                  <c:v>3</c:v>
                </c:pt>
                <c:pt idx="2">
                  <c:v>3</c:v>
                </c:pt>
                <c:pt idx="3">
                  <c:v>3</c:v>
                </c:pt>
                <c:pt idx="4">
                  <c:v>3</c:v>
                </c:pt>
                <c:pt idx="5">
                  <c:v>3</c:v>
                </c:pt>
                <c:pt idx="6">
                  <c:v>3</c:v>
                </c:pt>
                <c:pt idx="7">
                  <c:v>3</c:v>
                </c:pt>
                <c:pt idx="8">
                  <c:v>3</c:v>
                </c:pt>
                <c:pt idx="9">
                  <c:v>3</c:v>
                </c:pt>
                <c:pt idx="10">
                  <c:v>3</c:v>
                </c:pt>
                <c:pt idx="11">
                  <c:v>3</c:v>
                </c:pt>
                <c:pt idx="12">
                  <c:v>3</c:v>
                </c:pt>
                <c:pt idx="13">
                  <c:v>3</c:v>
                </c:pt>
                <c:pt idx="14">
                  <c:v>3</c:v>
                </c:pt>
                <c:pt idx="15">
                  <c:v>3</c:v>
                </c:pt>
                <c:pt idx="16">
                  <c:v>3</c:v>
                </c:pt>
                <c:pt idx="17">
                  <c:v>3</c:v>
                </c:pt>
                <c:pt idx="18">
                  <c:v>3</c:v>
                </c:pt>
                <c:pt idx="19">
                  <c:v>3</c:v>
                </c:pt>
                <c:pt idx="20">
                  <c:v>3</c:v>
                </c:pt>
                <c:pt idx="21">
                  <c:v>3</c:v>
                </c:pt>
                <c:pt idx="22">
                  <c:v>3</c:v>
                </c:pt>
                <c:pt idx="23">
                  <c:v>3</c:v>
                </c:pt>
                <c:pt idx="24">
                  <c:v>3</c:v>
                </c:pt>
                <c:pt idx="25">
                  <c:v>3</c:v>
                </c:pt>
                <c:pt idx="26">
                  <c:v>3</c:v>
                </c:pt>
                <c:pt idx="27">
                  <c:v>3</c:v>
                </c:pt>
                <c:pt idx="28">
                  <c:v>3</c:v>
                </c:pt>
                <c:pt idx="29">
                  <c:v>3</c:v>
                </c:pt>
                <c:pt idx="30">
                  <c:v>3</c:v>
                </c:pt>
                <c:pt idx="31">
                  <c:v>3</c:v>
                </c:pt>
                <c:pt idx="32">
                  <c:v>3</c:v>
                </c:pt>
                <c:pt idx="33">
                  <c:v>3</c:v>
                </c:pt>
                <c:pt idx="34">
                  <c:v>3</c:v>
                </c:pt>
                <c:pt idx="35">
                  <c:v>3</c:v>
                </c:pt>
                <c:pt idx="36">
                  <c:v>3</c:v>
                </c:pt>
                <c:pt idx="37">
                  <c:v>3</c:v>
                </c:pt>
                <c:pt idx="38">
                  <c:v>3</c:v>
                </c:pt>
                <c:pt idx="39">
                  <c:v>3</c:v>
                </c:pt>
                <c:pt idx="40">
                  <c:v>3</c:v>
                </c:pt>
              </c:numCache>
            </c:numRef>
          </c:val>
          <c:smooth val="0"/>
          <c:extLst>
            <c:ext xmlns:c16="http://schemas.microsoft.com/office/drawing/2014/chart" uri="{C3380CC4-5D6E-409C-BE32-E72D297353CC}">
              <c16:uniqueId val="{00000002-BE0A-48D7-8CEA-9B6B04D1B9F0}"/>
            </c:ext>
          </c:extLst>
        </c:ser>
        <c:dLbls>
          <c:showLegendKey val="0"/>
          <c:showVal val="0"/>
          <c:showCatName val="0"/>
          <c:showSerName val="0"/>
          <c:showPercent val="0"/>
          <c:showBubbleSize val="0"/>
        </c:dLbls>
        <c:smooth val="0"/>
        <c:axId val="509092784"/>
        <c:axId val="428086240"/>
      </c:lineChart>
      <c:catAx>
        <c:axId val="50909278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086240"/>
        <c:crosses val="autoZero"/>
        <c:auto val="1"/>
        <c:lblAlgn val="ctr"/>
        <c:lblOffset val="100"/>
        <c:noMultiLvlLbl val="0"/>
      </c:catAx>
      <c:valAx>
        <c:axId val="42808624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90927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Incidents of domestic</a:t>
            </a:r>
            <a:r>
              <a:rPr lang="en-AU" baseline="0"/>
              <a:t> and f</a:t>
            </a:r>
            <a:r>
              <a:rPr lang="en-AU"/>
              <a:t>amily violence in Tasmania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Sheet2!$B$3</c:f>
              <c:strCache>
                <c:ptCount val="1"/>
                <c:pt idx="0">
                  <c:v>Incidents of DV </c:v>
                </c:pt>
              </c:strCache>
            </c:strRef>
          </c:tx>
          <c:spPr>
            <a:solidFill>
              <a:srgbClr val="ECC624"/>
            </a:solidFill>
            <a:ln>
              <a:noFill/>
            </a:ln>
            <a:effectLst/>
          </c:spPr>
          <c:invertIfNegative val="0"/>
          <c:cat>
            <c:strRef>
              <c:f>Sheet2!$C$2:$J$2</c:f>
              <c:strCache>
                <c:ptCount val="8"/>
                <c:pt idx="0">
                  <c:v>2015-16</c:v>
                </c:pt>
                <c:pt idx="1">
                  <c:v>2016-17</c:v>
                </c:pt>
                <c:pt idx="2">
                  <c:v>2017-18</c:v>
                </c:pt>
                <c:pt idx="3">
                  <c:v>2018-19</c:v>
                </c:pt>
                <c:pt idx="4">
                  <c:v>2019-20</c:v>
                </c:pt>
                <c:pt idx="5">
                  <c:v>2020-2021</c:v>
                </c:pt>
                <c:pt idx="6">
                  <c:v>2021-202</c:v>
                </c:pt>
                <c:pt idx="7">
                  <c:v>2022-23</c:v>
                </c:pt>
              </c:strCache>
            </c:strRef>
          </c:cat>
          <c:val>
            <c:numRef>
              <c:f>Sheet2!$C$3:$J$3</c:f>
              <c:numCache>
                <c:formatCode>General</c:formatCode>
                <c:ptCount val="8"/>
                <c:pt idx="0">
                  <c:v>3254</c:v>
                </c:pt>
                <c:pt idx="1">
                  <c:v>3175</c:v>
                </c:pt>
                <c:pt idx="2">
                  <c:v>3472</c:v>
                </c:pt>
                <c:pt idx="3">
                  <c:v>3712</c:v>
                </c:pt>
                <c:pt idx="4">
                  <c:v>3672</c:v>
                </c:pt>
                <c:pt idx="5">
                  <c:v>3943</c:v>
                </c:pt>
                <c:pt idx="6">
                  <c:v>4225</c:v>
                </c:pt>
                <c:pt idx="7">
                  <c:v>4669</c:v>
                </c:pt>
              </c:numCache>
            </c:numRef>
          </c:val>
          <c:extLst>
            <c:ext xmlns:c16="http://schemas.microsoft.com/office/drawing/2014/chart" uri="{C3380CC4-5D6E-409C-BE32-E72D297353CC}">
              <c16:uniqueId val="{00000000-A84D-4F92-8297-CEBE9FCDEC0D}"/>
            </c:ext>
          </c:extLst>
        </c:ser>
        <c:dLbls>
          <c:showLegendKey val="0"/>
          <c:showVal val="0"/>
          <c:showCatName val="0"/>
          <c:showSerName val="0"/>
          <c:showPercent val="0"/>
          <c:showBubbleSize val="0"/>
        </c:dLbls>
        <c:gapWidth val="219"/>
        <c:axId val="229820896"/>
        <c:axId val="236179776"/>
      </c:barChart>
      <c:lineChart>
        <c:grouping val="standard"/>
        <c:varyColors val="0"/>
        <c:ser>
          <c:idx val="1"/>
          <c:order val="1"/>
          <c:tx>
            <c:strRef>
              <c:f>Sheet2!$B$4</c:f>
              <c:strCache>
                <c:ptCount val="1"/>
              </c:strCache>
            </c:strRef>
          </c:tx>
          <c:spPr>
            <a:ln w="28575" cap="rnd">
              <a:solidFill>
                <a:schemeClr val="accent5"/>
              </a:solidFill>
              <a:round/>
            </a:ln>
            <a:effectLst/>
          </c:spPr>
          <c:marker>
            <c:symbol val="none"/>
          </c:marker>
          <c:cat>
            <c:strRef>
              <c:f>Sheet2!$C$2:$J$2</c:f>
              <c:strCache>
                <c:ptCount val="8"/>
                <c:pt idx="0">
                  <c:v>2015-16</c:v>
                </c:pt>
                <c:pt idx="1">
                  <c:v>2016-17</c:v>
                </c:pt>
                <c:pt idx="2">
                  <c:v>2017-18</c:v>
                </c:pt>
                <c:pt idx="3">
                  <c:v>2018-19</c:v>
                </c:pt>
                <c:pt idx="4">
                  <c:v>2019-20</c:v>
                </c:pt>
                <c:pt idx="5">
                  <c:v>2020-2021</c:v>
                </c:pt>
                <c:pt idx="6">
                  <c:v>2021-202</c:v>
                </c:pt>
                <c:pt idx="7">
                  <c:v>2022-23</c:v>
                </c:pt>
              </c:strCache>
            </c:strRef>
          </c:cat>
          <c:val>
            <c:numRef>
              <c:f>Sheet2!$C$4:$J$4</c:f>
              <c:numCache>
                <c:formatCode>General</c:formatCode>
                <c:ptCount val="8"/>
                <c:pt idx="0">
                  <c:v>3254</c:v>
                </c:pt>
                <c:pt idx="1">
                  <c:v>3175</c:v>
                </c:pt>
                <c:pt idx="2">
                  <c:v>3472</c:v>
                </c:pt>
                <c:pt idx="3">
                  <c:v>3712</c:v>
                </c:pt>
                <c:pt idx="4">
                  <c:v>3672</c:v>
                </c:pt>
                <c:pt idx="5">
                  <c:v>3943</c:v>
                </c:pt>
                <c:pt idx="6">
                  <c:v>4225</c:v>
                </c:pt>
                <c:pt idx="7">
                  <c:v>4669</c:v>
                </c:pt>
              </c:numCache>
            </c:numRef>
          </c:val>
          <c:smooth val="0"/>
          <c:extLst>
            <c:ext xmlns:c16="http://schemas.microsoft.com/office/drawing/2014/chart" uri="{C3380CC4-5D6E-409C-BE32-E72D297353CC}">
              <c16:uniqueId val="{00000001-A84D-4F92-8297-CEBE9FCDEC0D}"/>
            </c:ext>
          </c:extLst>
        </c:ser>
        <c:dLbls>
          <c:showLegendKey val="0"/>
          <c:showVal val="0"/>
          <c:showCatName val="0"/>
          <c:showSerName val="0"/>
          <c:showPercent val="0"/>
          <c:showBubbleSize val="0"/>
        </c:dLbls>
        <c:marker val="1"/>
        <c:smooth val="0"/>
        <c:axId val="229820896"/>
        <c:axId val="236179776"/>
      </c:lineChart>
      <c:catAx>
        <c:axId val="229820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6179776"/>
        <c:crosses val="autoZero"/>
        <c:auto val="1"/>
        <c:lblAlgn val="ctr"/>
        <c:lblOffset val="100"/>
        <c:noMultiLvlLbl val="0"/>
      </c:catAx>
      <c:valAx>
        <c:axId val="236179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8208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Change in Tasmanian vacancy rates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'Vacancy Rates'!$C$2</c:f>
              <c:strCache>
                <c:ptCount val="1"/>
                <c:pt idx="0">
                  <c:v>Aug-23</c:v>
                </c:pt>
              </c:strCache>
            </c:strRef>
          </c:tx>
          <c:spPr>
            <a:solidFill>
              <a:srgbClr val="ECC624"/>
            </a:solidFill>
            <a:ln>
              <a:noFill/>
            </a:ln>
            <a:effectLst/>
          </c:spPr>
          <c:invertIfNegative val="0"/>
          <c:cat>
            <c:strRef>
              <c:f>'Vacancy Rates'!$B$3:$B$8</c:f>
              <c:strCache>
                <c:ptCount val="6"/>
                <c:pt idx="0">
                  <c:v>Devonport </c:v>
                </c:pt>
                <c:pt idx="1">
                  <c:v>East Coast </c:v>
                </c:pt>
                <c:pt idx="2">
                  <c:v>Launceston </c:v>
                </c:pt>
                <c:pt idx="3">
                  <c:v>Hobart </c:v>
                </c:pt>
                <c:pt idx="4">
                  <c:v>Burnie </c:v>
                </c:pt>
                <c:pt idx="5">
                  <c:v>West Coast </c:v>
                </c:pt>
              </c:strCache>
            </c:strRef>
          </c:cat>
          <c:val>
            <c:numRef>
              <c:f>'Vacancy Rates'!$C$3:$C$8</c:f>
              <c:numCache>
                <c:formatCode>0.00%</c:formatCode>
                <c:ptCount val="6"/>
                <c:pt idx="0">
                  <c:v>5.0000000000000001E-3</c:v>
                </c:pt>
                <c:pt idx="1">
                  <c:v>8.9999999999999993E-3</c:v>
                </c:pt>
                <c:pt idx="2">
                  <c:v>0.01</c:v>
                </c:pt>
                <c:pt idx="3">
                  <c:v>1.6E-2</c:v>
                </c:pt>
                <c:pt idx="4">
                  <c:v>1.6E-2</c:v>
                </c:pt>
                <c:pt idx="5">
                  <c:v>1.9E-2</c:v>
                </c:pt>
              </c:numCache>
            </c:numRef>
          </c:val>
          <c:extLst>
            <c:ext xmlns:c16="http://schemas.microsoft.com/office/drawing/2014/chart" uri="{C3380CC4-5D6E-409C-BE32-E72D297353CC}">
              <c16:uniqueId val="{00000000-D4C7-442D-9C4B-46778D34A123}"/>
            </c:ext>
          </c:extLst>
        </c:ser>
        <c:ser>
          <c:idx val="1"/>
          <c:order val="1"/>
          <c:tx>
            <c:strRef>
              <c:f>'Vacancy Rates'!$D$2</c:f>
              <c:strCache>
                <c:ptCount val="1"/>
                <c:pt idx="0">
                  <c:v>Aug-24</c:v>
                </c:pt>
              </c:strCache>
            </c:strRef>
          </c:tx>
          <c:spPr>
            <a:solidFill>
              <a:schemeClr val="accent5"/>
            </a:solidFill>
            <a:ln>
              <a:noFill/>
            </a:ln>
            <a:effectLst/>
          </c:spPr>
          <c:invertIfNegative val="0"/>
          <c:cat>
            <c:strRef>
              <c:f>'Vacancy Rates'!$B$3:$B$8</c:f>
              <c:strCache>
                <c:ptCount val="6"/>
                <c:pt idx="0">
                  <c:v>Devonport </c:v>
                </c:pt>
                <c:pt idx="1">
                  <c:v>East Coast </c:v>
                </c:pt>
                <c:pt idx="2">
                  <c:v>Launceston </c:v>
                </c:pt>
                <c:pt idx="3">
                  <c:v>Hobart </c:v>
                </c:pt>
                <c:pt idx="4">
                  <c:v>Burnie </c:v>
                </c:pt>
                <c:pt idx="5">
                  <c:v>West Coast </c:v>
                </c:pt>
              </c:strCache>
            </c:strRef>
          </c:cat>
          <c:val>
            <c:numRef>
              <c:f>'Vacancy Rates'!$D$3:$D$8</c:f>
              <c:numCache>
                <c:formatCode>0.00%</c:formatCode>
                <c:ptCount val="6"/>
                <c:pt idx="0">
                  <c:v>8.9999999999999993E-3</c:v>
                </c:pt>
                <c:pt idx="1">
                  <c:v>8.9999999999999993E-3</c:v>
                </c:pt>
                <c:pt idx="2">
                  <c:v>1.2999999999999999E-2</c:v>
                </c:pt>
                <c:pt idx="3">
                  <c:v>1.4E-2</c:v>
                </c:pt>
                <c:pt idx="4">
                  <c:v>1.4E-2</c:v>
                </c:pt>
                <c:pt idx="5">
                  <c:v>1.2E-2</c:v>
                </c:pt>
              </c:numCache>
            </c:numRef>
          </c:val>
          <c:extLst>
            <c:ext xmlns:c16="http://schemas.microsoft.com/office/drawing/2014/chart" uri="{C3380CC4-5D6E-409C-BE32-E72D297353CC}">
              <c16:uniqueId val="{00000001-D4C7-442D-9C4B-46778D34A123}"/>
            </c:ext>
          </c:extLst>
        </c:ser>
        <c:dLbls>
          <c:showLegendKey val="0"/>
          <c:showVal val="0"/>
          <c:showCatName val="0"/>
          <c:showSerName val="0"/>
          <c:showPercent val="0"/>
          <c:showBubbleSize val="0"/>
        </c:dLbls>
        <c:gapWidth val="219"/>
        <c:overlap val="-27"/>
        <c:axId val="192747904"/>
        <c:axId val="304627472"/>
      </c:barChart>
      <c:catAx>
        <c:axId val="192747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4627472"/>
        <c:crosses val="autoZero"/>
        <c:auto val="1"/>
        <c:lblAlgn val="ctr"/>
        <c:lblOffset val="100"/>
        <c:noMultiLvlLbl val="0"/>
      </c:catAx>
      <c:valAx>
        <c:axId val="3046274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747904"/>
        <c:crosses val="autoZero"/>
        <c:crossBetween val="between"/>
        <c:majorUnit val="1.0000000000000002E-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6B21034D-DBC2-4611-ABDC-B124C472A07B}"/>
      </w:docPartPr>
      <w:docPartBody>
        <w:p w:rsidR="00760BE0" w:rsidRDefault="00E316D6">
          <w:r w:rsidRPr="00EB010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AvenirNext LT Pro Bold">
    <w:altName w:val="Calibri"/>
    <w:panose1 w:val="00000000000000000000"/>
    <w:charset w:val="4D"/>
    <w:family w:val="swiss"/>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Avenir Next">
    <w:altName w:val="Calibri"/>
    <w:charset w:val="00"/>
    <w:family w:val="swiss"/>
    <w:pitch w:val="variable"/>
    <w:sig w:usb0="8000002F" w:usb1="5000204A" w:usb2="00000000" w:usb3="00000000" w:csb0="0000009B" w:csb1="00000000"/>
  </w:font>
  <w:font w:name="Avenir Next Demi Bold">
    <w:altName w:val="Calibri"/>
    <w:charset w:val="00"/>
    <w:family w:val="swiss"/>
    <w:pitch w:val="variable"/>
    <w:sig w:usb0="8000002F" w:usb1="5000204A" w:usb2="00000000" w:usb3="00000000" w:csb0="0000009B" w:csb1="00000000"/>
  </w:font>
  <w:font w:name="AvenirNextLTPro-Demi">
    <w:altName w:val="Cambria"/>
    <w:panose1 w:val="00000000000000000000"/>
    <w:charset w:val="4D"/>
    <w:family w:val="swiss"/>
    <w:notTrueType/>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venirNext LT Pro Regular">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6D6"/>
    <w:rsid w:val="00030A92"/>
    <w:rsid w:val="00760BE0"/>
    <w:rsid w:val="00E316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16D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48</Pages>
  <Words>11737</Words>
  <Characters>66902</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Claxton</dc:creator>
  <cp:keywords/>
  <dc:description/>
  <cp:lastModifiedBy>Selina Claxton</cp:lastModifiedBy>
  <cp:revision>6</cp:revision>
  <dcterms:created xsi:type="dcterms:W3CDTF">2024-10-17T03:13:00Z</dcterms:created>
  <dcterms:modified xsi:type="dcterms:W3CDTF">2024-10-29T05:17:00Z</dcterms:modified>
</cp:coreProperties>
</file>