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17EB" w14:textId="77777777" w:rsidR="00D056A8" w:rsidRPr="00242FA3" w:rsidRDefault="00D056A8" w:rsidP="008263E5">
      <w:pPr>
        <w:pStyle w:val="Title"/>
        <w:rPr>
          <w:rFonts w:ascii="Avenir Next Demi Bold" w:hAnsi="Avenir Next Demi Bold"/>
          <w:noProof/>
          <w:color w:val="FFFFFF" w:themeColor="background1"/>
        </w:rPr>
      </w:pPr>
      <w:r w:rsidRPr="00242FA3">
        <w:rPr>
          <w:rFonts w:ascii="Avenir Next Demi Bold" w:hAnsi="Avenir Next Demi Bold"/>
          <w:noProof/>
          <w:color w:val="FFFFFF" w:themeColor="background1"/>
        </w:rPr>
        <w:t xml:space="preserve">Policy brief: </w:t>
      </w:r>
    </w:p>
    <w:p w14:paraId="0BC5BE87" w14:textId="6AA07595" w:rsidR="00D056A8" w:rsidRPr="00242FA3" w:rsidRDefault="00242FA3" w:rsidP="008263E5">
      <w:pPr>
        <w:pStyle w:val="Title"/>
        <w:rPr>
          <w:rFonts w:ascii="Avenir Next Demi Bold" w:hAnsi="Avenir Next Demi Bold"/>
          <w:color w:val="FFFFFF"/>
          <w:spacing w:val="-14"/>
        </w:rPr>
      </w:pPr>
      <w:r w:rsidRPr="00242FA3">
        <w:rPr>
          <w:rFonts w:ascii="Avenir Next Demi Bold" w:hAnsi="Avenir Next Demi Bold"/>
          <w:b w:val="0"/>
          <w:bCs w:val="0"/>
          <w:noProof/>
        </w:rPr>
        <w:drawing>
          <wp:anchor distT="0" distB="0" distL="114300" distR="114300" simplePos="0" relativeHeight="251661312" behindDoc="1" locked="0" layoutInCell="1" allowOverlap="1" wp14:anchorId="6C5F7C3E" wp14:editId="10C07400">
            <wp:simplePos x="0" y="0"/>
            <wp:positionH relativeFrom="page">
              <wp:posOffset>-1024128</wp:posOffset>
            </wp:positionH>
            <wp:positionV relativeFrom="paragraph">
              <wp:posOffset>462458</wp:posOffset>
            </wp:positionV>
            <wp:extent cx="8559556" cy="722233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230912-BSC-100875-SARC-Simple-As-Website3-1024x666.jpg"/>
                    <pic:cNvPicPr/>
                  </pic:nvPicPr>
                  <pic:blipFill rotWithShape="1">
                    <a:blip r:embed="rId8">
                      <a:extLst>
                        <a:ext uri="{28A0092B-C50C-407E-A947-70E740481C1C}">
                          <a14:useLocalDpi xmlns:a14="http://schemas.microsoft.com/office/drawing/2010/main" val="0"/>
                        </a:ext>
                      </a:extLst>
                    </a:blip>
                    <a:srcRect r="14907"/>
                    <a:stretch/>
                  </pic:blipFill>
                  <pic:spPr bwMode="auto">
                    <a:xfrm>
                      <a:off x="0" y="0"/>
                      <a:ext cx="8570726" cy="7231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6A8" w:rsidRPr="00242FA3">
        <w:rPr>
          <w:rFonts w:ascii="Avenir Next Demi Bold" w:hAnsi="Avenir Next Demi Bold"/>
          <w:noProof/>
          <w:color w:val="FFFFFF" w:themeColor="background1"/>
        </w:rPr>
        <w:t xml:space="preserve">Options for </w:t>
      </w:r>
      <w:r w:rsidR="00D056A8" w:rsidRPr="00242FA3">
        <w:rPr>
          <w:rFonts w:ascii="Avenir Next Demi Bold" w:hAnsi="Avenir Next Demi Bold"/>
          <w:noProof/>
        </w:rPr>
        <w:drawing>
          <wp:anchor distT="0" distB="0" distL="0" distR="0" simplePos="0" relativeHeight="251659264" behindDoc="1" locked="0" layoutInCell="1" allowOverlap="1" wp14:anchorId="56B45501" wp14:editId="61142C7C">
            <wp:simplePos x="0" y="0"/>
            <wp:positionH relativeFrom="page">
              <wp:posOffset>0</wp:posOffset>
            </wp:positionH>
            <wp:positionV relativeFrom="page">
              <wp:posOffset>0</wp:posOffset>
            </wp:positionV>
            <wp:extent cx="7559036" cy="10684284"/>
            <wp:effectExtent l="0" t="0" r="4445" b="317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pic:spPr>
                </pic:pic>
              </a:graphicData>
            </a:graphic>
            <wp14:sizeRelV relativeFrom="margin">
              <wp14:pctHeight>0</wp14:pctHeight>
            </wp14:sizeRelV>
          </wp:anchor>
        </w:drawing>
      </w:r>
      <w:r w:rsidR="00D056A8" w:rsidRPr="00242FA3">
        <w:rPr>
          <w:rFonts w:ascii="Avenir Next Demi Bold" w:hAnsi="Avenir Next Demi Bold"/>
          <w:color w:val="FFFFFF"/>
          <w:spacing w:val="-14"/>
        </w:rPr>
        <w:t>reducing harm from Electronic Gaming Machines in Tasmania</w:t>
      </w:r>
    </w:p>
    <w:p w14:paraId="3C2AF8B7" w14:textId="1DE80F52" w:rsidR="00D056A8" w:rsidRPr="00242FA3" w:rsidRDefault="00D056A8" w:rsidP="008263E5">
      <w:pPr>
        <w:pStyle w:val="Title"/>
        <w:rPr>
          <w:rFonts w:ascii="Avenir Next" w:hAnsi="Avenir Next"/>
          <w:b w:val="0"/>
          <w:bCs w:val="0"/>
          <w:color w:val="FFFFFF"/>
          <w:spacing w:val="-2"/>
        </w:rPr>
      </w:pPr>
      <w:r w:rsidRPr="00242FA3">
        <w:rPr>
          <w:rFonts w:ascii="Avenir Next" w:hAnsi="Avenir Next"/>
          <w:b w:val="0"/>
          <w:bCs w:val="0"/>
          <w:color w:val="FFFFFF"/>
          <w:spacing w:val="-2"/>
        </w:rPr>
        <w:t>December 2024</w:t>
      </w:r>
    </w:p>
    <w:p w14:paraId="57945CBF" w14:textId="77777777" w:rsidR="00D056A8" w:rsidRDefault="00D056A8">
      <w:pPr>
        <w:spacing w:before="0" w:after="0"/>
        <w:rPr>
          <w:rFonts w:eastAsia="AvenirNextLTPro-Demi" w:cs="AvenirNextLTPro-Demi"/>
          <w:color w:val="FFFFFF"/>
          <w:spacing w:val="-2"/>
          <w:sz w:val="56"/>
          <w:szCs w:val="56"/>
        </w:rPr>
      </w:pPr>
      <w:r>
        <w:rPr>
          <w:b/>
          <w:bCs/>
          <w:color w:val="FFFFFF"/>
          <w:spacing w:val="-2"/>
        </w:rPr>
        <w:br w:type="page"/>
      </w:r>
    </w:p>
    <w:p w14:paraId="71B6E42D" w14:textId="55531A29" w:rsidR="00D056A8" w:rsidRPr="007574A8" w:rsidRDefault="00D056A8" w:rsidP="003E10D2">
      <w:pPr>
        <w:pStyle w:val="Title"/>
        <w:spacing w:line="196" w:lineRule="auto"/>
        <w:jc w:val="left"/>
        <w:rPr>
          <w:rFonts w:ascii="Avenir Next" w:hAnsi="Avenir Next"/>
          <w:b w:val="0"/>
          <w:bCs w:val="0"/>
        </w:rPr>
        <w:sectPr w:rsidR="00D056A8" w:rsidRPr="007574A8" w:rsidSect="003E10D2">
          <w:footerReference w:type="even" r:id="rId10"/>
          <w:footerReference w:type="default" r:id="rId11"/>
          <w:pgSz w:w="11906" w:h="16838"/>
          <w:pgMar w:top="1440" w:right="1440" w:bottom="1440" w:left="1440" w:header="708" w:footer="708" w:gutter="0"/>
          <w:cols w:space="708"/>
          <w:docGrid w:linePitch="360"/>
        </w:sectPr>
      </w:pPr>
    </w:p>
    <w:bookmarkStart w:id="0" w:name="_Hlk178600293" w:displacedByCustomXml="next"/>
    <w:sdt>
      <w:sdtPr>
        <w:rPr>
          <w:rFonts w:ascii="Avenir Next" w:eastAsia="AvenirNext LT Pro Bold" w:hAnsi="Avenir Next" w:cs="AvenirNext LT Pro Bold"/>
          <w:b w:val="0"/>
          <w:bCs w:val="0"/>
          <w:color w:val="575F61"/>
          <w:sz w:val="24"/>
          <w:szCs w:val="22"/>
          <w:lang w:val="en-GB"/>
        </w:rPr>
        <w:id w:val="2134596041"/>
        <w:docPartObj>
          <w:docPartGallery w:val="Table of Contents"/>
          <w:docPartUnique/>
        </w:docPartObj>
      </w:sdtPr>
      <w:sdtEndPr>
        <w:rPr>
          <w:noProof/>
        </w:rPr>
      </w:sdtEndPr>
      <w:sdtContent>
        <w:p w14:paraId="105C758E" w14:textId="77777777" w:rsidR="00D056A8" w:rsidRDefault="00D056A8" w:rsidP="003E10D2">
          <w:pPr>
            <w:pStyle w:val="TOCHeading"/>
          </w:pPr>
          <w:r>
            <w:t>Contents</w:t>
          </w:r>
        </w:p>
        <w:p w14:paraId="53512217" w14:textId="088E69D8" w:rsidR="008263E5" w:rsidRDefault="008263E5">
          <w:pPr>
            <w:pStyle w:val="TOC1"/>
            <w:tabs>
              <w:tab w:val="right" w:leader="dot" w:pos="9940"/>
            </w:tabs>
            <w:rPr>
              <w:rFonts w:eastAsiaTheme="minorEastAsia" w:cstheme="minorBidi"/>
              <w:b w:val="0"/>
              <w:bCs w:val="0"/>
              <w:noProof/>
              <w:color w:val="auto"/>
              <w:sz w:val="22"/>
              <w:szCs w:val="22"/>
              <w:lang w:val="en-AU" w:eastAsia="en-AU"/>
            </w:rPr>
          </w:pPr>
          <w:r>
            <w:rPr>
              <w:i/>
              <w:iCs/>
            </w:rPr>
            <w:fldChar w:fldCharType="begin"/>
          </w:r>
          <w:r>
            <w:rPr>
              <w:i/>
              <w:iCs/>
            </w:rPr>
            <w:instrText xml:space="preserve"> TOC \o "1-4" \h \z \u </w:instrText>
          </w:r>
          <w:r>
            <w:rPr>
              <w:i/>
              <w:iCs/>
            </w:rPr>
            <w:fldChar w:fldCharType="separate"/>
          </w:r>
          <w:hyperlink w:anchor="_Toc184302756" w:history="1">
            <w:r w:rsidRPr="00410AA5">
              <w:rPr>
                <w:rStyle w:val="Hyperlink"/>
                <w:noProof/>
              </w:rPr>
              <w:t>Electronic Gaming Machines cause harm</w:t>
            </w:r>
            <w:r>
              <w:rPr>
                <w:noProof/>
                <w:webHidden/>
              </w:rPr>
              <w:tab/>
            </w:r>
            <w:r>
              <w:rPr>
                <w:noProof/>
                <w:webHidden/>
              </w:rPr>
              <w:fldChar w:fldCharType="begin"/>
            </w:r>
            <w:r>
              <w:rPr>
                <w:noProof/>
                <w:webHidden/>
              </w:rPr>
              <w:instrText xml:space="preserve"> PAGEREF _Toc184302756 \h </w:instrText>
            </w:r>
            <w:r>
              <w:rPr>
                <w:noProof/>
                <w:webHidden/>
              </w:rPr>
            </w:r>
            <w:r>
              <w:rPr>
                <w:noProof/>
                <w:webHidden/>
              </w:rPr>
              <w:fldChar w:fldCharType="separate"/>
            </w:r>
            <w:r>
              <w:rPr>
                <w:noProof/>
                <w:webHidden/>
              </w:rPr>
              <w:t>3</w:t>
            </w:r>
            <w:r>
              <w:rPr>
                <w:noProof/>
                <w:webHidden/>
              </w:rPr>
              <w:fldChar w:fldCharType="end"/>
            </w:r>
          </w:hyperlink>
        </w:p>
        <w:p w14:paraId="6A95ACDC" w14:textId="501D4B07"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57" w:history="1">
            <w:r w:rsidRPr="00410AA5">
              <w:rPr>
                <w:rStyle w:val="Hyperlink"/>
                <w:noProof/>
              </w:rPr>
              <w:t>Self-exclusion does not prevent harm</w:t>
            </w:r>
            <w:r>
              <w:rPr>
                <w:noProof/>
                <w:webHidden/>
              </w:rPr>
              <w:tab/>
            </w:r>
            <w:r>
              <w:rPr>
                <w:noProof/>
                <w:webHidden/>
              </w:rPr>
              <w:fldChar w:fldCharType="begin"/>
            </w:r>
            <w:r>
              <w:rPr>
                <w:noProof/>
                <w:webHidden/>
              </w:rPr>
              <w:instrText xml:space="preserve"> PAGEREF _Toc184302757 \h </w:instrText>
            </w:r>
            <w:r>
              <w:rPr>
                <w:noProof/>
                <w:webHidden/>
              </w:rPr>
            </w:r>
            <w:r>
              <w:rPr>
                <w:noProof/>
                <w:webHidden/>
              </w:rPr>
              <w:fldChar w:fldCharType="separate"/>
            </w:r>
            <w:r>
              <w:rPr>
                <w:noProof/>
                <w:webHidden/>
              </w:rPr>
              <w:t>3</w:t>
            </w:r>
            <w:r>
              <w:rPr>
                <w:noProof/>
                <w:webHidden/>
              </w:rPr>
              <w:fldChar w:fldCharType="end"/>
            </w:r>
          </w:hyperlink>
        </w:p>
        <w:p w14:paraId="0B157254" w14:textId="22F28ADA"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58" w:history="1">
            <w:r w:rsidRPr="00410AA5">
              <w:rPr>
                <w:rStyle w:val="Hyperlink"/>
                <w:noProof/>
              </w:rPr>
              <w:t>The policy objective</w:t>
            </w:r>
            <w:r>
              <w:rPr>
                <w:noProof/>
                <w:webHidden/>
              </w:rPr>
              <w:tab/>
            </w:r>
            <w:r>
              <w:rPr>
                <w:noProof/>
                <w:webHidden/>
              </w:rPr>
              <w:fldChar w:fldCharType="begin"/>
            </w:r>
            <w:r>
              <w:rPr>
                <w:noProof/>
                <w:webHidden/>
              </w:rPr>
              <w:instrText xml:space="preserve"> PAGEREF _Toc184302758 \h </w:instrText>
            </w:r>
            <w:r>
              <w:rPr>
                <w:noProof/>
                <w:webHidden/>
              </w:rPr>
            </w:r>
            <w:r>
              <w:rPr>
                <w:noProof/>
                <w:webHidden/>
              </w:rPr>
              <w:fldChar w:fldCharType="separate"/>
            </w:r>
            <w:r>
              <w:rPr>
                <w:noProof/>
                <w:webHidden/>
              </w:rPr>
              <w:t>4</w:t>
            </w:r>
            <w:r>
              <w:rPr>
                <w:noProof/>
                <w:webHidden/>
              </w:rPr>
              <w:fldChar w:fldCharType="end"/>
            </w:r>
          </w:hyperlink>
        </w:p>
        <w:p w14:paraId="50CFC466" w14:textId="5C7F2184"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59" w:history="1">
            <w:r w:rsidRPr="00410AA5">
              <w:rPr>
                <w:rStyle w:val="Hyperlink"/>
                <w:noProof/>
              </w:rPr>
              <w:t>Tasmanian evidence of the effectiveness of a pre-commitment card</w:t>
            </w:r>
            <w:r>
              <w:rPr>
                <w:noProof/>
                <w:webHidden/>
              </w:rPr>
              <w:tab/>
            </w:r>
            <w:r>
              <w:rPr>
                <w:noProof/>
                <w:webHidden/>
              </w:rPr>
              <w:fldChar w:fldCharType="begin"/>
            </w:r>
            <w:r>
              <w:rPr>
                <w:noProof/>
                <w:webHidden/>
              </w:rPr>
              <w:instrText xml:space="preserve"> PAGEREF _Toc184302759 \h </w:instrText>
            </w:r>
            <w:r>
              <w:rPr>
                <w:noProof/>
                <w:webHidden/>
              </w:rPr>
            </w:r>
            <w:r>
              <w:rPr>
                <w:noProof/>
                <w:webHidden/>
              </w:rPr>
              <w:fldChar w:fldCharType="separate"/>
            </w:r>
            <w:r>
              <w:rPr>
                <w:noProof/>
                <w:webHidden/>
              </w:rPr>
              <w:t>4</w:t>
            </w:r>
            <w:r>
              <w:rPr>
                <w:noProof/>
                <w:webHidden/>
              </w:rPr>
              <w:fldChar w:fldCharType="end"/>
            </w:r>
          </w:hyperlink>
        </w:p>
        <w:p w14:paraId="4DAE6C9F" w14:textId="4B78BBD8"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60" w:history="1">
            <w:r w:rsidRPr="00410AA5">
              <w:rPr>
                <w:rStyle w:val="Hyperlink"/>
                <w:noProof/>
              </w:rPr>
              <w:t>Facial recognition technology does not meet the policy objectives</w:t>
            </w:r>
            <w:r>
              <w:rPr>
                <w:noProof/>
                <w:webHidden/>
              </w:rPr>
              <w:tab/>
            </w:r>
            <w:r>
              <w:rPr>
                <w:noProof/>
                <w:webHidden/>
              </w:rPr>
              <w:fldChar w:fldCharType="begin"/>
            </w:r>
            <w:r>
              <w:rPr>
                <w:noProof/>
                <w:webHidden/>
              </w:rPr>
              <w:instrText xml:space="preserve"> PAGEREF _Toc184302760 \h </w:instrText>
            </w:r>
            <w:r>
              <w:rPr>
                <w:noProof/>
                <w:webHidden/>
              </w:rPr>
            </w:r>
            <w:r>
              <w:rPr>
                <w:noProof/>
                <w:webHidden/>
              </w:rPr>
              <w:fldChar w:fldCharType="separate"/>
            </w:r>
            <w:r>
              <w:rPr>
                <w:noProof/>
                <w:webHidden/>
              </w:rPr>
              <w:t>5</w:t>
            </w:r>
            <w:r>
              <w:rPr>
                <w:noProof/>
                <w:webHidden/>
              </w:rPr>
              <w:fldChar w:fldCharType="end"/>
            </w:r>
          </w:hyperlink>
        </w:p>
        <w:p w14:paraId="3789FB5C" w14:textId="6218A240"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61" w:history="1">
            <w:r w:rsidRPr="00410AA5">
              <w:rPr>
                <w:rStyle w:val="Hyperlink"/>
                <w:noProof/>
              </w:rPr>
              <w:t>Other options</w:t>
            </w:r>
            <w:r>
              <w:rPr>
                <w:noProof/>
                <w:webHidden/>
              </w:rPr>
              <w:tab/>
            </w:r>
            <w:r>
              <w:rPr>
                <w:noProof/>
                <w:webHidden/>
              </w:rPr>
              <w:fldChar w:fldCharType="begin"/>
            </w:r>
            <w:r>
              <w:rPr>
                <w:noProof/>
                <w:webHidden/>
              </w:rPr>
              <w:instrText xml:space="preserve"> PAGEREF _Toc184302761 \h </w:instrText>
            </w:r>
            <w:r>
              <w:rPr>
                <w:noProof/>
                <w:webHidden/>
              </w:rPr>
            </w:r>
            <w:r>
              <w:rPr>
                <w:noProof/>
                <w:webHidden/>
              </w:rPr>
              <w:fldChar w:fldCharType="separate"/>
            </w:r>
            <w:r>
              <w:rPr>
                <w:noProof/>
                <w:webHidden/>
              </w:rPr>
              <w:t>7</w:t>
            </w:r>
            <w:r>
              <w:rPr>
                <w:noProof/>
                <w:webHidden/>
              </w:rPr>
              <w:fldChar w:fldCharType="end"/>
            </w:r>
          </w:hyperlink>
        </w:p>
        <w:p w14:paraId="437CCBF8" w14:textId="422EA81A"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62" w:history="1">
            <w:r w:rsidRPr="00410AA5">
              <w:rPr>
                <w:rStyle w:val="Hyperlink"/>
                <w:noProof/>
              </w:rPr>
              <w:t>Recommendations</w:t>
            </w:r>
            <w:r>
              <w:rPr>
                <w:noProof/>
                <w:webHidden/>
              </w:rPr>
              <w:tab/>
            </w:r>
            <w:r>
              <w:rPr>
                <w:noProof/>
                <w:webHidden/>
              </w:rPr>
              <w:fldChar w:fldCharType="begin"/>
            </w:r>
            <w:r>
              <w:rPr>
                <w:noProof/>
                <w:webHidden/>
              </w:rPr>
              <w:instrText xml:space="preserve"> PAGEREF _Toc184302762 \h </w:instrText>
            </w:r>
            <w:r>
              <w:rPr>
                <w:noProof/>
                <w:webHidden/>
              </w:rPr>
            </w:r>
            <w:r>
              <w:rPr>
                <w:noProof/>
                <w:webHidden/>
              </w:rPr>
              <w:fldChar w:fldCharType="separate"/>
            </w:r>
            <w:r>
              <w:rPr>
                <w:noProof/>
                <w:webHidden/>
              </w:rPr>
              <w:t>8</w:t>
            </w:r>
            <w:r>
              <w:rPr>
                <w:noProof/>
                <w:webHidden/>
              </w:rPr>
              <w:fldChar w:fldCharType="end"/>
            </w:r>
          </w:hyperlink>
        </w:p>
        <w:p w14:paraId="25A9B0E1" w14:textId="391FC6BD"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63" w:history="1">
            <w:r w:rsidRPr="00410AA5">
              <w:rPr>
                <w:rStyle w:val="Hyperlink"/>
                <w:noProof/>
                <w:lang w:eastAsia="en-AU"/>
              </w:rPr>
              <w:t xml:space="preserve">Appendix: </w:t>
            </w:r>
            <w:r w:rsidRPr="00410AA5">
              <w:rPr>
                <w:rStyle w:val="Hyperlink"/>
                <w:noProof/>
              </w:rPr>
              <w:t>Comparison of available options</w:t>
            </w:r>
            <w:r>
              <w:rPr>
                <w:noProof/>
                <w:webHidden/>
              </w:rPr>
              <w:tab/>
            </w:r>
            <w:r>
              <w:rPr>
                <w:noProof/>
                <w:webHidden/>
              </w:rPr>
              <w:fldChar w:fldCharType="begin"/>
            </w:r>
            <w:r>
              <w:rPr>
                <w:noProof/>
                <w:webHidden/>
              </w:rPr>
              <w:instrText xml:space="preserve"> PAGEREF _Toc184302763 \h </w:instrText>
            </w:r>
            <w:r>
              <w:rPr>
                <w:noProof/>
                <w:webHidden/>
              </w:rPr>
            </w:r>
            <w:r>
              <w:rPr>
                <w:noProof/>
                <w:webHidden/>
              </w:rPr>
              <w:fldChar w:fldCharType="separate"/>
            </w:r>
            <w:r>
              <w:rPr>
                <w:noProof/>
                <w:webHidden/>
              </w:rPr>
              <w:t>9</w:t>
            </w:r>
            <w:r>
              <w:rPr>
                <w:noProof/>
                <w:webHidden/>
              </w:rPr>
              <w:fldChar w:fldCharType="end"/>
            </w:r>
          </w:hyperlink>
        </w:p>
        <w:p w14:paraId="79F35BA9" w14:textId="7E891AF5" w:rsidR="008263E5" w:rsidRDefault="008263E5">
          <w:pPr>
            <w:pStyle w:val="TOC2"/>
            <w:tabs>
              <w:tab w:val="right" w:leader="dot" w:pos="9940"/>
            </w:tabs>
            <w:rPr>
              <w:rFonts w:eastAsiaTheme="minorEastAsia" w:cstheme="minorBidi"/>
              <w:i w:val="0"/>
              <w:iCs w:val="0"/>
              <w:noProof/>
              <w:color w:val="auto"/>
              <w:sz w:val="22"/>
              <w:szCs w:val="22"/>
              <w:lang w:val="en-AU" w:eastAsia="en-AU"/>
            </w:rPr>
          </w:pPr>
          <w:hyperlink w:anchor="_Toc184302764" w:history="1">
            <w:r w:rsidRPr="00410AA5">
              <w:rPr>
                <w:rStyle w:val="Hyperlink"/>
                <w:noProof/>
              </w:rPr>
              <w:t>Effective options</w:t>
            </w:r>
            <w:r>
              <w:rPr>
                <w:noProof/>
                <w:webHidden/>
              </w:rPr>
              <w:tab/>
            </w:r>
            <w:r>
              <w:rPr>
                <w:noProof/>
                <w:webHidden/>
              </w:rPr>
              <w:fldChar w:fldCharType="begin"/>
            </w:r>
            <w:r>
              <w:rPr>
                <w:noProof/>
                <w:webHidden/>
              </w:rPr>
              <w:instrText xml:space="preserve"> PAGEREF _Toc184302764 \h </w:instrText>
            </w:r>
            <w:r>
              <w:rPr>
                <w:noProof/>
                <w:webHidden/>
              </w:rPr>
            </w:r>
            <w:r>
              <w:rPr>
                <w:noProof/>
                <w:webHidden/>
              </w:rPr>
              <w:fldChar w:fldCharType="separate"/>
            </w:r>
            <w:r>
              <w:rPr>
                <w:noProof/>
                <w:webHidden/>
              </w:rPr>
              <w:t>12</w:t>
            </w:r>
            <w:r>
              <w:rPr>
                <w:noProof/>
                <w:webHidden/>
              </w:rPr>
              <w:fldChar w:fldCharType="end"/>
            </w:r>
          </w:hyperlink>
        </w:p>
        <w:p w14:paraId="08105DE1" w14:textId="6A5C7D72" w:rsidR="008263E5" w:rsidRDefault="008263E5">
          <w:pPr>
            <w:pStyle w:val="TOC3"/>
            <w:tabs>
              <w:tab w:val="right" w:leader="dot" w:pos="9940"/>
            </w:tabs>
            <w:rPr>
              <w:rFonts w:eastAsiaTheme="minorEastAsia" w:cstheme="minorBidi"/>
              <w:noProof/>
              <w:color w:val="auto"/>
              <w:sz w:val="22"/>
              <w:szCs w:val="22"/>
              <w:lang w:val="en-AU" w:eastAsia="en-AU"/>
            </w:rPr>
          </w:pPr>
          <w:hyperlink w:anchor="_Toc184302765" w:history="1">
            <w:r w:rsidRPr="00410AA5">
              <w:rPr>
                <w:rStyle w:val="Hyperlink"/>
                <w:noProof/>
              </w:rPr>
              <w:t>A mandatory pre-commitment card</w:t>
            </w:r>
            <w:r>
              <w:rPr>
                <w:noProof/>
                <w:webHidden/>
              </w:rPr>
              <w:tab/>
            </w:r>
            <w:r>
              <w:rPr>
                <w:noProof/>
                <w:webHidden/>
              </w:rPr>
              <w:fldChar w:fldCharType="begin"/>
            </w:r>
            <w:r>
              <w:rPr>
                <w:noProof/>
                <w:webHidden/>
              </w:rPr>
              <w:instrText xml:space="preserve"> PAGEREF _Toc184302765 \h </w:instrText>
            </w:r>
            <w:r>
              <w:rPr>
                <w:noProof/>
                <w:webHidden/>
              </w:rPr>
            </w:r>
            <w:r>
              <w:rPr>
                <w:noProof/>
                <w:webHidden/>
              </w:rPr>
              <w:fldChar w:fldCharType="separate"/>
            </w:r>
            <w:r>
              <w:rPr>
                <w:noProof/>
                <w:webHidden/>
              </w:rPr>
              <w:t>12</w:t>
            </w:r>
            <w:r>
              <w:rPr>
                <w:noProof/>
                <w:webHidden/>
              </w:rPr>
              <w:fldChar w:fldCharType="end"/>
            </w:r>
          </w:hyperlink>
        </w:p>
        <w:p w14:paraId="76EE4166" w14:textId="371AFF28" w:rsidR="008263E5" w:rsidRDefault="008263E5">
          <w:pPr>
            <w:pStyle w:val="TOC3"/>
            <w:tabs>
              <w:tab w:val="right" w:leader="dot" w:pos="9940"/>
            </w:tabs>
            <w:rPr>
              <w:rFonts w:eastAsiaTheme="minorEastAsia" w:cstheme="minorBidi"/>
              <w:noProof/>
              <w:color w:val="auto"/>
              <w:sz w:val="22"/>
              <w:szCs w:val="22"/>
              <w:lang w:val="en-AU" w:eastAsia="en-AU"/>
            </w:rPr>
          </w:pPr>
          <w:hyperlink w:anchor="_Toc184302766" w:history="1">
            <w:r w:rsidRPr="00410AA5">
              <w:rPr>
                <w:rStyle w:val="Hyperlink"/>
                <w:noProof/>
              </w:rPr>
              <w:t>Other effective options</w:t>
            </w:r>
            <w:r>
              <w:rPr>
                <w:noProof/>
                <w:webHidden/>
              </w:rPr>
              <w:tab/>
            </w:r>
            <w:r>
              <w:rPr>
                <w:noProof/>
                <w:webHidden/>
              </w:rPr>
              <w:fldChar w:fldCharType="begin"/>
            </w:r>
            <w:r>
              <w:rPr>
                <w:noProof/>
                <w:webHidden/>
              </w:rPr>
              <w:instrText xml:space="preserve"> PAGEREF _Toc184302766 \h </w:instrText>
            </w:r>
            <w:r>
              <w:rPr>
                <w:noProof/>
                <w:webHidden/>
              </w:rPr>
            </w:r>
            <w:r>
              <w:rPr>
                <w:noProof/>
                <w:webHidden/>
              </w:rPr>
              <w:fldChar w:fldCharType="separate"/>
            </w:r>
            <w:r>
              <w:rPr>
                <w:noProof/>
                <w:webHidden/>
              </w:rPr>
              <w:t>12</w:t>
            </w:r>
            <w:r>
              <w:rPr>
                <w:noProof/>
                <w:webHidden/>
              </w:rPr>
              <w:fldChar w:fldCharType="end"/>
            </w:r>
          </w:hyperlink>
        </w:p>
        <w:p w14:paraId="2D4FDCE4" w14:textId="5CEC7C57" w:rsidR="008263E5" w:rsidRDefault="008263E5">
          <w:pPr>
            <w:pStyle w:val="TOC4"/>
            <w:tabs>
              <w:tab w:val="right" w:leader="dot" w:pos="9940"/>
            </w:tabs>
            <w:rPr>
              <w:rFonts w:eastAsiaTheme="minorEastAsia" w:cstheme="minorBidi"/>
              <w:noProof/>
              <w:color w:val="auto"/>
              <w:sz w:val="22"/>
              <w:szCs w:val="22"/>
              <w:lang w:val="en-AU" w:eastAsia="en-AU"/>
            </w:rPr>
          </w:pPr>
          <w:hyperlink w:anchor="_Toc184302767" w:history="1">
            <w:r w:rsidRPr="00410AA5">
              <w:rPr>
                <w:rStyle w:val="Hyperlink"/>
                <w:noProof/>
              </w:rPr>
              <w:t>Confine EGMs to casinos</w:t>
            </w:r>
            <w:r>
              <w:rPr>
                <w:noProof/>
                <w:webHidden/>
              </w:rPr>
              <w:tab/>
            </w:r>
            <w:r>
              <w:rPr>
                <w:noProof/>
                <w:webHidden/>
              </w:rPr>
              <w:fldChar w:fldCharType="begin"/>
            </w:r>
            <w:r>
              <w:rPr>
                <w:noProof/>
                <w:webHidden/>
              </w:rPr>
              <w:instrText xml:space="preserve"> PAGEREF _Toc184302767 \h </w:instrText>
            </w:r>
            <w:r>
              <w:rPr>
                <w:noProof/>
                <w:webHidden/>
              </w:rPr>
            </w:r>
            <w:r>
              <w:rPr>
                <w:noProof/>
                <w:webHidden/>
              </w:rPr>
              <w:fldChar w:fldCharType="separate"/>
            </w:r>
            <w:r>
              <w:rPr>
                <w:noProof/>
                <w:webHidden/>
              </w:rPr>
              <w:t>12</w:t>
            </w:r>
            <w:r>
              <w:rPr>
                <w:noProof/>
                <w:webHidden/>
              </w:rPr>
              <w:fldChar w:fldCharType="end"/>
            </w:r>
          </w:hyperlink>
        </w:p>
        <w:p w14:paraId="6BD9F3F6" w14:textId="2A12C296" w:rsidR="008263E5" w:rsidRDefault="008263E5">
          <w:pPr>
            <w:pStyle w:val="TOC4"/>
            <w:tabs>
              <w:tab w:val="right" w:leader="dot" w:pos="9940"/>
            </w:tabs>
            <w:rPr>
              <w:rFonts w:eastAsiaTheme="minorEastAsia" w:cstheme="minorBidi"/>
              <w:noProof/>
              <w:color w:val="auto"/>
              <w:sz w:val="22"/>
              <w:szCs w:val="22"/>
              <w:lang w:val="en-AU" w:eastAsia="en-AU"/>
            </w:rPr>
          </w:pPr>
          <w:hyperlink w:anchor="_Toc184302768" w:history="1">
            <w:r w:rsidRPr="00410AA5">
              <w:rPr>
                <w:rStyle w:val="Hyperlink"/>
                <w:noProof/>
              </w:rPr>
              <w:t>Limiting speed and intensity of products and limiting bet sizes</w:t>
            </w:r>
            <w:r>
              <w:rPr>
                <w:noProof/>
                <w:webHidden/>
              </w:rPr>
              <w:tab/>
            </w:r>
            <w:r>
              <w:rPr>
                <w:noProof/>
                <w:webHidden/>
              </w:rPr>
              <w:fldChar w:fldCharType="begin"/>
            </w:r>
            <w:r>
              <w:rPr>
                <w:noProof/>
                <w:webHidden/>
              </w:rPr>
              <w:instrText xml:space="preserve"> PAGEREF _Toc184302768 \h </w:instrText>
            </w:r>
            <w:r>
              <w:rPr>
                <w:noProof/>
                <w:webHidden/>
              </w:rPr>
            </w:r>
            <w:r>
              <w:rPr>
                <w:noProof/>
                <w:webHidden/>
              </w:rPr>
              <w:fldChar w:fldCharType="separate"/>
            </w:r>
            <w:r>
              <w:rPr>
                <w:noProof/>
                <w:webHidden/>
              </w:rPr>
              <w:t>13</w:t>
            </w:r>
            <w:r>
              <w:rPr>
                <w:noProof/>
                <w:webHidden/>
              </w:rPr>
              <w:fldChar w:fldCharType="end"/>
            </w:r>
          </w:hyperlink>
        </w:p>
        <w:p w14:paraId="23711C1B" w14:textId="00852D31" w:rsidR="008263E5" w:rsidRDefault="008263E5">
          <w:pPr>
            <w:pStyle w:val="TOC4"/>
            <w:tabs>
              <w:tab w:val="right" w:leader="dot" w:pos="9940"/>
            </w:tabs>
            <w:rPr>
              <w:rFonts w:eastAsiaTheme="minorEastAsia" w:cstheme="minorBidi"/>
              <w:noProof/>
              <w:color w:val="auto"/>
              <w:sz w:val="22"/>
              <w:szCs w:val="22"/>
              <w:lang w:val="en-AU" w:eastAsia="en-AU"/>
            </w:rPr>
          </w:pPr>
          <w:hyperlink w:anchor="_Toc184302769" w:history="1">
            <w:r w:rsidRPr="00410AA5">
              <w:rPr>
                <w:rStyle w:val="Hyperlink"/>
                <w:noProof/>
              </w:rPr>
              <w:t>Pop-ups or other interactive warnings</w:t>
            </w:r>
            <w:r>
              <w:rPr>
                <w:noProof/>
                <w:webHidden/>
              </w:rPr>
              <w:tab/>
            </w:r>
            <w:r>
              <w:rPr>
                <w:noProof/>
                <w:webHidden/>
              </w:rPr>
              <w:fldChar w:fldCharType="begin"/>
            </w:r>
            <w:r>
              <w:rPr>
                <w:noProof/>
                <w:webHidden/>
              </w:rPr>
              <w:instrText xml:space="preserve"> PAGEREF _Toc184302769 \h </w:instrText>
            </w:r>
            <w:r>
              <w:rPr>
                <w:noProof/>
                <w:webHidden/>
              </w:rPr>
            </w:r>
            <w:r>
              <w:rPr>
                <w:noProof/>
                <w:webHidden/>
              </w:rPr>
              <w:fldChar w:fldCharType="separate"/>
            </w:r>
            <w:r>
              <w:rPr>
                <w:noProof/>
                <w:webHidden/>
              </w:rPr>
              <w:t>14</w:t>
            </w:r>
            <w:r>
              <w:rPr>
                <w:noProof/>
                <w:webHidden/>
              </w:rPr>
              <w:fldChar w:fldCharType="end"/>
            </w:r>
          </w:hyperlink>
        </w:p>
        <w:p w14:paraId="454FF579" w14:textId="249E55D3" w:rsidR="008263E5" w:rsidRDefault="008263E5">
          <w:pPr>
            <w:pStyle w:val="TOC2"/>
            <w:tabs>
              <w:tab w:val="right" w:leader="dot" w:pos="9940"/>
            </w:tabs>
            <w:rPr>
              <w:rFonts w:eastAsiaTheme="minorEastAsia" w:cstheme="minorBidi"/>
              <w:i w:val="0"/>
              <w:iCs w:val="0"/>
              <w:noProof/>
              <w:color w:val="auto"/>
              <w:sz w:val="22"/>
              <w:szCs w:val="22"/>
              <w:lang w:val="en-AU" w:eastAsia="en-AU"/>
            </w:rPr>
          </w:pPr>
          <w:hyperlink w:anchor="_Toc184302770" w:history="1">
            <w:r w:rsidRPr="00410AA5">
              <w:rPr>
                <w:rStyle w:val="Hyperlink"/>
                <w:noProof/>
              </w:rPr>
              <w:t>Voluntary pre-commitment is not effective</w:t>
            </w:r>
            <w:r>
              <w:rPr>
                <w:noProof/>
                <w:webHidden/>
              </w:rPr>
              <w:tab/>
            </w:r>
            <w:r>
              <w:rPr>
                <w:noProof/>
                <w:webHidden/>
              </w:rPr>
              <w:fldChar w:fldCharType="begin"/>
            </w:r>
            <w:r>
              <w:rPr>
                <w:noProof/>
                <w:webHidden/>
              </w:rPr>
              <w:instrText xml:space="preserve"> PAGEREF _Toc184302770 \h </w:instrText>
            </w:r>
            <w:r>
              <w:rPr>
                <w:noProof/>
                <w:webHidden/>
              </w:rPr>
            </w:r>
            <w:r>
              <w:rPr>
                <w:noProof/>
                <w:webHidden/>
              </w:rPr>
              <w:fldChar w:fldCharType="separate"/>
            </w:r>
            <w:r>
              <w:rPr>
                <w:noProof/>
                <w:webHidden/>
              </w:rPr>
              <w:t>14</w:t>
            </w:r>
            <w:r>
              <w:rPr>
                <w:noProof/>
                <w:webHidden/>
              </w:rPr>
              <w:fldChar w:fldCharType="end"/>
            </w:r>
          </w:hyperlink>
        </w:p>
        <w:p w14:paraId="27890F9B" w14:textId="5D6FD33F"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71" w:history="1">
            <w:r w:rsidRPr="00410AA5">
              <w:rPr>
                <w:rStyle w:val="Hyperlink"/>
                <w:noProof/>
              </w:rPr>
              <w:t>References</w:t>
            </w:r>
            <w:r>
              <w:rPr>
                <w:noProof/>
                <w:webHidden/>
              </w:rPr>
              <w:tab/>
            </w:r>
            <w:r>
              <w:rPr>
                <w:noProof/>
                <w:webHidden/>
              </w:rPr>
              <w:fldChar w:fldCharType="begin"/>
            </w:r>
            <w:r>
              <w:rPr>
                <w:noProof/>
                <w:webHidden/>
              </w:rPr>
              <w:instrText xml:space="preserve"> PAGEREF _Toc184302771 \h </w:instrText>
            </w:r>
            <w:r>
              <w:rPr>
                <w:noProof/>
                <w:webHidden/>
              </w:rPr>
            </w:r>
            <w:r>
              <w:rPr>
                <w:noProof/>
                <w:webHidden/>
              </w:rPr>
              <w:fldChar w:fldCharType="separate"/>
            </w:r>
            <w:r>
              <w:rPr>
                <w:noProof/>
                <w:webHidden/>
              </w:rPr>
              <w:t>15</w:t>
            </w:r>
            <w:r>
              <w:rPr>
                <w:noProof/>
                <w:webHidden/>
              </w:rPr>
              <w:fldChar w:fldCharType="end"/>
            </w:r>
          </w:hyperlink>
        </w:p>
        <w:p w14:paraId="50286F52" w14:textId="35108EFD" w:rsidR="008263E5" w:rsidRDefault="008263E5">
          <w:pPr>
            <w:pStyle w:val="TOC1"/>
            <w:tabs>
              <w:tab w:val="right" w:leader="dot" w:pos="9940"/>
            </w:tabs>
            <w:rPr>
              <w:rFonts w:eastAsiaTheme="minorEastAsia" w:cstheme="minorBidi"/>
              <w:b w:val="0"/>
              <w:bCs w:val="0"/>
              <w:noProof/>
              <w:color w:val="auto"/>
              <w:sz w:val="22"/>
              <w:szCs w:val="22"/>
              <w:lang w:val="en-AU" w:eastAsia="en-AU"/>
            </w:rPr>
          </w:pPr>
          <w:hyperlink w:anchor="_Toc184302772" w:history="1">
            <w:r w:rsidRPr="00410AA5">
              <w:rPr>
                <w:rStyle w:val="Hyperlink"/>
                <w:noProof/>
              </w:rPr>
              <w:t>About Anglicare Tasmania</w:t>
            </w:r>
            <w:r>
              <w:rPr>
                <w:noProof/>
                <w:webHidden/>
              </w:rPr>
              <w:tab/>
            </w:r>
            <w:r>
              <w:rPr>
                <w:noProof/>
                <w:webHidden/>
              </w:rPr>
              <w:fldChar w:fldCharType="begin"/>
            </w:r>
            <w:r>
              <w:rPr>
                <w:noProof/>
                <w:webHidden/>
              </w:rPr>
              <w:instrText xml:space="preserve"> PAGEREF _Toc184302772 \h </w:instrText>
            </w:r>
            <w:r>
              <w:rPr>
                <w:noProof/>
                <w:webHidden/>
              </w:rPr>
            </w:r>
            <w:r>
              <w:rPr>
                <w:noProof/>
                <w:webHidden/>
              </w:rPr>
              <w:fldChar w:fldCharType="separate"/>
            </w:r>
            <w:r>
              <w:rPr>
                <w:noProof/>
                <w:webHidden/>
              </w:rPr>
              <w:t>16</w:t>
            </w:r>
            <w:r>
              <w:rPr>
                <w:noProof/>
                <w:webHidden/>
              </w:rPr>
              <w:fldChar w:fldCharType="end"/>
            </w:r>
          </w:hyperlink>
        </w:p>
        <w:p w14:paraId="3A43779A" w14:textId="5D4F0412" w:rsidR="008263E5" w:rsidRDefault="008263E5">
          <w:pPr>
            <w:pStyle w:val="TOC2"/>
            <w:tabs>
              <w:tab w:val="right" w:leader="dot" w:pos="9940"/>
            </w:tabs>
            <w:rPr>
              <w:rFonts w:eastAsiaTheme="minorEastAsia" w:cstheme="minorBidi"/>
              <w:i w:val="0"/>
              <w:iCs w:val="0"/>
              <w:noProof/>
              <w:color w:val="auto"/>
              <w:sz w:val="22"/>
              <w:szCs w:val="22"/>
              <w:lang w:val="en-AU" w:eastAsia="en-AU"/>
            </w:rPr>
          </w:pPr>
          <w:hyperlink w:anchor="_Toc184302773" w:history="1">
            <w:r w:rsidRPr="00410AA5">
              <w:rPr>
                <w:rStyle w:val="Hyperlink"/>
                <w:noProof/>
              </w:rPr>
              <w:t>Anglicare Tasmania’s Social Action and Research Centre</w:t>
            </w:r>
            <w:r>
              <w:rPr>
                <w:noProof/>
                <w:webHidden/>
              </w:rPr>
              <w:tab/>
            </w:r>
            <w:r>
              <w:rPr>
                <w:noProof/>
                <w:webHidden/>
              </w:rPr>
              <w:fldChar w:fldCharType="begin"/>
            </w:r>
            <w:r>
              <w:rPr>
                <w:noProof/>
                <w:webHidden/>
              </w:rPr>
              <w:instrText xml:space="preserve"> PAGEREF _Toc184302773 \h </w:instrText>
            </w:r>
            <w:r>
              <w:rPr>
                <w:noProof/>
                <w:webHidden/>
              </w:rPr>
            </w:r>
            <w:r>
              <w:rPr>
                <w:noProof/>
                <w:webHidden/>
              </w:rPr>
              <w:fldChar w:fldCharType="separate"/>
            </w:r>
            <w:r>
              <w:rPr>
                <w:noProof/>
                <w:webHidden/>
              </w:rPr>
              <w:t>16</w:t>
            </w:r>
            <w:r>
              <w:rPr>
                <w:noProof/>
                <w:webHidden/>
              </w:rPr>
              <w:fldChar w:fldCharType="end"/>
            </w:r>
          </w:hyperlink>
        </w:p>
        <w:p w14:paraId="4D59245E" w14:textId="1514EE01" w:rsidR="00D056A8" w:rsidRDefault="008263E5" w:rsidP="00242FA3">
          <w:pPr>
            <w:rPr>
              <w:rStyle w:val="Emphasis"/>
              <w:i w:val="0"/>
              <w:iCs w:val="0"/>
              <w:color w:val="4472C4" w:themeColor="accent1"/>
            </w:rPr>
          </w:pPr>
          <w:r>
            <w:rPr>
              <w:rFonts w:asciiTheme="minorHAnsi" w:hAnsiTheme="minorHAnsi" w:cstheme="minorHAnsi"/>
              <w:i/>
              <w:iCs/>
              <w:sz w:val="20"/>
              <w:szCs w:val="20"/>
            </w:rPr>
            <w:fldChar w:fldCharType="end"/>
          </w:r>
        </w:p>
      </w:sdtContent>
    </w:sdt>
    <w:p w14:paraId="6FD5058F" w14:textId="77777777" w:rsidR="00D056A8" w:rsidRPr="00740EB5" w:rsidRDefault="00D056A8" w:rsidP="003E10D2">
      <w:pPr>
        <w:pStyle w:val="IntenseQuote"/>
        <w:rPr>
          <w:rStyle w:val="Emphasis"/>
        </w:rPr>
      </w:pPr>
      <w:bookmarkStart w:id="1" w:name="_GoBack"/>
      <w:bookmarkEnd w:id="1"/>
      <w:r w:rsidRPr="00740EB5">
        <w:rPr>
          <w:rStyle w:val="Emphasis"/>
        </w:rPr>
        <w:t>Anglicare Tasmania acknowledges the Tasmanian Aboriginal community as the traditional and original owners and continuing custodians of this land lutruwita.</w:t>
      </w:r>
      <w:r>
        <w:rPr>
          <w:rStyle w:val="Emphasis"/>
        </w:rPr>
        <w:t xml:space="preserve"> </w:t>
      </w:r>
      <w:r w:rsidRPr="00740EB5">
        <w:rPr>
          <w:rStyle w:val="Emphasis"/>
        </w:rPr>
        <w:t>We pay respect to Elders past and present.</w:t>
      </w:r>
    </w:p>
    <w:bookmarkEnd w:id="0"/>
    <w:p w14:paraId="5A432FDD" w14:textId="77777777" w:rsidR="00D056A8" w:rsidRDefault="00D056A8" w:rsidP="003E10D2">
      <w:pPr>
        <w:pStyle w:val="Heading2"/>
      </w:pPr>
    </w:p>
    <w:p w14:paraId="5E90274C" w14:textId="77777777" w:rsidR="00D056A8" w:rsidRDefault="00D056A8" w:rsidP="003E10D2">
      <w:pPr>
        <w:spacing w:before="0" w:after="0"/>
        <w:rPr>
          <w:rFonts w:ascii="Avenir Next Demi Bold" w:eastAsia="AvenirNextLTPro-Demi" w:hAnsi="Avenir Next Demi Bold" w:cs="AvenirNextLTPro-Demi"/>
          <w:b/>
          <w:color w:val="248EB9"/>
          <w:spacing w:val="-6"/>
          <w:sz w:val="36"/>
          <w:szCs w:val="36"/>
          <w:lang w:val="en-US" w:eastAsia="en-AU"/>
        </w:rPr>
      </w:pPr>
    </w:p>
    <w:p w14:paraId="5B406BAB" w14:textId="77777777" w:rsidR="00D056A8" w:rsidRPr="00C61F11" w:rsidRDefault="00D056A8">
      <w:pPr>
        <w:rPr>
          <w:rFonts w:ascii="AvenirNext LT Pro Regular" w:hAnsi="AvenirNext LT Pro Regular"/>
        </w:rPr>
        <w:sectPr w:rsidR="00D056A8" w:rsidRPr="00C61F11">
          <w:pgSz w:w="11910" w:h="16840"/>
          <w:pgMar w:top="1500" w:right="1000" w:bottom="280" w:left="960" w:header="720" w:footer="720" w:gutter="0"/>
          <w:cols w:space="720"/>
        </w:sectPr>
      </w:pPr>
    </w:p>
    <w:p w14:paraId="516F6FE3" w14:textId="77777777" w:rsidR="00D056A8" w:rsidRPr="001C1BDB" w:rsidRDefault="00D056A8" w:rsidP="003E10D2">
      <w:pPr>
        <w:pStyle w:val="Heading1"/>
      </w:pPr>
      <w:bookmarkStart w:id="2" w:name="_Toc184302756"/>
      <w:r w:rsidRPr="001C1BDB">
        <w:lastRenderedPageBreak/>
        <w:t>Electronic Gaming Machines cause harm</w:t>
      </w:r>
      <w:bookmarkEnd w:id="2"/>
    </w:p>
    <w:p w14:paraId="3B243F77" w14:textId="77777777" w:rsidR="00D056A8" w:rsidRDefault="00D056A8" w:rsidP="003E10D2">
      <w:pPr>
        <w:pStyle w:val="BodyText"/>
      </w:pPr>
      <w:r w:rsidRPr="004270C5">
        <w:t>E</w:t>
      </w:r>
      <w:r>
        <w:t>lectronic Gaming Machines (E</w:t>
      </w:r>
      <w:r w:rsidRPr="004270C5">
        <w:t>GM</w:t>
      </w:r>
      <w:r>
        <w:t>s)</w:t>
      </w:r>
      <w:r w:rsidRPr="004270C5">
        <w:t xml:space="preserve"> </w:t>
      </w:r>
      <w:r>
        <w:t>are</w:t>
      </w:r>
      <w:r w:rsidRPr="004270C5">
        <w:t xml:space="preserve"> the most harmful form of gambling </w:t>
      </w:r>
      <w:r>
        <w:t xml:space="preserve">in Tasmania, accounting for almost half of all gambling related harm </w:t>
      </w:r>
      <w:r>
        <w:rPr>
          <w:noProof/>
        </w:rPr>
        <w:t>(O'Neil et al. 2021; Sathanapally et al. 2024)</w:t>
      </w:r>
      <w:r>
        <w:t>.</w:t>
      </w:r>
    </w:p>
    <w:p w14:paraId="78A39690" w14:textId="77777777" w:rsidR="00D056A8" w:rsidRDefault="00D056A8" w:rsidP="003E10D2">
      <w:pPr>
        <w:pStyle w:val="BodyText"/>
      </w:pPr>
      <w:r>
        <w:t xml:space="preserve">In the past 12 months, </w:t>
      </w:r>
      <w:r w:rsidRPr="00FC3249">
        <w:t>15</w:t>
      </w:r>
      <w:r>
        <w:t>,</w:t>
      </w:r>
      <w:r w:rsidRPr="00FC3249">
        <w:t>400 Tasmanians</w:t>
      </w:r>
      <w:r w:rsidRPr="004270C5">
        <w:t xml:space="preserve"> </w:t>
      </w:r>
      <w:r>
        <w:t>who use</w:t>
      </w:r>
      <w:r w:rsidRPr="004270C5">
        <w:t xml:space="preserve"> EGMs </w:t>
      </w:r>
      <w:r>
        <w:t xml:space="preserve">were </w:t>
      </w:r>
      <w:r w:rsidRPr="004270C5">
        <w:t>at risk of gambling harm</w:t>
      </w:r>
      <w:r>
        <w:t xml:space="preserve"> and a further 16,300 Tasmanians </w:t>
      </w:r>
      <w:r w:rsidRPr="004270C5">
        <w:t xml:space="preserve">experienced direct harm as a result of somebody else’s </w:t>
      </w:r>
      <w:r>
        <w:t xml:space="preserve">EGM </w:t>
      </w:r>
      <w:r w:rsidRPr="004270C5">
        <w:t>gambling</w:t>
      </w:r>
      <w:r>
        <w:t xml:space="preserve"> </w:t>
      </w:r>
      <w:r>
        <w:rPr>
          <w:noProof/>
        </w:rPr>
        <w:t>(Hing et al. 2022)</w:t>
      </w:r>
      <w:r>
        <w:t xml:space="preserve">. </w:t>
      </w:r>
    </w:p>
    <w:p w14:paraId="36D40674" w14:textId="77777777" w:rsidR="00D056A8" w:rsidRPr="007106D6" w:rsidRDefault="00D056A8" w:rsidP="003E10D2">
      <w:pPr>
        <w:pStyle w:val="BodyText"/>
      </w:pPr>
      <w:r>
        <w:t xml:space="preserve">The total of people harmed is over 31,000. It </w:t>
      </w:r>
      <w:r w:rsidRPr="007106D6">
        <w:t>is not a small number of Tasmanians</w:t>
      </w:r>
      <w:r w:rsidRPr="00FC3249">
        <w:t>.</w:t>
      </w:r>
    </w:p>
    <w:p w14:paraId="7F085898" w14:textId="1A36C13E" w:rsidR="00D056A8" w:rsidRDefault="00D056A8" w:rsidP="003E10D2">
      <w:pPr>
        <w:pStyle w:val="BodyText"/>
      </w:pPr>
      <w:r>
        <w:t>On</w:t>
      </w:r>
      <w:r w:rsidRPr="004270C5">
        <w:t xml:space="preserve"> </w:t>
      </w:r>
      <w:r w:rsidRPr="008D500B">
        <w:t xml:space="preserve">19 November 2024, the </w:t>
      </w:r>
      <w:r>
        <w:t>Tasmanian G</w:t>
      </w:r>
      <w:r w:rsidRPr="008D500B">
        <w:t xml:space="preserve">overnment announced that </w:t>
      </w:r>
      <w:r>
        <w:t>‘a</w:t>
      </w:r>
      <w:r w:rsidRPr="008D500B">
        <w:t xml:space="preserve"> range of harm minimisation measures will be progressed to reduce the harm associated with EGMs while the Government defers progress on a mandatory pre-commitment card</w:t>
      </w:r>
      <w:r>
        <w:t xml:space="preserve">’ </w:t>
      </w:r>
      <w:r>
        <w:rPr>
          <w:noProof/>
        </w:rPr>
        <w:t>(Barnett et al. 2024)</w:t>
      </w:r>
      <w:r>
        <w:t xml:space="preserve">, with the Premier stating that he </w:t>
      </w:r>
      <w:r w:rsidRPr="00155F83">
        <w:t xml:space="preserve">would </w:t>
      </w:r>
      <w:r>
        <w:t>‘</w:t>
      </w:r>
      <w:r w:rsidRPr="00155F83">
        <w:t>prefer to achieve 80 per cent of something than 100 per cent of nothing</w:t>
      </w:r>
      <w:r>
        <w:t xml:space="preserve">’ </w:t>
      </w:r>
      <w:r>
        <w:rPr>
          <w:noProof/>
        </w:rPr>
        <w:t>(Tasmania House of Assembly 2024)</w:t>
      </w:r>
      <w:r>
        <w:t xml:space="preserve">. </w:t>
      </w:r>
    </w:p>
    <w:p w14:paraId="7E3BB1DB" w14:textId="77777777" w:rsidR="00D056A8" w:rsidRPr="00FC3249" w:rsidRDefault="00D056A8" w:rsidP="003E10D2">
      <w:pPr>
        <w:pStyle w:val="BodyText"/>
      </w:pPr>
      <w:r>
        <w:t xml:space="preserve">This paper canvasses the available options and their capacity to reduce and minimise gambling harm. </w:t>
      </w:r>
    </w:p>
    <w:p w14:paraId="53231B77" w14:textId="77777777" w:rsidR="00D056A8" w:rsidRDefault="00D056A8" w:rsidP="003E10D2">
      <w:pPr>
        <w:pStyle w:val="Heading1"/>
      </w:pPr>
      <w:bookmarkStart w:id="3" w:name="_Toc184302757"/>
      <w:r>
        <w:t>Self-exclusion does not prevent harm</w:t>
      </w:r>
      <w:bookmarkEnd w:id="3"/>
    </w:p>
    <w:p w14:paraId="04E17648" w14:textId="6409F0E0" w:rsidR="00D056A8" w:rsidRPr="00F82F8D" w:rsidRDefault="00D056A8" w:rsidP="003E10D2">
      <w:pPr>
        <w:rPr>
          <w:lang w:val="en-US" w:eastAsia="en-AU"/>
        </w:rPr>
      </w:pPr>
      <w:r>
        <w:rPr>
          <w:lang w:val="en-US" w:eastAsia="en-AU"/>
        </w:rPr>
        <w:t>The current framework, which relies on a ‘gambl</w:t>
      </w:r>
      <w:r w:rsidR="003E10D2">
        <w:rPr>
          <w:lang w:val="en-US" w:eastAsia="en-AU"/>
        </w:rPr>
        <w:t>ing</w:t>
      </w:r>
      <w:r>
        <w:rPr>
          <w:lang w:val="en-US" w:eastAsia="en-AU"/>
        </w:rPr>
        <w:t xml:space="preserve"> responsibly’ approach, is not adequately preventing harm to Tasmanians as a result of EGM use by themselves or by somebody else.</w:t>
      </w:r>
    </w:p>
    <w:p w14:paraId="588357A9" w14:textId="77777777" w:rsidR="00D056A8" w:rsidRPr="00A00137" w:rsidRDefault="00D056A8" w:rsidP="003E10D2">
      <w:pPr>
        <w:pStyle w:val="ListParagraph"/>
      </w:pPr>
      <w:r>
        <w:t>O</w:t>
      </w:r>
      <w:r w:rsidRPr="00B71561">
        <w:t>ver 1</w:t>
      </w:r>
      <w:r>
        <w:t>,</w:t>
      </w:r>
      <w:r w:rsidRPr="00B71561">
        <w:t xml:space="preserve">800 </w:t>
      </w:r>
      <w:r>
        <w:t xml:space="preserve">regular EGM users </w:t>
      </w:r>
      <w:r w:rsidRPr="00B71561">
        <w:t>want to seek help but haven’t</w:t>
      </w:r>
      <w:r>
        <w:t xml:space="preserve">. </w:t>
      </w:r>
    </w:p>
    <w:p w14:paraId="41C6CE61" w14:textId="397A3B2B" w:rsidR="00D056A8" w:rsidRDefault="00D056A8" w:rsidP="003E10D2">
      <w:pPr>
        <w:pStyle w:val="ListParagraph"/>
      </w:pPr>
      <w:r>
        <w:t xml:space="preserve">At least two-thirds of regular users of EGMs do not feel that they need help. </w:t>
      </w:r>
    </w:p>
    <w:p w14:paraId="02E82CDE" w14:textId="30D89D67" w:rsidR="00D056A8" w:rsidRPr="00C31AE3" w:rsidRDefault="00D056A8" w:rsidP="003E10D2">
      <w:pPr>
        <w:pStyle w:val="ListParagraph"/>
      </w:pPr>
      <w:r>
        <w:t>People who gamble underestimate the impact of their gambling on other people by up to 70%.</w:t>
      </w:r>
      <w:r w:rsidRPr="00564750">
        <w:t xml:space="preserve"> </w:t>
      </w:r>
    </w:p>
    <w:p w14:paraId="200DFB05" w14:textId="77777777" w:rsidR="00D056A8" w:rsidRPr="00F82F8D" w:rsidRDefault="00D056A8" w:rsidP="003E10D2">
      <w:pPr>
        <w:pStyle w:val="ListParagraph"/>
      </w:pPr>
      <w:r w:rsidRPr="00F82F8D">
        <w:t xml:space="preserve">98% of people using EGMs who are at risk of gambling harm are not engaging with Gamblers Help or enrolling in </w:t>
      </w:r>
      <w:r>
        <w:t>the</w:t>
      </w:r>
      <w:r w:rsidRPr="00F82F8D">
        <w:t xml:space="preserve"> self-exclusion program</w:t>
      </w:r>
      <w:r>
        <w:t>.</w:t>
      </w:r>
      <w:r w:rsidRPr="00F82F8D">
        <w:t xml:space="preserve"> </w:t>
      </w:r>
    </w:p>
    <w:p w14:paraId="5363B566" w14:textId="77777777" w:rsidR="00D056A8" w:rsidRDefault="00D056A8" w:rsidP="003E10D2">
      <w:pPr>
        <w:pStyle w:val="ListParagraph"/>
      </w:pPr>
      <w:r w:rsidRPr="00F82F8D">
        <w:t>94% of regular EGM users at risk of gambling harm are not seeking help from any source</w:t>
      </w:r>
      <w:r>
        <w:t xml:space="preserve"> </w:t>
      </w:r>
      <w:r>
        <w:rPr>
          <w:noProof/>
        </w:rPr>
        <w:t>(Greer et al. 2023)</w:t>
      </w:r>
      <w:r>
        <w:t>.</w:t>
      </w:r>
    </w:p>
    <w:p w14:paraId="3332FEF2" w14:textId="77777777" w:rsidR="00D056A8" w:rsidRDefault="00D056A8" w:rsidP="003E10D2">
      <w:pPr>
        <w:rPr>
          <w:lang w:val="en-US" w:eastAsia="en-AU"/>
        </w:rPr>
      </w:pPr>
      <w:r>
        <w:rPr>
          <w:lang w:val="en-US" w:eastAsia="en-AU"/>
        </w:rPr>
        <w:t>Relying on self-exclusion and a ‘responsible gambling’ approach is ineffective because people using EGMs, particularly those at high risk:</w:t>
      </w:r>
    </w:p>
    <w:p w14:paraId="466B4B2D" w14:textId="77777777" w:rsidR="00D056A8" w:rsidRDefault="00D056A8" w:rsidP="003E10D2">
      <w:pPr>
        <w:pStyle w:val="ListParagraph"/>
      </w:pPr>
      <w:r>
        <w:t>are unlikely to</w:t>
      </w:r>
      <w:r w:rsidRPr="00BD3F5F">
        <w:t xml:space="preserve"> self-identify the risk of harm to themselves and others before it occurs</w:t>
      </w:r>
    </w:p>
    <w:p w14:paraId="1D2FDF35" w14:textId="77777777" w:rsidR="00D056A8" w:rsidRPr="00BD3F5F" w:rsidRDefault="00D056A8" w:rsidP="003E10D2">
      <w:pPr>
        <w:pStyle w:val="ListParagraph"/>
      </w:pPr>
      <w:r>
        <w:t>are unlikely to seek help even if they want to</w:t>
      </w:r>
      <w:r w:rsidRPr="00BD3F5F">
        <w:t xml:space="preserve"> </w:t>
      </w:r>
    </w:p>
    <w:p w14:paraId="5092B045" w14:textId="77777777" w:rsidR="00D056A8" w:rsidRPr="0031229D" w:rsidRDefault="00D056A8" w:rsidP="003E10D2">
      <w:pPr>
        <w:pStyle w:val="ListParagraph"/>
      </w:pPr>
      <w:r>
        <w:t>may not be capable of reducing harm if they experience a loss of control.</w:t>
      </w:r>
    </w:p>
    <w:p w14:paraId="268133DD" w14:textId="77777777" w:rsidR="00D056A8" w:rsidRPr="00C52814" w:rsidRDefault="00D056A8" w:rsidP="003E10D2">
      <w:pPr>
        <w:pStyle w:val="BodyText"/>
        <w:rPr>
          <w:lang w:val="en-US"/>
        </w:rPr>
      </w:pPr>
      <w:r>
        <w:rPr>
          <w:lang w:val="en-US"/>
        </w:rPr>
        <w:t xml:space="preserve">Increasing efforts to enroll people in self-exclusion or to ‘gamble responsibly’ will have little impact on harm reduction. </w:t>
      </w:r>
    </w:p>
    <w:p w14:paraId="45AF753C" w14:textId="77777777" w:rsidR="00D056A8" w:rsidRDefault="00D056A8">
      <w:pPr>
        <w:spacing w:before="0" w:after="0"/>
        <w:rPr>
          <w:rFonts w:ascii="Avenir Next Demi Bold" w:eastAsia="AvenirNextLTPro-Demi" w:hAnsi="Avenir Next Demi Bold" w:cs="AvenirNextLTPro-Demi"/>
          <w:b/>
          <w:color w:val="248EB9"/>
          <w:spacing w:val="-6"/>
          <w:sz w:val="36"/>
          <w:szCs w:val="36"/>
          <w:lang w:val="en-US" w:eastAsia="en-AU"/>
        </w:rPr>
      </w:pPr>
      <w:r>
        <w:br w:type="page"/>
      </w:r>
    </w:p>
    <w:p w14:paraId="7731515D" w14:textId="77777777" w:rsidR="00D056A8" w:rsidRDefault="00D056A8" w:rsidP="003E10D2">
      <w:pPr>
        <w:pStyle w:val="Heading1"/>
      </w:pPr>
      <w:bookmarkStart w:id="4" w:name="_Toc184302758"/>
      <w:r>
        <w:lastRenderedPageBreak/>
        <w:t>The policy objective</w:t>
      </w:r>
      <w:bookmarkEnd w:id="4"/>
    </w:p>
    <w:p w14:paraId="3A0B636F" w14:textId="77777777" w:rsidR="00D056A8" w:rsidRDefault="00D056A8" w:rsidP="003E10D2">
      <w:pPr>
        <w:rPr>
          <w:lang w:val="en-US"/>
        </w:rPr>
      </w:pPr>
      <w:r>
        <w:rPr>
          <w:lang w:val="en-US"/>
        </w:rPr>
        <w:t>The objective is to reduce gambling-related harm in Tasmania by implementing measures to ensure that people using EGMs:</w:t>
      </w:r>
    </w:p>
    <w:p w14:paraId="61F25C88" w14:textId="77777777" w:rsidR="00D056A8" w:rsidRPr="000353E9" w:rsidRDefault="00D056A8" w:rsidP="003E10D2">
      <w:pPr>
        <w:pStyle w:val="ListParagraph"/>
      </w:pPr>
      <w:r>
        <w:t xml:space="preserve">are </w:t>
      </w:r>
      <w:r w:rsidRPr="000353E9">
        <w:t>provided with the best information available to make an informed choice/decision about participation</w:t>
      </w:r>
    </w:p>
    <w:p w14:paraId="29D4CAFD" w14:textId="77777777" w:rsidR="00D056A8" w:rsidRPr="000353E9" w:rsidRDefault="00D056A8" w:rsidP="003E10D2">
      <w:pPr>
        <w:pStyle w:val="ListParagraph"/>
      </w:pPr>
      <w:r w:rsidRPr="000353E9">
        <w:t>have the financial capacity to participate</w:t>
      </w:r>
    </w:p>
    <w:p w14:paraId="637C0FDE" w14:textId="77777777" w:rsidR="00D056A8" w:rsidRPr="000353E9" w:rsidRDefault="00D056A8" w:rsidP="003E10D2">
      <w:pPr>
        <w:pStyle w:val="ListParagraph"/>
      </w:pPr>
      <w:r w:rsidRPr="000353E9">
        <w:t>spend what they intend to spend</w:t>
      </w:r>
    </w:p>
    <w:p w14:paraId="2979AE30" w14:textId="77777777" w:rsidR="00D056A8" w:rsidRDefault="00D056A8" w:rsidP="003E10D2">
      <w:pPr>
        <w:pStyle w:val="ListParagraph"/>
      </w:pPr>
      <w:r>
        <w:t xml:space="preserve">are </w:t>
      </w:r>
      <w:r w:rsidRPr="000353E9">
        <w:t>supported actively to address ‘at risk’ and gambling harm where relevant</w:t>
      </w:r>
    </w:p>
    <w:p w14:paraId="3C1C288D" w14:textId="77777777" w:rsidR="00D056A8" w:rsidRPr="00646549" w:rsidRDefault="00D056A8" w:rsidP="003E10D2">
      <w:pPr>
        <w:pStyle w:val="ListParagraph"/>
      </w:pPr>
      <w:r>
        <w:t>are protected from harm by actively identifying harmful gambling behaviours and interventions to prevent harm</w:t>
      </w:r>
      <w:r w:rsidRPr="000353E9">
        <w:t xml:space="preserve"> </w:t>
      </w:r>
      <w:r>
        <w:rPr>
          <w:noProof/>
        </w:rPr>
        <w:t>(TLGC 2022)</w:t>
      </w:r>
      <w:r>
        <w:t>.</w:t>
      </w:r>
    </w:p>
    <w:p w14:paraId="1F4C7D25" w14:textId="011B52B6" w:rsidR="00D056A8" w:rsidRDefault="00D056A8" w:rsidP="003E10D2">
      <w:pPr>
        <w:pStyle w:val="BodyText"/>
      </w:pPr>
      <w:r>
        <w:t xml:space="preserve">An effective policy will prevent and reduce harm to others, such as financial hardship, domestic violence and abuse, mental ill-health and substance abuse, that occurs when a person who gambles does not recognise their loss of control or need for support. </w:t>
      </w:r>
    </w:p>
    <w:p w14:paraId="5469B8B3" w14:textId="77777777" w:rsidR="00D056A8" w:rsidRPr="007106D6" w:rsidRDefault="00D056A8" w:rsidP="003E10D2">
      <w:pPr>
        <w:pStyle w:val="Heading1"/>
      </w:pPr>
      <w:bookmarkStart w:id="5" w:name="_Toc184302759"/>
      <w:r>
        <w:t>Tasmanian evidence of the effectiveness of a pre-commitment card</w:t>
      </w:r>
      <w:bookmarkEnd w:id="5"/>
    </w:p>
    <w:p w14:paraId="76DF9712" w14:textId="6C6AAE9E" w:rsidR="00D056A8" w:rsidRDefault="00D056A8" w:rsidP="003E10D2">
      <w:pPr>
        <w:pStyle w:val="BodyText"/>
      </w:pPr>
      <w:r>
        <w:rPr>
          <w:lang w:val="en-US"/>
        </w:rPr>
        <w:t xml:space="preserve">In Tasmanian casinos, </w:t>
      </w:r>
      <w:r>
        <w:t>a</w:t>
      </w:r>
      <w:r w:rsidRPr="00FC7832">
        <w:t xml:space="preserve"> </w:t>
      </w:r>
      <w:r>
        <w:t>card is required to use EGMs. Since the introduction of card-based play in 2017 and pre-commitment in 2021, the number of people engaging with Gamblers Help who mainly use casino EGMs has fallen by over 60% (see Figure 1).</w:t>
      </w:r>
    </w:p>
    <w:p w14:paraId="7AB38AE4" w14:textId="77777777" w:rsidR="00D056A8" w:rsidRPr="00B72248" w:rsidRDefault="00D056A8" w:rsidP="003E10D2">
      <w:pPr>
        <w:pStyle w:val="BodyText"/>
      </w:pPr>
    </w:p>
    <w:p w14:paraId="54E448AF" w14:textId="62E5FA6E" w:rsidR="00D056A8" w:rsidRDefault="003E10D2" w:rsidP="003E10D2">
      <w:pPr>
        <w:pStyle w:val="BodyText"/>
      </w:pPr>
      <w:r>
        <w:rPr>
          <w:noProof/>
        </w:rPr>
        <mc:AlternateContent>
          <mc:Choice Requires="wps">
            <w:drawing>
              <wp:anchor distT="0" distB="0" distL="114300" distR="114300" simplePos="0" relativeHeight="251679744" behindDoc="0" locked="0" layoutInCell="1" allowOverlap="1" wp14:anchorId="650CC786" wp14:editId="2ADDBA8F">
                <wp:simplePos x="0" y="0"/>
                <wp:positionH relativeFrom="column">
                  <wp:posOffset>4050182</wp:posOffset>
                </wp:positionH>
                <wp:positionV relativeFrom="paragraph">
                  <wp:posOffset>347397</wp:posOffset>
                </wp:positionV>
                <wp:extent cx="1975485" cy="890702"/>
                <wp:effectExtent l="0" t="0" r="0" b="5080"/>
                <wp:wrapNone/>
                <wp:docPr id="55" name="Text Box 55"/>
                <wp:cNvGraphicFramePr/>
                <a:graphic xmlns:a="http://schemas.openxmlformats.org/drawingml/2006/main">
                  <a:graphicData uri="http://schemas.microsoft.com/office/word/2010/wordprocessingShape">
                    <wps:wsp>
                      <wps:cNvSpPr txBox="1"/>
                      <wps:spPr>
                        <a:xfrm>
                          <a:off x="0" y="0"/>
                          <a:ext cx="1975485" cy="890702"/>
                        </a:xfrm>
                        <a:prstGeom prst="rect">
                          <a:avLst/>
                        </a:prstGeom>
                        <a:noFill/>
                        <a:ln w="6350">
                          <a:noFill/>
                        </a:ln>
                      </wps:spPr>
                      <wps:txbx>
                        <w:txbxContent>
                          <w:p w14:paraId="0C757F35" w14:textId="77777777" w:rsidR="003E10D2" w:rsidRDefault="003E10D2" w:rsidP="003E10D2">
                            <w:pPr>
                              <w:spacing w:before="0" w:after="0"/>
                            </w:pPr>
                            <w:r>
                              <w:t>Mandatory pre-commitment</w:t>
                            </w:r>
                          </w:p>
                          <w:p w14:paraId="129DCE2D" w14:textId="37CFA44A" w:rsidR="003E10D2" w:rsidRDefault="003E10D2" w:rsidP="003E10D2">
                            <w:pPr>
                              <w:spacing w:before="0" w:after="0"/>
                            </w:pPr>
                            <w:r>
                              <w:t>Introduced for Premium Players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CC786" id="_x0000_t202" coordsize="21600,21600" o:spt="202" path="m,l,21600r21600,l21600,xe">
                <v:stroke joinstyle="miter"/>
                <v:path gradientshapeok="t" o:connecttype="rect"/>
              </v:shapetype>
              <v:shape id="Text Box 55" o:spid="_x0000_s1026" type="#_x0000_t202" style="position:absolute;margin-left:318.9pt;margin-top:27.35pt;width:155.55pt;height:7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" filled="f" stroked="f" strokeweight=".5pt">
                <v:textbox>
                  <w:txbxContent>
                    <w:p w14:paraId="0C757F35" w14:textId="77777777" w:rsidR="003E10D2" w:rsidRDefault="003E10D2" w:rsidP="003E10D2">
                      <w:pPr>
                        <w:spacing w:before="0" w:after="0"/>
                      </w:pPr>
                      <w:r>
                        <w:t>Mandatory pre-commitment</w:t>
                      </w:r>
                    </w:p>
                    <w:p w14:paraId="129DCE2D" w14:textId="37CFA44A" w:rsidR="003E10D2" w:rsidRDefault="003E10D2" w:rsidP="003E10D2">
                      <w:pPr>
                        <w:spacing w:before="0" w:after="0"/>
                      </w:pPr>
                      <w:r>
                        <w:t>Introduced for Premium Players</w:t>
                      </w:r>
                    </w:p>
                  </w:txbxContent>
                </v:textbox>
              </v:shape>
            </w:pict>
          </mc:Fallback>
        </mc:AlternateContent>
      </w:r>
      <w:r w:rsidR="00D056A8">
        <w:rPr>
          <w:b/>
          <w:szCs w:val="36"/>
          <w:lang w:val="en-US" w:eastAsia="en-AU"/>
        </w:rPr>
        <w:t>Figure 1. Gamblers Help clients who mainly use casino EGMs and casino EGM revenue, Tasmania 2015-2024</w:t>
      </w:r>
    </w:p>
    <w:p w14:paraId="54C54527" w14:textId="58662D55" w:rsidR="00D056A8" w:rsidRDefault="00D056A8" w:rsidP="003E10D2">
      <w:pPr>
        <w:pStyle w:val="BodyText"/>
        <w:jc w:val="right"/>
      </w:pPr>
      <w:r>
        <w:rPr>
          <w:noProof/>
        </w:rPr>
        <mc:AlternateContent>
          <mc:Choice Requires="wps">
            <w:drawing>
              <wp:anchor distT="0" distB="0" distL="114300" distR="114300" simplePos="0" relativeHeight="251678720" behindDoc="0" locked="0" layoutInCell="1" allowOverlap="1" wp14:anchorId="1B4133C1" wp14:editId="2F6B3534">
                <wp:simplePos x="0" y="0"/>
                <wp:positionH relativeFrom="column">
                  <wp:posOffset>1581150</wp:posOffset>
                </wp:positionH>
                <wp:positionV relativeFrom="paragraph">
                  <wp:posOffset>160020</wp:posOffset>
                </wp:positionV>
                <wp:extent cx="1735810" cy="49594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735810" cy="495945"/>
                        </a:xfrm>
                        <a:prstGeom prst="rect">
                          <a:avLst/>
                        </a:prstGeom>
                        <a:noFill/>
                        <a:ln w="6350">
                          <a:noFill/>
                        </a:ln>
                      </wps:spPr>
                      <wps:txbx>
                        <w:txbxContent>
                          <w:p w14:paraId="2758004C" w14:textId="77777777" w:rsidR="003E10D2" w:rsidRDefault="003E10D2" w:rsidP="003E10D2">
                            <w:pPr>
                              <w:spacing w:before="0" w:after="0"/>
                            </w:pPr>
                            <w:r>
                              <w:t>Card-based gaming</w:t>
                            </w:r>
                          </w:p>
                          <w:p w14:paraId="76102BB0" w14:textId="77777777" w:rsidR="003E10D2" w:rsidRDefault="003E10D2" w:rsidP="003E10D2">
                            <w:pPr>
                              <w:spacing w:before="0" w:after="0"/>
                            </w:pPr>
                            <w:r>
                              <w:t>introduced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133C1" id="Text Box 54" o:spid="_x0000_s1027" type="#_x0000_t202" style="position:absolute;left:0;text-align:left;margin-left:124.5pt;margin-top:12.6pt;width:136.7pt;height:3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" filled="f" stroked="f" strokeweight=".5pt">
                <v:textbox>
                  <w:txbxContent>
                    <w:p w14:paraId="2758004C" w14:textId="77777777" w:rsidR="003E10D2" w:rsidRDefault="003E10D2" w:rsidP="003E10D2">
                      <w:pPr>
                        <w:spacing w:before="0" w:after="0"/>
                      </w:pPr>
                      <w:r>
                        <w:t>Card-based gaming</w:t>
                      </w:r>
                    </w:p>
                    <w:p w14:paraId="76102BB0" w14:textId="77777777" w:rsidR="003E10D2" w:rsidRDefault="003E10D2" w:rsidP="003E10D2">
                      <w:pPr>
                        <w:spacing w:before="0" w:after="0"/>
                      </w:pPr>
                      <w:r>
                        <w:t>introduced</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EE4C74F" wp14:editId="56A073C4">
                <wp:simplePos x="0" y="0"/>
                <wp:positionH relativeFrom="column">
                  <wp:posOffset>4046855</wp:posOffset>
                </wp:positionH>
                <wp:positionV relativeFrom="paragraph">
                  <wp:posOffset>188595</wp:posOffset>
                </wp:positionV>
                <wp:extent cx="0" cy="658495"/>
                <wp:effectExtent l="95250" t="0" r="76200" b="46355"/>
                <wp:wrapNone/>
                <wp:docPr id="53" name="Straight Arrow Connector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8495"/>
                        </a:xfrm>
                        <a:prstGeom prst="straightConnector1">
                          <a:avLst/>
                        </a:prstGeom>
                        <a:ln w="41275">
                          <a:solidFill>
                            <a:schemeClr val="bg2">
                              <a:lumMod val="75000"/>
                            </a:schemeClr>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type w14:anchorId="394C740D" id="_x0000_t32" coordsize="21600,21600" o:spt="32" o:oned="t" path="m,l21600,21600e" filled="f">
                <v:path arrowok="t" fillok="f" o:connecttype="none"/>
                <o:lock v:ext="edit" shapetype="t"/>
              </v:shapetype>
              <v:shape id="Straight Arrow Connector 53" o:spid="_x0000_s1026" type="#_x0000_t32" style="position:absolute;margin-left:318.65pt;margin-top:14.85pt;width:0;height:51.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" strokecolor="#aeaaaa [2414]" strokeweight="3.2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5F010C16" wp14:editId="64860AFB">
                <wp:simplePos x="0" y="0"/>
                <wp:positionH relativeFrom="column">
                  <wp:posOffset>1609725</wp:posOffset>
                </wp:positionH>
                <wp:positionV relativeFrom="paragraph">
                  <wp:posOffset>198120</wp:posOffset>
                </wp:positionV>
                <wp:extent cx="0" cy="658495"/>
                <wp:effectExtent l="95250" t="0" r="76200" b="46355"/>
                <wp:wrapNone/>
                <wp:docPr id="52" name="Straight Arrow Connector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8495"/>
                        </a:xfrm>
                        <a:prstGeom prst="straightConnector1">
                          <a:avLst/>
                        </a:prstGeom>
                        <a:ln w="41275">
                          <a:solidFill>
                            <a:schemeClr val="bg2">
                              <a:lumMod val="75000"/>
                            </a:schemeClr>
                          </a:solidFill>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w14:anchorId="2908861C" id="Straight Arrow Connector 52" o:spid="_x0000_s1026" type="#_x0000_t32" style="position:absolute;margin-left:126.75pt;margin-top:15.6pt;width:0;height:51.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" strokecolor="#aeaaaa [2414]" strokeweight="3.25pt">
                <v:stroke endarrow="block" joinstyle="miter"/>
              </v:shape>
            </w:pict>
          </mc:Fallback>
        </mc:AlternateContent>
      </w:r>
      <w:r>
        <w:rPr>
          <w:noProof/>
        </w:rPr>
        <w:drawing>
          <wp:inline distT="0" distB="0" distL="0" distR="0" wp14:anchorId="2B6C898E" wp14:editId="587D276B">
            <wp:extent cx="6572250" cy="3324225"/>
            <wp:effectExtent l="0" t="0" r="0" b="9525"/>
            <wp:docPr id="51" name="Picture 51" descr="Graph with columns showing casino EGM  revenue and a line showing Gamblers Help clients. The columns remain at roughly the same level apart from a dip in 2020. The line declines around the point marked as card-based gaming introduced and again at the point marked as mandatory pre-commitment introduced for Premium Play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0" cy="3324225"/>
                    </a:xfrm>
                    <a:prstGeom prst="rect">
                      <a:avLst/>
                    </a:prstGeom>
                    <a:noFill/>
                  </pic:spPr>
                </pic:pic>
              </a:graphicData>
            </a:graphic>
          </wp:inline>
        </w:drawing>
      </w:r>
    </w:p>
    <w:p w14:paraId="2EFAD25E" w14:textId="77777777" w:rsidR="00D056A8" w:rsidRPr="00646549" w:rsidRDefault="00D056A8" w:rsidP="003E10D2">
      <w:pPr>
        <w:pStyle w:val="BodyText"/>
        <w:jc w:val="right"/>
        <w:rPr>
          <w:i/>
          <w:lang w:val="en-US" w:eastAsia="en-AU"/>
        </w:rPr>
      </w:pPr>
      <w:r>
        <w:rPr>
          <w:i/>
          <w:lang w:val="en-US" w:eastAsia="en-AU"/>
        </w:rPr>
        <w:t>Data source: Anglicare Tasmania; Department of Treasury and Finance</w:t>
      </w:r>
    </w:p>
    <w:p w14:paraId="67653AE2" w14:textId="23727F0D" w:rsidR="00D056A8" w:rsidRDefault="00D056A8" w:rsidP="003E10D2">
      <w:pPr>
        <w:pStyle w:val="BodyText"/>
      </w:pPr>
      <w:r>
        <w:lastRenderedPageBreak/>
        <w:t xml:space="preserve">Since 2021, casino EGMs have </w:t>
      </w:r>
      <w:r w:rsidR="003E10D2">
        <w:t xml:space="preserve">had </w:t>
      </w:r>
      <w:r>
        <w:t>a pre-commitment card and EGMs in hotels and clubs have not. During that time, Gamblers Help data indicates that people using EGMs in hotels and clubs have experienced</w:t>
      </w:r>
      <w:r w:rsidRPr="00FC7832">
        <w:t xml:space="preserve"> increasing </w:t>
      </w:r>
      <w:r>
        <w:t>rates of serious harm while users of casino EGMs have experienced a slight decrease. In 2023-24, people who mainly use EGMs in hotels and clubs were 3 times more likely to seek help due to gambling harm compared to people using casino EGMs.</w:t>
      </w:r>
    </w:p>
    <w:p w14:paraId="3190EF08" w14:textId="77777777" w:rsidR="00D056A8" w:rsidRPr="00210679" w:rsidRDefault="00D056A8" w:rsidP="003E10D2">
      <w:pPr>
        <w:pStyle w:val="BodyText"/>
        <w:spacing w:before="240"/>
        <w:rPr>
          <w:b/>
        </w:rPr>
      </w:pPr>
      <w:r>
        <w:rPr>
          <w:b/>
        </w:rPr>
        <w:t>Figure 2. Gamblers Help rate (number of people engaging with Gamblers Help per $10 million lost) for EGMs in Tasmania by venue type, 2023-24</w:t>
      </w:r>
    </w:p>
    <w:p w14:paraId="202ED435" w14:textId="77777777" w:rsidR="00D056A8" w:rsidRDefault="00D056A8" w:rsidP="003E10D2">
      <w:pPr>
        <w:pStyle w:val="BodyText"/>
        <w:rPr>
          <w:lang w:val="en-US" w:eastAsia="en-AU"/>
        </w:rPr>
      </w:pPr>
      <w:r>
        <w:rPr>
          <w:noProof/>
        </w:rPr>
        <w:drawing>
          <wp:inline distT="0" distB="0" distL="0" distR="0" wp14:anchorId="7613A8CB" wp14:editId="21DF0D30">
            <wp:extent cx="6318250" cy="1163955"/>
            <wp:effectExtent l="0" t="0" r="6350" b="0"/>
            <wp:docPr id="57" name="Chart 57" descr="Bar graph showing the rate for casinos is just under 5 and for hotels and clubs just under 15.">
              <a:extLst xmlns:a="http://schemas.openxmlformats.org/drawingml/2006/main">
                <a:ext uri="{FF2B5EF4-FFF2-40B4-BE49-F238E27FC236}">
                  <a16:creationId xmlns:a16="http://schemas.microsoft.com/office/drawing/2014/main" id="{467A1949-DBA8-441C-83DF-81B9A6374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8FC7FA" w14:textId="77777777" w:rsidR="00D056A8" w:rsidRPr="00A96934" w:rsidRDefault="00D056A8" w:rsidP="003E10D2">
      <w:pPr>
        <w:pStyle w:val="BodyText"/>
        <w:jc w:val="right"/>
        <w:rPr>
          <w:i/>
          <w:lang w:val="en-US" w:eastAsia="en-AU"/>
        </w:rPr>
      </w:pPr>
      <w:r>
        <w:rPr>
          <w:i/>
          <w:lang w:val="en-US" w:eastAsia="en-AU"/>
        </w:rPr>
        <w:t>Data source: Anglicare Tasmania</w:t>
      </w:r>
    </w:p>
    <w:p w14:paraId="09F789AE" w14:textId="77777777" w:rsidR="00D056A8" w:rsidRDefault="00D056A8" w:rsidP="003E10D2">
      <w:pPr>
        <w:pStyle w:val="BodyText"/>
        <w:rPr>
          <w:lang w:val="en-US" w:eastAsia="en-AU"/>
        </w:rPr>
      </w:pPr>
      <w:r>
        <w:rPr>
          <w:lang w:val="en-US" w:eastAsia="en-AU"/>
        </w:rPr>
        <w:t xml:space="preserve">A mandatory pre-commitment card with default loss limits: </w:t>
      </w:r>
    </w:p>
    <w:p w14:paraId="7869931A" w14:textId="77777777" w:rsidR="00D056A8" w:rsidRDefault="00D056A8" w:rsidP="003E10D2">
      <w:pPr>
        <w:pStyle w:val="ListParagraph"/>
      </w:pPr>
      <w:r>
        <w:t>substantially meets the policy objectives</w:t>
      </w:r>
    </w:p>
    <w:p w14:paraId="053D43CF" w14:textId="77777777" w:rsidR="00D056A8" w:rsidRDefault="00D056A8" w:rsidP="003E10D2">
      <w:pPr>
        <w:pStyle w:val="ListParagraph"/>
      </w:pPr>
      <w:r>
        <w:t xml:space="preserve">provides protections to 100% of EGM users </w:t>
      </w:r>
    </w:p>
    <w:p w14:paraId="1A5F1D51" w14:textId="2D888C40" w:rsidR="00D056A8" w:rsidRDefault="00D056A8" w:rsidP="003E10D2">
      <w:pPr>
        <w:pStyle w:val="ListParagraph"/>
      </w:pPr>
      <w:r>
        <w:t>is likely to reduce gambling-related harm by an estimated 40-60%.</w:t>
      </w:r>
    </w:p>
    <w:p w14:paraId="4DF459FB" w14:textId="77777777" w:rsidR="00D056A8" w:rsidRPr="00FC3249" w:rsidRDefault="00D056A8" w:rsidP="003E10D2">
      <w:pPr>
        <w:pStyle w:val="BodyText"/>
        <w:rPr>
          <w:lang w:val="en-US" w:eastAsia="en-AU"/>
        </w:rPr>
      </w:pPr>
      <w:r>
        <w:rPr>
          <w:lang w:val="en-US" w:eastAsia="en-AU"/>
        </w:rPr>
        <w:t>Virtually all reduction in revenue due to the implementation of the card is matched by a reduction in gambling harm of an equivalent or greater value.</w:t>
      </w:r>
    </w:p>
    <w:p w14:paraId="322CDCCF" w14:textId="4702E5E5" w:rsidR="00D056A8" w:rsidRDefault="00D056A8" w:rsidP="003E10D2">
      <w:pPr>
        <w:pStyle w:val="Heading1"/>
      </w:pPr>
      <w:bookmarkStart w:id="6" w:name="_Toc184302760"/>
      <w:r>
        <w:t>Facial recognition technology does not meet the policy objectives</w:t>
      </w:r>
      <w:bookmarkEnd w:id="6"/>
    </w:p>
    <w:p w14:paraId="7E1FB6E1" w14:textId="09765C9D" w:rsidR="00D056A8" w:rsidRDefault="00D056A8" w:rsidP="003E10D2">
      <w:pPr>
        <w:spacing w:before="0" w:after="0"/>
        <w:rPr>
          <w:lang w:val="en-US"/>
        </w:rPr>
      </w:pPr>
      <w:r>
        <w:rPr>
          <w:lang w:val="en-US"/>
        </w:rPr>
        <w:t xml:space="preserve">To date, the only alternative to the card proposed by the government is implementation of facial recognition technology (FRT). </w:t>
      </w:r>
    </w:p>
    <w:p w14:paraId="21B7D318" w14:textId="33894172" w:rsidR="00D056A8" w:rsidRDefault="00D056A8" w:rsidP="003E10D2">
      <w:pPr>
        <w:rPr>
          <w:lang w:val="en-US" w:eastAsia="en-AU"/>
        </w:rPr>
      </w:pPr>
      <w:r>
        <w:rPr>
          <w:lang w:val="en-US" w:eastAsia="en-AU"/>
        </w:rPr>
        <w:t>This measure will only have a positive impact in cases where</w:t>
      </w:r>
      <w:r w:rsidR="003E10D2">
        <w:rPr>
          <w:lang w:val="en-US" w:eastAsia="en-AU"/>
        </w:rPr>
        <w:t>, without FRT,</w:t>
      </w:r>
      <w:r>
        <w:rPr>
          <w:lang w:val="en-US" w:eastAsia="en-AU"/>
        </w:rPr>
        <w:t xml:space="preserve"> </w:t>
      </w:r>
      <w:r w:rsidR="003E10D2">
        <w:rPr>
          <w:lang w:val="en-US" w:eastAsia="en-AU"/>
        </w:rPr>
        <w:t xml:space="preserve">a person </w:t>
      </w:r>
      <w:r>
        <w:rPr>
          <w:lang w:val="en-US" w:eastAsia="en-AU"/>
        </w:rPr>
        <w:t xml:space="preserve">attempts to breach their exclusion </w:t>
      </w:r>
      <w:r w:rsidRPr="003E10D2">
        <w:rPr>
          <w:i/>
          <w:lang w:val="en-US" w:eastAsia="en-AU"/>
        </w:rPr>
        <w:t>and</w:t>
      </w:r>
      <w:r>
        <w:rPr>
          <w:lang w:val="en-US" w:eastAsia="en-AU"/>
        </w:rPr>
        <w:t xml:space="preserve"> </w:t>
      </w:r>
      <w:r w:rsidR="003E10D2">
        <w:rPr>
          <w:lang w:val="en-US" w:eastAsia="en-AU"/>
        </w:rPr>
        <w:t xml:space="preserve">is able to do so </w:t>
      </w:r>
      <w:r w:rsidRPr="000714A1">
        <w:rPr>
          <w:i/>
          <w:lang w:val="en-US" w:eastAsia="en-AU"/>
        </w:rPr>
        <w:t xml:space="preserve">as a result of </w:t>
      </w:r>
      <w:r w:rsidR="003E10D2">
        <w:rPr>
          <w:i/>
          <w:lang w:val="en-US" w:eastAsia="en-AU"/>
        </w:rPr>
        <w:t xml:space="preserve">staff failing </w:t>
      </w:r>
      <w:r w:rsidRPr="000714A1">
        <w:rPr>
          <w:i/>
          <w:lang w:val="en-US" w:eastAsia="en-AU"/>
        </w:rPr>
        <w:t>to recognise the excluded person</w:t>
      </w:r>
      <w:r>
        <w:rPr>
          <w:lang w:val="en-US" w:eastAsia="en-AU"/>
        </w:rPr>
        <w:t xml:space="preserve">. Given that only 353 people were subject to exclusion in 2024 and that venue staff currently enforce exclusions to the best of their ability, the scope for harm reduction is very limited. </w:t>
      </w:r>
    </w:p>
    <w:p w14:paraId="242A1537" w14:textId="4CF0738D" w:rsidR="00D056A8" w:rsidRDefault="00D056A8" w:rsidP="003E10D2">
      <w:pPr>
        <w:spacing w:before="0" w:after="0"/>
        <w:rPr>
          <w:lang w:val="en-US" w:eastAsia="en-AU"/>
        </w:rPr>
      </w:pPr>
      <w:r w:rsidRPr="00CE66FB">
        <w:rPr>
          <w:lang w:val="en-US" w:eastAsia="en-AU"/>
        </w:rPr>
        <w:t>If, for example, 30% of excluded people (more than 100 people) are successfully breaching their exclusion under current policy and the introduction of FRT reduces this to below 1% (3 people)</w:t>
      </w:r>
      <w:r>
        <w:rPr>
          <w:lang w:val="en-US" w:eastAsia="en-AU"/>
        </w:rPr>
        <w:t>,</w:t>
      </w:r>
      <w:r w:rsidRPr="00CE66FB">
        <w:rPr>
          <w:lang w:val="en-US" w:eastAsia="en-AU"/>
        </w:rPr>
        <w:t xml:space="preserve"> then the reduction in EGM</w:t>
      </w:r>
      <w:r>
        <w:rPr>
          <w:lang w:val="en-US" w:eastAsia="en-AU"/>
        </w:rPr>
        <w:t>-</w:t>
      </w:r>
      <w:r w:rsidRPr="00CE66FB">
        <w:rPr>
          <w:lang w:val="en-US" w:eastAsia="en-AU"/>
        </w:rPr>
        <w:t>related gambling harm would be less than 3.5%.</w:t>
      </w:r>
    </w:p>
    <w:p w14:paraId="7D7C9C1E" w14:textId="79FC37CC" w:rsidR="00D056A8" w:rsidRDefault="00D056A8" w:rsidP="003E10D2">
      <w:pPr>
        <w:rPr>
          <w:lang w:val="en-US" w:eastAsia="en-AU"/>
        </w:rPr>
      </w:pPr>
      <w:r>
        <w:rPr>
          <w:lang w:val="en-US" w:eastAsia="en-AU"/>
        </w:rPr>
        <w:t xml:space="preserve">Research reviewing implementation in South Australia reports that in order to reduce the likelihood of not detecting a person who is excluded, system thresholds are commonly set at a 70% probability of a correct match by venue managers. As a result, misidentifications are not uncommon and patrons who are not excluded are asked by staff to establish their identity. The research cautions that: </w:t>
      </w:r>
    </w:p>
    <w:p w14:paraId="307E337E" w14:textId="77777777" w:rsidR="00D056A8" w:rsidRPr="005D4488" w:rsidRDefault="00D056A8" w:rsidP="003E10D2">
      <w:pPr>
        <w:pStyle w:val="IntenseQuote"/>
        <w:ind w:left="567" w:right="736"/>
        <w:rPr>
          <w:rStyle w:val="IntenseEmphasis"/>
        </w:rPr>
      </w:pPr>
      <w:r w:rsidRPr="00C82367">
        <w:rPr>
          <w:i w:val="0"/>
          <w:lang w:val="en-US" w:eastAsia="en-AU"/>
        </w:rPr>
        <w:t>‘t</w:t>
      </w:r>
      <w:r>
        <w:rPr>
          <w:i w:val="0"/>
          <w:lang w:val="en-US" w:eastAsia="en-AU"/>
        </w:rPr>
        <w:t xml:space="preserve">he </w:t>
      </w:r>
      <w:r w:rsidRPr="006057A4">
        <w:rPr>
          <w:rStyle w:val="IntenseEmphasis"/>
        </w:rPr>
        <w:t>South Australian case illustrates how this technology does not appear to better address the core issues underpinning problem gambling, and/or substantially improve conditions for problem gamblers to refrain from gambling</w:t>
      </w:r>
      <w:r w:rsidRPr="00C82367">
        <w:rPr>
          <w:rStyle w:val="IntenseEmphasis"/>
          <w:iCs/>
          <w:color w:val="404040" w:themeColor="text1" w:themeTint="BF"/>
        </w:rPr>
        <w:t>’</w:t>
      </w:r>
      <w:r>
        <w:rPr>
          <w:rStyle w:val="IntenseEmphasis"/>
          <w:iCs/>
          <w:color w:val="404040" w:themeColor="text1" w:themeTint="BF"/>
        </w:rPr>
        <w:t xml:space="preserve"> </w:t>
      </w:r>
      <w:r>
        <w:rPr>
          <w:rStyle w:val="IntenseEmphasis"/>
          <w:iCs/>
          <w:noProof/>
          <w:color w:val="404040" w:themeColor="text1" w:themeTint="BF"/>
        </w:rPr>
        <w:t>(Selwyn et al. 2024)</w:t>
      </w:r>
      <w:r>
        <w:rPr>
          <w:rStyle w:val="IntenseEmphasis"/>
          <w:iCs/>
          <w:color w:val="404040" w:themeColor="text1" w:themeTint="BF"/>
        </w:rPr>
        <w:t>.</w:t>
      </w:r>
    </w:p>
    <w:p w14:paraId="748A47B4" w14:textId="3FD009A7" w:rsidR="00D056A8" w:rsidRDefault="00D056A8" w:rsidP="003E10D2">
      <w:pPr>
        <w:spacing w:before="0" w:after="0"/>
        <w:rPr>
          <w:highlight w:val="yellow"/>
          <w:lang w:val="en-US" w:eastAsia="en-AU"/>
        </w:rPr>
      </w:pPr>
      <w:r>
        <w:rPr>
          <w:lang w:val="en-US" w:eastAsia="en-AU"/>
        </w:rPr>
        <w:lastRenderedPageBreak/>
        <w:t xml:space="preserve">A comparison of the card and FRT in relation to meeting the policy objectives is shown in </w:t>
      </w:r>
      <w:r w:rsidRPr="00B72248">
        <w:rPr>
          <w:lang w:val="en-US" w:eastAsia="en-AU"/>
        </w:rPr>
        <w:t>Table 1.</w:t>
      </w:r>
    </w:p>
    <w:p w14:paraId="77EDC9E9" w14:textId="77777777" w:rsidR="00D056A8" w:rsidRDefault="00D056A8" w:rsidP="003E10D2">
      <w:pPr>
        <w:pStyle w:val="BodyText"/>
        <w:rPr>
          <w:lang w:val="en-US" w:eastAsia="en-AU"/>
        </w:rPr>
      </w:pPr>
      <w:r>
        <w:rPr>
          <w:lang w:val="en-US" w:eastAsia="en-AU"/>
        </w:rPr>
        <w:t xml:space="preserve">Facial recognition technology (FRT) </w:t>
      </w:r>
    </w:p>
    <w:p w14:paraId="7867E3DB" w14:textId="77777777" w:rsidR="00D056A8" w:rsidRDefault="00D056A8" w:rsidP="003E10D2">
      <w:pPr>
        <w:pStyle w:val="ListParagraph"/>
      </w:pPr>
      <w:r w:rsidRPr="00E92CA5">
        <w:rPr>
          <w:b/>
        </w:rPr>
        <w:t>does not</w:t>
      </w:r>
      <w:r>
        <w:t xml:space="preserve"> substantially meet the policy objectives </w:t>
      </w:r>
    </w:p>
    <w:p w14:paraId="449D3E45" w14:textId="77777777" w:rsidR="00D056A8" w:rsidRDefault="00D056A8" w:rsidP="003E10D2">
      <w:pPr>
        <w:pStyle w:val="ListParagraph"/>
      </w:pPr>
      <w:r>
        <w:t xml:space="preserve">provides protection to only 0.7% of EGM users </w:t>
      </w:r>
    </w:p>
    <w:p w14:paraId="5F6AC4B1" w14:textId="77777777" w:rsidR="00D056A8" w:rsidRDefault="00D056A8" w:rsidP="003E10D2">
      <w:pPr>
        <w:pStyle w:val="ListParagraph"/>
      </w:pPr>
      <w:r>
        <w:t xml:space="preserve">is estimated to reduce gambling harm by less than 3.5%, under assumptions at the high end of impact. </w:t>
      </w:r>
    </w:p>
    <w:p w14:paraId="1E089C29" w14:textId="77777777" w:rsidR="00D056A8" w:rsidRDefault="00D056A8" w:rsidP="003E10D2">
      <w:r>
        <w:t xml:space="preserve">Complementary population-level measures are required to achieve effective reductions in gambling harm. </w:t>
      </w:r>
    </w:p>
    <w:p w14:paraId="4B5B8CE9" w14:textId="77777777" w:rsidR="00D056A8" w:rsidRDefault="00D056A8">
      <w:pPr>
        <w:spacing w:before="0" w:after="0"/>
        <w:rPr>
          <w:b/>
          <w:lang w:val="en-US"/>
        </w:rPr>
      </w:pPr>
    </w:p>
    <w:p w14:paraId="1239B372" w14:textId="77777777" w:rsidR="00D056A8" w:rsidRDefault="00D056A8" w:rsidP="003E10D2">
      <w:pPr>
        <w:spacing w:before="0" w:after="0"/>
        <w:rPr>
          <w:b/>
          <w:lang w:val="en-US"/>
        </w:rPr>
      </w:pPr>
      <w:r w:rsidRPr="00B72248">
        <w:rPr>
          <w:b/>
          <w:lang w:val="en-US"/>
        </w:rPr>
        <w:t>Table 1</w:t>
      </w:r>
      <w:r>
        <w:rPr>
          <w:b/>
          <w:lang w:val="en-US"/>
        </w:rPr>
        <w:t xml:space="preserve"> Capacity to deliver on the policy objectives</w:t>
      </w:r>
    </w:p>
    <w:p w14:paraId="4AA5C600" w14:textId="77777777" w:rsidR="00D056A8" w:rsidRDefault="00D056A8" w:rsidP="003E10D2">
      <w:pPr>
        <w:spacing w:before="0" w:after="0"/>
        <w:rPr>
          <w:b/>
          <w:lang w:val="en-US"/>
        </w:rPr>
      </w:pPr>
    </w:p>
    <w:tbl>
      <w:tblPr>
        <w:tblStyle w:val="TableGrid"/>
        <w:tblW w:w="9781" w:type="dxa"/>
        <w:tblLook w:val="04A0" w:firstRow="1" w:lastRow="0" w:firstColumn="1" w:lastColumn="0" w:noHBand="0" w:noVBand="1"/>
      </w:tblPr>
      <w:tblGrid>
        <w:gridCol w:w="4678"/>
        <w:gridCol w:w="2552"/>
        <w:gridCol w:w="2551"/>
      </w:tblGrid>
      <w:tr w:rsidR="00D056A8" w14:paraId="2BE8B722" w14:textId="77777777" w:rsidTr="00242FA3">
        <w:tc>
          <w:tcPr>
            <w:tcW w:w="4678" w:type="dxa"/>
            <w:tcBorders>
              <w:top w:val="single" w:sz="4" w:space="0" w:color="auto"/>
              <w:left w:val="nil"/>
              <w:bottom w:val="single" w:sz="4" w:space="0" w:color="auto"/>
              <w:right w:val="nil"/>
            </w:tcBorders>
            <w:shd w:val="clear" w:color="auto" w:fill="E7E6E6" w:themeFill="background2"/>
            <w:vAlign w:val="center"/>
            <w:hideMark/>
          </w:tcPr>
          <w:p w14:paraId="54A9C092" w14:textId="77777777" w:rsidR="00D056A8" w:rsidRPr="00261FD0" w:rsidRDefault="00D056A8" w:rsidP="003E10D2">
            <w:pPr>
              <w:spacing w:before="0" w:after="0"/>
              <w:rPr>
                <w:rFonts w:ascii="Avenir Next LT Pro" w:hAnsi="Avenir Next LT Pro"/>
                <w:b/>
                <w:sz w:val="20"/>
                <w:szCs w:val="20"/>
                <w:lang w:eastAsia="en-AU"/>
              </w:rPr>
            </w:pPr>
            <w:r w:rsidRPr="00261FD0">
              <w:rPr>
                <w:rFonts w:ascii="Avenir Next LT Pro" w:hAnsi="Avenir Next LT Pro"/>
                <w:b/>
                <w:sz w:val="20"/>
                <w:szCs w:val="20"/>
                <w:lang w:eastAsia="en-AU"/>
              </w:rPr>
              <w:t>Policy objective</w:t>
            </w:r>
          </w:p>
        </w:tc>
        <w:tc>
          <w:tcPr>
            <w:tcW w:w="2552" w:type="dxa"/>
            <w:tcBorders>
              <w:top w:val="single" w:sz="4" w:space="0" w:color="auto"/>
              <w:left w:val="nil"/>
              <w:bottom w:val="single" w:sz="4" w:space="0" w:color="auto"/>
              <w:right w:val="nil"/>
            </w:tcBorders>
            <w:shd w:val="clear" w:color="auto" w:fill="E7E6E6" w:themeFill="background2"/>
            <w:vAlign w:val="center"/>
            <w:hideMark/>
          </w:tcPr>
          <w:p w14:paraId="0F4D8153" w14:textId="77777777" w:rsidR="00D056A8" w:rsidRPr="00261FD0" w:rsidRDefault="00D056A8" w:rsidP="003E10D2">
            <w:pPr>
              <w:jc w:val="center"/>
              <w:rPr>
                <w:rFonts w:ascii="Avenir Next LT Pro" w:hAnsi="Avenir Next LT Pro"/>
                <w:b/>
                <w:sz w:val="20"/>
                <w:szCs w:val="20"/>
                <w:lang w:eastAsia="en-AU"/>
              </w:rPr>
            </w:pPr>
            <w:r w:rsidRPr="00261FD0">
              <w:rPr>
                <w:rFonts w:ascii="Avenir Next LT Pro" w:hAnsi="Avenir Next LT Pro"/>
                <w:b/>
                <w:sz w:val="20"/>
                <w:szCs w:val="20"/>
                <w:lang w:eastAsia="en-AU"/>
              </w:rPr>
              <w:t>Mandatory pre</w:t>
            </w:r>
            <w:r>
              <w:rPr>
                <w:rFonts w:ascii="Avenir Next LT Pro" w:hAnsi="Avenir Next LT Pro"/>
                <w:b/>
                <w:sz w:val="20"/>
                <w:szCs w:val="20"/>
                <w:lang w:eastAsia="en-AU"/>
              </w:rPr>
              <w:noBreakHyphen/>
            </w:r>
            <w:r w:rsidRPr="00261FD0">
              <w:rPr>
                <w:rFonts w:ascii="Avenir Next LT Pro" w:hAnsi="Avenir Next LT Pro"/>
                <w:b/>
                <w:sz w:val="20"/>
                <w:szCs w:val="20"/>
                <w:lang w:eastAsia="en-AU"/>
              </w:rPr>
              <w:t>commitment card with default loss limits</w:t>
            </w:r>
          </w:p>
        </w:tc>
        <w:tc>
          <w:tcPr>
            <w:tcW w:w="2551" w:type="dxa"/>
            <w:tcBorders>
              <w:top w:val="single" w:sz="4" w:space="0" w:color="auto"/>
              <w:left w:val="nil"/>
              <w:bottom w:val="single" w:sz="4" w:space="0" w:color="auto"/>
              <w:right w:val="nil"/>
            </w:tcBorders>
            <w:shd w:val="clear" w:color="auto" w:fill="E7E6E6" w:themeFill="background2"/>
            <w:vAlign w:val="center"/>
            <w:hideMark/>
          </w:tcPr>
          <w:p w14:paraId="2B67104A" w14:textId="77777777" w:rsidR="00D056A8" w:rsidRPr="00261FD0" w:rsidRDefault="00D056A8" w:rsidP="003E10D2">
            <w:pPr>
              <w:jc w:val="center"/>
              <w:rPr>
                <w:rFonts w:ascii="Avenir Next LT Pro" w:hAnsi="Avenir Next LT Pro"/>
                <w:b/>
                <w:sz w:val="20"/>
                <w:szCs w:val="20"/>
                <w:lang w:eastAsia="en-AU"/>
              </w:rPr>
            </w:pPr>
            <w:r w:rsidRPr="00261FD0">
              <w:rPr>
                <w:rFonts w:ascii="Avenir Next LT Pro" w:hAnsi="Avenir Next LT Pro"/>
                <w:b/>
                <w:sz w:val="20"/>
                <w:szCs w:val="20"/>
                <w:lang w:eastAsia="en-AU"/>
              </w:rPr>
              <w:t>Facial recognition</w:t>
            </w:r>
          </w:p>
        </w:tc>
      </w:tr>
      <w:tr w:rsidR="00D056A8" w14:paraId="1A186581" w14:textId="77777777" w:rsidTr="003E10D2">
        <w:tc>
          <w:tcPr>
            <w:tcW w:w="4678" w:type="dxa"/>
            <w:tcBorders>
              <w:top w:val="single" w:sz="4" w:space="0" w:color="auto"/>
              <w:left w:val="nil"/>
              <w:bottom w:val="single" w:sz="4" w:space="0" w:color="auto"/>
              <w:right w:val="nil"/>
            </w:tcBorders>
            <w:vAlign w:val="center"/>
            <w:hideMark/>
          </w:tcPr>
          <w:p w14:paraId="19C65B6F" w14:textId="77777777" w:rsidR="00D056A8" w:rsidRDefault="00D056A8" w:rsidP="003E10D2">
            <w:pPr>
              <w:pStyle w:val="TableParagraph"/>
              <w:spacing w:before="80" w:after="80"/>
            </w:pPr>
            <w:r>
              <w:t>Provides players with the best information available to make an informed choice about participation</w:t>
            </w:r>
          </w:p>
        </w:tc>
        <w:tc>
          <w:tcPr>
            <w:tcW w:w="2552" w:type="dxa"/>
            <w:tcBorders>
              <w:top w:val="single" w:sz="4" w:space="0" w:color="auto"/>
              <w:left w:val="nil"/>
              <w:bottom w:val="single" w:sz="4" w:space="0" w:color="auto"/>
              <w:right w:val="nil"/>
            </w:tcBorders>
            <w:vAlign w:val="center"/>
          </w:tcPr>
          <w:p w14:paraId="69AE811F"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7D86750E" wp14:editId="2A4F382C">
                  <wp:extent cx="503555" cy="503555"/>
                  <wp:effectExtent l="0" t="0" r="0"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669C6D42" w14:textId="77777777" w:rsidR="00D056A8" w:rsidRDefault="00D056A8" w:rsidP="003E10D2">
            <w:pPr>
              <w:pStyle w:val="TableParagraph"/>
              <w:spacing w:before="80" w:after="80"/>
              <w:jc w:val="center"/>
              <w:rPr>
                <w:rFonts w:ascii="Avenir Next LT Pro" w:hAnsi="Avenir Next LT Pro"/>
                <w:szCs w:val="20"/>
                <w:lang w:eastAsia="en-AU"/>
              </w:rPr>
            </w:pPr>
            <w:r>
              <w:rPr>
                <w:rFonts w:ascii="Avenir Next LT Pro" w:hAnsi="Avenir Next LT Pro"/>
                <w:noProof/>
                <w:szCs w:val="20"/>
                <w:lang w:eastAsia="en-AU"/>
              </w:rPr>
              <w:drawing>
                <wp:inline distT="0" distB="0" distL="0" distR="0" wp14:anchorId="48C47715" wp14:editId="5059B7A7">
                  <wp:extent cx="523875" cy="523875"/>
                  <wp:effectExtent l="0" t="0" r="0" b="0"/>
                  <wp:docPr id="18" name="Graphic 18"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3875" cy="523875"/>
                          </a:xfrm>
                          <a:prstGeom prst="rect">
                            <a:avLst/>
                          </a:prstGeom>
                        </pic:spPr>
                      </pic:pic>
                    </a:graphicData>
                  </a:graphic>
                </wp:inline>
              </w:drawing>
            </w:r>
          </w:p>
        </w:tc>
      </w:tr>
      <w:tr w:rsidR="00D056A8" w14:paraId="26E62AA7" w14:textId="77777777" w:rsidTr="003E10D2">
        <w:tc>
          <w:tcPr>
            <w:tcW w:w="4678" w:type="dxa"/>
            <w:tcBorders>
              <w:top w:val="single" w:sz="4" w:space="0" w:color="auto"/>
              <w:left w:val="nil"/>
              <w:bottom w:val="single" w:sz="4" w:space="0" w:color="auto"/>
              <w:right w:val="nil"/>
            </w:tcBorders>
            <w:vAlign w:val="center"/>
            <w:hideMark/>
          </w:tcPr>
          <w:p w14:paraId="34FAC840" w14:textId="77777777" w:rsidR="00D056A8" w:rsidRDefault="00D056A8" w:rsidP="003E10D2">
            <w:pPr>
              <w:pStyle w:val="TableParagraph"/>
              <w:spacing w:before="80" w:after="80"/>
            </w:pPr>
            <w:r>
              <w:t>Ensures players have the financial capacity to participate</w:t>
            </w:r>
          </w:p>
        </w:tc>
        <w:tc>
          <w:tcPr>
            <w:tcW w:w="2552" w:type="dxa"/>
            <w:tcBorders>
              <w:top w:val="single" w:sz="4" w:space="0" w:color="auto"/>
              <w:left w:val="nil"/>
              <w:bottom w:val="single" w:sz="4" w:space="0" w:color="auto"/>
              <w:right w:val="nil"/>
            </w:tcBorders>
            <w:vAlign w:val="center"/>
          </w:tcPr>
          <w:p w14:paraId="13E1168B"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45C28C54" wp14:editId="723B6112">
                  <wp:extent cx="503555" cy="503555"/>
                  <wp:effectExtent l="0" t="0" r="0" b="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3D2A9D6D" w14:textId="77777777" w:rsidR="00D056A8" w:rsidRDefault="00D056A8" w:rsidP="003E10D2">
            <w:pPr>
              <w:pStyle w:val="TableParagraph"/>
              <w:spacing w:before="80" w:after="80"/>
              <w:jc w:val="center"/>
              <w:rPr>
                <w:rFonts w:ascii="Avenir Next LT Pro" w:hAnsi="Avenir Next LT Pro"/>
                <w:szCs w:val="20"/>
                <w:lang w:eastAsia="en-AU"/>
              </w:rPr>
            </w:pPr>
            <w:r>
              <w:rPr>
                <w:rFonts w:ascii="Avenir Next LT Pro" w:hAnsi="Avenir Next LT Pro"/>
                <w:noProof/>
                <w:szCs w:val="20"/>
                <w:lang w:eastAsia="en-AU"/>
              </w:rPr>
              <w:drawing>
                <wp:inline distT="0" distB="0" distL="0" distR="0" wp14:anchorId="14257B78" wp14:editId="26690D1B">
                  <wp:extent cx="523875" cy="523875"/>
                  <wp:effectExtent l="0" t="0" r="0" b="0"/>
                  <wp:docPr id="30" name="Graphic 30"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3875" cy="523875"/>
                          </a:xfrm>
                          <a:prstGeom prst="rect">
                            <a:avLst/>
                          </a:prstGeom>
                        </pic:spPr>
                      </pic:pic>
                    </a:graphicData>
                  </a:graphic>
                </wp:inline>
              </w:drawing>
            </w:r>
          </w:p>
        </w:tc>
      </w:tr>
      <w:tr w:rsidR="00D056A8" w14:paraId="0562A63E" w14:textId="77777777" w:rsidTr="003E10D2">
        <w:tc>
          <w:tcPr>
            <w:tcW w:w="4678" w:type="dxa"/>
            <w:tcBorders>
              <w:top w:val="single" w:sz="4" w:space="0" w:color="auto"/>
              <w:left w:val="nil"/>
              <w:bottom w:val="single" w:sz="4" w:space="0" w:color="auto"/>
              <w:right w:val="nil"/>
            </w:tcBorders>
            <w:vAlign w:val="center"/>
            <w:hideMark/>
          </w:tcPr>
          <w:p w14:paraId="66FF0A27" w14:textId="77777777" w:rsidR="00D056A8" w:rsidRDefault="00D056A8" w:rsidP="003E10D2">
            <w:pPr>
              <w:pStyle w:val="TableParagraph"/>
              <w:spacing w:before="80" w:after="80"/>
            </w:pPr>
            <w:r>
              <w:t>Enables players to spend what they intend to spend</w:t>
            </w:r>
          </w:p>
        </w:tc>
        <w:tc>
          <w:tcPr>
            <w:tcW w:w="2552" w:type="dxa"/>
            <w:tcBorders>
              <w:top w:val="single" w:sz="4" w:space="0" w:color="auto"/>
              <w:left w:val="nil"/>
              <w:bottom w:val="single" w:sz="4" w:space="0" w:color="auto"/>
              <w:right w:val="nil"/>
            </w:tcBorders>
            <w:vAlign w:val="center"/>
          </w:tcPr>
          <w:p w14:paraId="613570ED"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44DED08C" wp14:editId="5969F9DC">
                  <wp:extent cx="503555" cy="503555"/>
                  <wp:effectExtent l="0" t="0" r="0" b="0"/>
                  <wp:docPr id="38" name="Graphic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5A3A307A" w14:textId="77777777" w:rsidR="00D056A8" w:rsidRDefault="00D056A8" w:rsidP="003E10D2">
            <w:pPr>
              <w:pStyle w:val="TableParagraph"/>
              <w:spacing w:before="80" w:after="80"/>
              <w:jc w:val="center"/>
              <w:rPr>
                <w:rFonts w:ascii="Avenir Next LT Pro" w:hAnsi="Avenir Next LT Pro"/>
                <w:szCs w:val="20"/>
                <w:lang w:eastAsia="en-AU"/>
              </w:rPr>
            </w:pPr>
            <w:r>
              <w:rPr>
                <w:rFonts w:ascii="Avenir Next LT Pro" w:hAnsi="Avenir Next LT Pro"/>
                <w:noProof/>
                <w:szCs w:val="20"/>
                <w:lang w:eastAsia="en-AU"/>
              </w:rPr>
              <w:drawing>
                <wp:inline distT="0" distB="0" distL="0" distR="0" wp14:anchorId="3FE0A7E3" wp14:editId="00A1EFB9">
                  <wp:extent cx="523875" cy="523875"/>
                  <wp:effectExtent l="0" t="0" r="0" b="0"/>
                  <wp:docPr id="41" name="Graphic 4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3875" cy="523875"/>
                          </a:xfrm>
                          <a:prstGeom prst="rect">
                            <a:avLst/>
                          </a:prstGeom>
                        </pic:spPr>
                      </pic:pic>
                    </a:graphicData>
                  </a:graphic>
                </wp:inline>
              </w:drawing>
            </w:r>
          </w:p>
        </w:tc>
      </w:tr>
      <w:tr w:rsidR="00D056A8" w14:paraId="509D9810" w14:textId="77777777" w:rsidTr="003E10D2">
        <w:tc>
          <w:tcPr>
            <w:tcW w:w="4678" w:type="dxa"/>
            <w:tcBorders>
              <w:top w:val="single" w:sz="4" w:space="0" w:color="auto"/>
              <w:left w:val="nil"/>
              <w:bottom w:val="single" w:sz="4" w:space="0" w:color="auto"/>
              <w:right w:val="nil"/>
            </w:tcBorders>
            <w:vAlign w:val="center"/>
            <w:hideMark/>
          </w:tcPr>
          <w:p w14:paraId="34905DE8" w14:textId="77777777" w:rsidR="00D056A8" w:rsidRDefault="00D056A8" w:rsidP="003E10D2">
            <w:pPr>
              <w:pStyle w:val="TableParagraph"/>
              <w:spacing w:before="80" w:after="80"/>
            </w:pPr>
            <w:r>
              <w:t xml:space="preserve">Actively supports players to address ‘at risk’ and gambling harm where relevant </w:t>
            </w:r>
          </w:p>
        </w:tc>
        <w:tc>
          <w:tcPr>
            <w:tcW w:w="2552" w:type="dxa"/>
            <w:tcBorders>
              <w:top w:val="single" w:sz="4" w:space="0" w:color="auto"/>
              <w:left w:val="nil"/>
              <w:bottom w:val="single" w:sz="4" w:space="0" w:color="auto"/>
              <w:right w:val="nil"/>
            </w:tcBorders>
            <w:vAlign w:val="center"/>
          </w:tcPr>
          <w:p w14:paraId="216F6EC4"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0BE3C576" wp14:editId="54A44332">
                  <wp:extent cx="503555" cy="503555"/>
                  <wp:effectExtent l="0" t="0" r="0" b="0"/>
                  <wp:docPr id="42" name="Graphic 4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4AF914BE" w14:textId="77777777" w:rsidR="00D056A8" w:rsidRDefault="00D056A8" w:rsidP="003E10D2">
            <w:pPr>
              <w:pStyle w:val="TableParagraph"/>
              <w:spacing w:before="80" w:after="80"/>
              <w:jc w:val="center"/>
              <w:rPr>
                <w:rFonts w:ascii="Avenir Next LT Pro" w:hAnsi="Avenir Next LT Pro"/>
                <w:szCs w:val="20"/>
                <w:lang w:eastAsia="en-AU"/>
              </w:rPr>
            </w:pPr>
            <w:r>
              <w:rPr>
                <w:rFonts w:ascii="Avenir Next LT Pro" w:hAnsi="Avenir Next LT Pro"/>
                <w:noProof/>
                <w:szCs w:val="20"/>
                <w:lang w:eastAsia="en-AU"/>
              </w:rPr>
              <w:drawing>
                <wp:inline distT="0" distB="0" distL="0" distR="0" wp14:anchorId="6F3B9C8E" wp14:editId="31E73D62">
                  <wp:extent cx="523875" cy="523875"/>
                  <wp:effectExtent l="0" t="0" r="0" b="0"/>
                  <wp:docPr id="43" name="Graphic 4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3875" cy="523875"/>
                          </a:xfrm>
                          <a:prstGeom prst="rect">
                            <a:avLst/>
                          </a:prstGeom>
                        </pic:spPr>
                      </pic:pic>
                    </a:graphicData>
                  </a:graphic>
                </wp:inline>
              </w:drawing>
            </w:r>
          </w:p>
        </w:tc>
      </w:tr>
      <w:tr w:rsidR="00D056A8" w14:paraId="44DCDA07" w14:textId="77777777" w:rsidTr="003E10D2">
        <w:tc>
          <w:tcPr>
            <w:tcW w:w="4678" w:type="dxa"/>
            <w:tcBorders>
              <w:top w:val="single" w:sz="4" w:space="0" w:color="auto"/>
              <w:left w:val="nil"/>
              <w:bottom w:val="single" w:sz="4" w:space="0" w:color="auto"/>
              <w:right w:val="nil"/>
            </w:tcBorders>
            <w:vAlign w:val="center"/>
            <w:hideMark/>
          </w:tcPr>
          <w:p w14:paraId="48DF6BE3" w14:textId="2B0F21C3" w:rsidR="00D056A8" w:rsidRDefault="00D056A8" w:rsidP="003E10D2">
            <w:pPr>
              <w:pStyle w:val="TableParagraph"/>
              <w:spacing w:before="80" w:after="80"/>
              <w:rPr>
                <w:rFonts w:eastAsia="AvenirNext LT Pro Bold" w:cs="AvenirNext LT Pro Bold"/>
                <w:szCs w:val="20"/>
                <w:lang w:val="en-US" w:eastAsia="en-AU"/>
              </w:rPr>
            </w:pPr>
            <w:r>
              <w:rPr>
                <w:szCs w:val="20"/>
              </w:rPr>
              <w:t>Enables active identification and intervention by venue staff to deal with gambling harm behaviours and patterns of play</w:t>
            </w:r>
          </w:p>
        </w:tc>
        <w:tc>
          <w:tcPr>
            <w:tcW w:w="2552" w:type="dxa"/>
            <w:tcBorders>
              <w:top w:val="single" w:sz="4" w:space="0" w:color="auto"/>
              <w:left w:val="nil"/>
              <w:bottom w:val="single" w:sz="4" w:space="0" w:color="auto"/>
              <w:right w:val="nil"/>
            </w:tcBorders>
            <w:vAlign w:val="center"/>
          </w:tcPr>
          <w:p w14:paraId="3E3AC7A5"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46707D2B" wp14:editId="74710631">
                  <wp:extent cx="503555" cy="503555"/>
                  <wp:effectExtent l="0" t="0" r="0" b="0"/>
                  <wp:docPr id="44" name="Graphic 4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7009D928"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6B9607C5" wp14:editId="22B74958">
                  <wp:extent cx="503555" cy="503555"/>
                  <wp:effectExtent l="0" t="0" r="0" b="0"/>
                  <wp:docPr id="45" name="Graphic 4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r>
      <w:tr w:rsidR="00D056A8" w14:paraId="5760CA61" w14:textId="77777777" w:rsidTr="003E10D2">
        <w:tc>
          <w:tcPr>
            <w:tcW w:w="4678" w:type="dxa"/>
            <w:tcBorders>
              <w:top w:val="single" w:sz="4" w:space="0" w:color="auto"/>
              <w:left w:val="nil"/>
              <w:bottom w:val="single" w:sz="4" w:space="0" w:color="auto"/>
              <w:right w:val="nil"/>
            </w:tcBorders>
            <w:vAlign w:val="center"/>
            <w:hideMark/>
          </w:tcPr>
          <w:p w14:paraId="67A51A2E" w14:textId="77777777" w:rsidR="00D056A8" w:rsidRDefault="00D056A8" w:rsidP="003E10D2">
            <w:pPr>
              <w:pStyle w:val="TableParagraph"/>
              <w:spacing w:before="80" w:after="80"/>
              <w:rPr>
                <w:rFonts w:eastAsia="AvenirNext LT Pro Bold" w:cs="AvenirNext LT Pro Bold"/>
                <w:szCs w:val="20"/>
                <w:lang w:val="en-US" w:eastAsia="en-AU"/>
              </w:rPr>
            </w:pPr>
            <w:r>
              <w:rPr>
                <w:rFonts w:eastAsia="AvenirNext LT Pro Bold" w:cs="AvenirNext LT Pro Bold"/>
                <w:szCs w:val="20"/>
                <w:lang w:val="en-US" w:eastAsia="en-AU"/>
              </w:rPr>
              <w:t>Impact on harm to concerned significant others and vulnerable populations</w:t>
            </w:r>
          </w:p>
        </w:tc>
        <w:tc>
          <w:tcPr>
            <w:tcW w:w="2552" w:type="dxa"/>
            <w:tcBorders>
              <w:top w:val="single" w:sz="4" w:space="0" w:color="auto"/>
              <w:left w:val="nil"/>
              <w:bottom w:val="single" w:sz="4" w:space="0" w:color="auto"/>
              <w:right w:val="nil"/>
            </w:tcBorders>
            <w:vAlign w:val="center"/>
          </w:tcPr>
          <w:p w14:paraId="43EA362B" w14:textId="77777777" w:rsidR="00D056A8" w:rsidRDefault="00D056A8" w:rsidP="003E10D2">
            <w:pPr>
              <w:pStyle w:val="TableParagraph"/>
              <w:spacing w:before="80" w:after="80"/>
              <w:jc w:val="center"/>
              <w:rPr>
                <w:rFonts w:ascii="Avenir Next LT Pro" w:hAnsi="Avenir Next LT Pro"/>
                <w:szCs w:val="20"/>
                <w:lang w:eastAsia="en-AU"/>
              </w:rPr>
            </w:pPr>
            <w:r>
              <w:rPr>
                <w:rFonts w:eastAsia="AvenirNext LT Pro Bold" w:cs="AvenirNext LT Pro Bold"/>
                <w:noProof/>
                <w:szCs w:val="20"/>
                <w:lang w:val="en-US" w:eastAsia="en-AU"/>
              </w:rPr>
              <w:drawing>
                <wp:inline distT="0" distB="0" distL="0" distR="0" wp14:anchorId="3C711CD6" wp14:editId="4FFCF6E7">
                  <wp:extent cx="503555" cy="503555"/>
                  <wp:effectExtent l="0" t="0" r="0" b="0"/>
                  <wp:docPr id="46" name="Graphic 4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3555" cy="503555"/>
                          </a:xfrm>
                          <a:prstGeom prst="rect">
                            <a:avLst/>
                          </a:prstGeom>
                        </pic:spPr>
                      </pic:pic>
                    </a:graphicData>
                  </a:graphic>
                </wp:inline>
              </w:drawing>
            </w:r>
          </w:p>
        </w:tc>
        <w:tc>
          <w:tcPr>
            <w:tcW w:w="2551" w:type="dxa"/>
            <w:tcBorders>
              <w:top w:val="single" w:sz="4" w:space="0" w:color="auto"/>
              <w:left w:val="nil"/>
              <w:bottom w:val="single" w:sz="4" w:space="0" w:color="auto"/>
              <w:right w:val="nil"/>
            </w:tcBorders>
            <w:vAlign w:val="center"/>
          </w:tcPr>
          <w:p w14:paraId="0B2CF933" w14:textId="77777777" w:rsidR="00D056A8" w:rsidRPr="00006D88" w:rsidRDefault="00D056A8" w:rsidP="003E10D2">
            <w:pPr>
              <w:pStyle w:val="TableParagraph"/>
              <w:spacing w:before="80" w:after="80"/>
              <w:jc w:val="center"/>
            </w:pPr>
            <w:r>
              <w:rPr>
                <w:rFonts w:ascii="Avenir Next LT Pro" w:hAnsi="Avenir Next LT Pro"/>
                <w:noProof/>
                <w:szCs w:val="20"/>
                <w:lang w:eastAsia="en-AU"/>
              </w:rPr>
              <w:drawing>
                <wp:inline distT="0" distB="0" distL="0" distR="0" wp14:anchorId="7F6A0574" wp14:editId="5A2653FC">
                  <wp:extent cx="523875" cy="523875"/>
                  <wp:effectExtent l="0" t="0" r="0" b="0"/>
                  <wp:docPr id="47" name="Graphic 47"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3875" cy="523875"/>
                          </a:xfrm>
                          <a:prstGeom prst="rect">
                            <a:avLst/>
                          </a:prstGeom>
                        </pic:spPr>
                      </pic:pic>
                    </a:graphicData>
                  </a:graphic>
                </wp:inline>
              </w:drawing>
            </w:r>
          </w:p>
        </w:tc>
      </w:tr>
      <w:tr w:rsidR="00D056A8" w14:paraId="3979A19A" w14:textId="77777777" w:rsidTr="003E10D2">
        <w:tc>
          <w:tcPr>
            <w:tcW w:w="4678" w:type="dxa"/>
            <w:tcBorders>
              <w:top w:val="single" w:sz="4" w:space="0" w:color="auto"/>
              <w:left w:val="nil"/>
              <w:bottom w:val="single" w:sz="4" w:space="0" w:color="auto"/>
              <w:right w:val="nil"/>
            </w:tcBorders>
            <w:vAlign w:val="center"/>
          </w:tcPr>
          <w:p w14:paraId="3740D590" w14:textId="77777777" w:rsidR="00D056A8" w:rsidRPr="00E92CA5" w:rsidRDefault="00D056A8" w:rsidP="003E10D2">
            <w:pPr>
              <w:pStyle w:val="TableParagraph"/>
              <w:spacing w:before="80" w:after="80"/>
              <w:rPr>
                <w:rFonts w:ascii="Avenir Next LT Pro" w:eastAsia="AvenirNext LT Pro Bold" w:hAnsi="Avenir Next LT Pro" w:cs="AvenirNext LT Pro Bold"/>
                <w:b/>
                <w:sz w:val="24"/>
                <w:szCs w:val="20"/>
                <w:lang w:val="en-US" w:eastAsia="en-AU"/>
              </w:rPr>
            </w:pPr>
            <w:r w:rsidRPr="00E92CA5">
              <w:rPr>
                <w:rFonts w:ascii="Avenir Next LT Pro" w:eastAsia="AvenirNext LT Pro Bold" w:hAnsi="Avenir Next LT Pro" w:cs="AvenirNext LT Pro Bold"/>
                <w:b/>
                <w:sz w:val="24"/>
                <w:szCs w:val="20"/>
                <w:lang w:val="en-US" w:eastAsia="en-AU"/>
              </w:rPr>
              <w:t>% of EGM users protected by measure</w:t>
            </w:r>
          </w:p>
        </w:tc>
        <w:tc>
          <w:tcPr>
            <w:tcW w:w="2552" w:type="dxa"/>
            <w:tcBorders>
              <w:top w:val="single" w:sz="4" w:space="0" w:color="auto"/>
              <w:left w:val="nil"/>
              <w:bottom w:val="single" w:sz="4" w:space="0" w:color="auto"/>
              <w:right w:val="nil"/>
            </w:tcBorders>
            <w:shd w:val="clear" w:color="auto" w:fill="auto"/>
            <w:vAlign w:val="center"/>
          </w:tcPr>
          <w:p w14:paraId="4D4DC57C" w14:textId="77777777" w:rsidR="00D056A8" w:rsidRPr="00E92CA5" w:rsidRDefault="00D056A8" w:rsidP="003E10D2">
            <w:pPr>
              <w:pStyle w:val="TableParagraph"/>
              <w:spacing w:before="80" w:after="80"/>
              <w:jc w:val="center"/>
              <w:rPr>
                <w:rFonts w:ascii="Avenir Next LT Pro" w:eastAsia="AvenirNext LT Pro Bold" w:hAnsi="Avenir Next LT Pro" w:cs="AvenirNext LT Pro Bold"/>
                <w:b/>
                <w:noProof/>
                <w:sz w:val="24"/>
                <w:szCs w:val="20"/>
                <w:lang w:val="en-US" w:eastAsia="en-AU"/>
              </w:rPr>
            </w:pPr>
            <w:r w:rsidRPr="00E92CA5">
              <w:rPr>
                <w:rFonts w:ascii="Avenir Next LT Pro" w:eastAsia="AvenirNext LT Pro Bold" w:hAnsi="Avenir Next LT Pro" w:cs="AvenirNext LT Pro Bold"/>
                <w:b/>
                <w:noProof/>
                <w:sz w:val="24"/>
                <w:szCs w:val="20"/>
                <w:lang w:val="en-US" w:eastAsia="en-AU"/>
              </w:rPr>
              <w:t>100%</w:t>
            </w:r>
          </w:p>
        </w:tc>
        <w:tc>
          <w:tcPr>
            <w:tcW w:w="2551" w:type="dxa"/>
            <w:tcBorders>
              <w:top w:val="single" w:sz="4" w:space="0" w:color="auto"/>
              <w:left w:val="nil"/>
              <w:bottom w:val="single" w:sz="4" w:space="0" w:color="auto"/>
              <w:right w:val="nil"/>
            </w:tcBorders>
            <w:shd w:val="clear" w:color="auto" w:fill="auto"/>
            <w:vAlign w:val="center"/>
          </w:tcPr>
          <w:p w14:paraId="3B9E0D86" w14:textId="77777777" w:rsidR="00D056A8" w:rsidRPr="00E92CA5" w:rsidRDefault="00D056A8" w:rsidP="003E10D2">
            <w:pPr>
              <w:pStyle w:val="TableParagraph"/>
              <w:spacing w:before="80" w:after="80"/>
              <w:jc w:val="center"/>
              <w:rPr>
                <w:rFonts w:ascii="Avenir Next LT Pro" w:hAnsi="Avenir Next LT Pro"/>
                <w:b/>
                <w:noProof/>
                <w:sz w:val="24"/>
                <w:szCs w:val="20"/>
                <w:lang w:eastAsia="en-AU"/>
              </w:rPr>
            </w:pPr>
            <w:r w:rsidRPr="00E92CA5">
              <w:rPr>
                <w:rFonts w:ascii="Avenir Next LT Pro" w:hAnsi="Avenir Next LT Pro"/>
                <w:b/>
                <w:noProof/>
                <w:sz w:val="24"/>
                <w:szCs w:val="20"/>
                <w:lang w:eastAsia="en-AU"/>
              </w:rPr>
              <w:t>0.7%</w:t>
            </w:r>
          </w:p>
        </w:tc>
      </w:tr>
      <w:tr w:rsidR="00D056A8" w14:paraId="1E8A1F22" w14:textId="77777777" w:rsidTr="003E10D2">
        <w:tc>
          <w:tcPr>
            <w:tcW w:w="4678" w:type="dxa"/>
            <w:tcBorders>
              <w:top w:val="single" w:sz="4" w:space="0" w:color="auto"/>
              <w:left w:val="nil"/>
              <w:bottom w:val="single" w:sz="4" w:space="0" w:color="auto"/>
              <w:right w:val="nil"/>
            </w:tcBorders>
            <w:vAlign w:val="center"/>
          </w:tcPr>
          <w:p w14:paraId="0A395535" w14:textId="5E9C641B" w:rsidR="00D056A8" w:rsidRPr="00E92CA5" w:rsidRDefault="00D056A8" w:rsidP="003E10D2">
            <w:pPr>
              <w:pStyle w:val="TableParagraph"/>
              <w:spacing w:before="80" w:after="80"/>
              <w:rPr>
                <w:rFonts w:ascii="Avenir Next LT Pro" w:eastAsia="AvenirNext LT Pro Bold" w:hAnsi="Avenir Next LT Pro" w:cs="AvenirNext LT Pro Bold"/>
                <w:b/>
                <w:sz w:val="24"/>
                <w:szCs w:val="20"/>
                <w:lang w:val="en-US" w:eastAsia="en-AU"/>
              </w:rPr>
            </w:pPr>
            <w:r w:rsidRPr="00E92CA5">
              <w:rPr>
                <w:rFonts w:ascii="Avenir Next LT Pro" w:eastAsia="AvenirNext LT Pro Bold" w:hAnsi="Avenir Next LT Pro" w:cs="AvenirNext LT Pro Bold"/>
                <w:b/>
                <w:sz w:val="24"/>
                <w:szCs w:val="20"/>
                <w:lang w:val="en-US" w:eastAsia="en-AU"/>
              </w:rPr>
              <w:t xml:space="preserve">Estimated overall harm reduction </w:t>
            </w:r>
            <w:r w:rsidRPr="00E92CA5">
              <w:rPr>
                <w:rFonts w:ascii="Avenir Next LT Pro" w:eastAsia="AvenirNext LT Pro Bold" w:hAnsi="Avenir Next LT Pro" w:cs="AvenirNext LT Pro Bold"/>
                <w:sz w:val="20"/>
                <w:szCs w:val="20"/>
                <w:lang w:val="en-US" w:eastAsia="en-AU"/>
              </w:rPr>
              <w:t>(compared to status quo)</w:t>
            </w:r>
          </w:p>
        </w:tc>
        <w:tc>
          <w:tcPr>
            <w:tcW w:w="2552" w:type="dxa"/>
            <w:tcBorders>
              <w:top w:val="single" w:sz="4" w:space="0" w:color="auto"/>
              <w:left w:val="nil"/>
              <w:bottom w:val="single" w:sz="4" w:space="0" w:color="auto"/>
              <w:right w:val="nil"/>
            </w:tcBorders>
            <w:shd w:val="clear" w:color="auto" w:fill="auto"/>
            <w:vAlign w:val="center"/>
          </w:tcPr>
          <w:p w14:paraId="548697F0" w14:textId="77777777" w:rsidR="00D056A8" w:rsidRPr="00E92CA5" w:rsidRDefault="00D056A8" w:rsidP="003E10D2">
            <w:pPr>
              <w:pStyle w:val="TableParagraph"/>
              <w:spacing w:before="80" w:after="80"/>
              <w:jc w:val="center"/>
              <w:rPr>
                <w:rFonts w:ascii="Avenir Next LT Pro" w:eastAsia="AvenirNext LT Pro Bold" w:hAnsi="Avenir Next LT Pro" w:cs="AvenirNext LT Pro Bold"/>
                <w:b/>
                <w:noProof/>
                <w:sz w:val="24"/>
                <w:szCs w:val="20"/>
                <w:lang w:val="en-US" w:eastAsia="en-AU"/>
              </w:rPr>
            </w:pPr>
            <w:r w:rsidRPr="00E92CA5">
              <w:rPr>
                <w:rFonts w:ascii="Avenir Next LT Pro" w:eastAsia="AvenirNext LT Pro Bold" w:hAnsi="Avenir Next LT Pro" w:cs="AvenirNext LT Pro Bold"/>
                <w:b/>
                <w:noProof/>
                <w:sz w:val="24"/>
                <w:szCs w:val="20"/>
                <w:lang w:val="en-US" w:eastAsia="en-AU"/>
              </w:rPr>
              <w:t>40-60%</w:t>
            </w:r>
          </w:p>
        </w:tc>
        <w:tc>
          <w:tcPr>
            <w:tcW w:w="2551" w:type="dxa"/>
            <w:tcBorders>
              <w:top w:val="single" w:sz="4" w:space="0" w:color="auto"/>
              <w:left w:val="nil"/>
              <w:bottom w:val="single" w:sz="4" w:space="0" w:color="auto"/>
              <w:right w:val="nil"/>
            </w:tcBorders>
            <w:shd w:val="clear" w:color="auto" w:fill="auto"/>
            <w:vAlign w:val="center"/>
          </w:tcPr>
          <w:p w14:paraId="4A7FA92E" w14:textId="77777777" w:rsidR="00D056A8" w:rsidRPr="00E92CA5" w:rsidRDefault="00D056A8" w:rsidP="003E10D2">
            <w:pPr>
              <w:pStyle w:val="TableParagraph"/>
              <w:spacing w:before="80" w:after="80"/>
              <w:jc w:val="center"/>
              <w:rPr>
                <w:rFonts w:ascii="Avenir Next LT Pro" w:hAnsi="Avenir Next LT Pro"/>
                <w:b/>
                <w:sz w:val="24"/>
              </w:rPr>
            </w:pPr>
            <w:r w:rsidRPr="00E92CA5">
              <w:rPr>
                <w:rFonts w:ascii="Avenir Next LT Pro" w:hAnsi="Avenir Next LT Pro"/>
                <w:b/>
                <w:sz w:val="24"/>
              </w:rPr>
              <w:t>&lt;3.5%</w:t>
            </w:r>
            <w:r w:rsidRPr="00E92CA5">
              <w:rPr>
                <w:rStyle w:val="FootnoteReference"/>
                <w:rFonts w:ascii="Avenir Next LT Pro" w:hAnsi="Avenir Next LT Pro"/>
                <w:b/>
              </w:rPr>
              <w:footnoteReference w:id="1"/>
            </w:r>
          </w:p>
        </w:tc>
      </w:tr>
      <w:tr w:rsidR="00D056A8" w14:paraId="01469965" w14:textId="77777777" w:rsidTr="003E10D2">
        <w:tc>
          <w:tcPr>
            <w:tcW w:w="4678" w:type="dxa"/>
            <w:tcBorders>
              <w:top w:val="single" w:sz="4" w:space="0" w:color="auto"/>
              <w:left w:val="nil"/>
              <w:bottom w:val="nil"/>
              <w:right w:val="nil"/>
            </w:tcBorders>
            <w:shd w:val="clear" w:color="auto" w:fill="auto"/>
            <w:vAlign w:val="center"/>
          </w:tcPr>
          <w:p w14:paraId="33D91187" w14:textId="77777777" w:rsidR="00D056A8" w:rsidRDefault="00D056A8" w:rsidP="003E10D2">
            <w:pPr>
              <w:pStyle w:val="TableParagraph"/>
              <w:rPr>
                <w:rFonts w:eastAsia="AvenirNext LT Pro Bold" w:cs="AvenirNext LT Pro Bold"/>
                <w:szCs w:val="20"/>
                <w:lang w:val="en-US" w:eastAsia="en-AU"/>
              </w:rPr>
            </w:pPr>
            <w:r>
              <w:rPr>
                <w:rFonts w:eastAsia="AvenirNext LT Pro Bold" w:cs="AvenirNext LT Pro Bold"/>
                <w:noProof/>
                <w:szCs w:val="20"/>
                <w:lang w:val="en-US" w:eastAsia="en-AU"/>
              </w:rPr>
              <w:drawing>
                <wp:inline distT="0" distB="0" distL="0" distR="0" wp14:anchorId="01C9D24A" wp14:editId="7F95625C">
                  <wp:extent cx="269240" cy="269240"/>
                  <wp:effectExtent l="0" t="0" r="0" b="0"/>
                  <wp:docPr id="49" name="Graphic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69240" cy="269240"/>
                          </a:xfrm>
                          <a:prstGeom prst="rect">
                            <a:avLst/>
                          </a:prstGeom>
                        </pic:spPr>
                      </pic:pic>
                    </a:graphicData>
                  </a:graphic>
                </wp:inline>
              </w:drawing>
            </w:r>
            <w:r>
              <w:rPr>
                <w:rFonts w:eastAsia="AvenirNext LT Pro Bold" w:cs="AvenirNext LT Pro Bold"/>
                <w:szCs w:val="20"/>
                <w:lang w:val="en-US" w:eastAsia="en-AU"/>
              </w:rPr>
              <w:t>Substantially meets the policy objective</w:t>
            </w:r>
          </w:p>
        </w:tc>
        <w:tc>
          <w:tcPr>
            <w:tcW w:w="5103" w:type="dxa"/>
            <w:gridSpan w:val="2"/>
            <w:tcBorders>
              <w:top w:val="single" w:sz="4" w:space="0" w:color="auto"/>
              <w:left w:val="nil"/>
              <w:bottom w:val="nil"/>
              <w:right w:val="nil"/>
            </w:tcBorders>
            <w:shd w:val="clear" w:color="auto" w:fill="auto"/>
            <w:vAlign w:val="center"/>
          </w:tcPr>
          <w:p w14:paraId="29822809" w14:textId="77777777" w:rsidR="00D056A8" w:rsidRDefault="00D056A8" w:rsidP="003E10D2">
            <w:pPr>
              <w:pStyle w:val="TableParagraph"/>
              <w:rPr>
                <w:rFonts w:eastAsia="AvenirNext LT Pro Bold" w:cs="AvenirNext LT Pro Bold"/>
                <w:noProof/>
                <w:szCs w:val="20"/>
                <w:lang w:val="en-US" w:eastAsia="en-AU"/>
              </w:rPr>
            </w:pPr>
            <w:r>
              <w:rPr>
                <w:rFonts w:ascii="Avenir Next LT Pro" w:hAnsi="Avenir Next LT Pro"/>
                <w:noProof/>
                <w:szCs w:val="20"/>
                <w:lang w:eastAsia="en-AU"/>
              </w:rPr>
              <w:drawing>
                <wp:inline distT="0" distB="0" distL="0" distR="0" wp14:anchorId="10EA3736" wp14:editId="7EE71F10">
                  <wp:extent cx="220980" cy="220980"/>
                  <wp:effectExtent l="0" t="0" r="7620" b="7620"/>
                  <wp:docPr id="50" name="Graphic 50"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os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20980" cy="220980"/>
                          </a:xfrm>
                          <a:prstGeom prst="rect">
                            <a:avLst/>
                          </a:prstGeom>
                        </pic:spPr>
                      </pic:pic>
                    </a:graphicData>
                  </a:graphic>
                </wp:inline>
              </w:drawing>
            </w:r>
            <w:r>
              <w:rPr>
                <w:rFonts w:eastAsia="AvenirNext LT Pro Bold" w:cs="AvenirNext LT Pro Bold"/>
                <w:noProof/>
                <w:szCs w:val="20"/>
                <w:lang w:val="en-US" w:eastAsia="en-AU"/>
              </w:rPr>
              <w:t>Does not substantially meet the policy objective</w:t>
            </w:r>
          </w:p>
        </w:tc>
      </w:tr>
    </w:tbl>
    <w:p w14:paraId="0C776D0B" w14:textId="77777777" w:rsidR="00D056A8" w:rsidRDefault="00D056A8">
      <w:pPr>
        <w:spacing w:before="0" w:after="0"/>
        <w:rPr>
          <w:rFonts w:ascii="Avenir Next Demi Bold" w:eastAsia="AvenirNextLTPro-Demi" w:hAnsi="Avenir Next Demi Bold" w:cs="AvenirNextLTPro-Demi"/>
          <w:b/>
          <w:bCs/>
          <w:color w:val="1598CB"/>
          <w:sz w:val="48"/>
          <w:szCs w:val="48"/>
          <w:lang w:val="en-US"/>
        </w:rPr>
      </w:pPr>
      <w:r>
        <w:br w:type="page"/>
      </w:r>
    </w:p>
    <w:p w14:paraId="5C9EFF0F" w14:textId="77777777" w:rsidR="00D056A8" w:rsidRDefault="00D056A8" w:rsidP="003E10D2">
      <w:pPr>
        <w:pStyle w:val="Heading1"/>
      </w:pPr>
      <w:bookmarkStart w:id="7" w:name="_Toc184302761"/>
      <w:r>
        <w:lastRenderedPageBreak/>
        <w:t>Other options</w:t>
      </w:r>
      <w:bookmarkEnd w:id="7"/>
    </w:p>
    <w:p w14:paraId="5AABD367" w14:textId="41DBDC77" w:rsidR="00D056A8" w:rsidRDefault="00D056A8" w:rsidP="003E10D2">
      <w:pPr>
        <w:pStyle w:val="BodyText"/>
        <w:rPr>
          <w:lang w:val="en-US" w:eastAsia="en-AU"/>
        </w:rPr>
      </w:pPr>
      <w:r>
        <w:rPr>
          <w:lang w:val="en-US" w:eastAsia="en-AU"/>
        </w:rPr>
        <w:t>A range of other options were analysed for their effectiveness (see appendix). Some of these measures have already been implemented in Tasmania. Most options, even if they are effective, only incrementally reduce the risk of harm and cannot meet the policy objectives on their own.</w:t>
      </w:r>
    </w:p>
    <w:p w14:paraId="0CD9FCA0" w14:textId="77777777" w:rsidR="00D056A8" w:rsidRDefault="00D056A8" w:rsidP="003E10D2">
      <w:pPr>
        <w:pStyle w:val="BodyText"/>
        <w:rPr>
          <w:lang w:val="en-US" w:eastAsia="en-AU"/>
        </w:rPr>
      </w:pPr>
      <w:r>
        <w:rPr>
          <w:lang w:val="en-US" w:eastAsia="en-AU"/>
        </w:rPr>
        <w:t>The options with the greatest scope for harm reduction in Tasmania are summarised in Table 2. The mandatory pre-commitment card combines a number of these harm reduction measures. These measures are shown in bold in Table 2. Some of these measures, such as information about time and money spent, can be partially implemented (e.g. for the session of play) without the card but would be less effective.</w:t>
      </w:r>
    </w:p>
    <w:p w14:paraId="21BD3050" w14:textId="77777777" w:rsidR="00D056A8" w:rsidRPr="004C2F0F" w:rsidRDefault="00D056A8" w:rsidP="003E10D2">
      <w:pPr>
        <w:pStyle w:val="BodyText"/>
        <w:rPr>
          <w:b/>
          <w:lang w:val="en-US" w:eastAsia="en-AU"/>
        </w:rPr>
      </w:pPr>
      <w:r>
        <w:rPr>
          <w:b/>
          <w:lang w:val="en-US" w:eastAsia="en-AU"/>
        </w:rPr>
        <w:t>Table 2. Options for reducing harm from EGMs in Tasmania</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2694"/>
        <w:gridCol w:w="2551"/>
        <w:gridCol w:w="1984"/>
      </w:tblGrid>
      <w:tr w:rsidR="00D056A8" w14:paraId="2D416212" w14:textId="77777777" w:rsidTr="00242FA3">
        <w:tc>
          <w:tcPr>
            <w:tcW w:w="2689" w:type="dxa"/>
            <w:tcBorders>
              <w:top w:val="single" w:sz="4" w:space="0" w:color="auto"/>
              <w:bottom w:val="single" w:sz="4" w:space="0" w:color="auto"/>
            </w:tcBorders>
            <w:shd w:val="clear" w:color="auto" w:fill="E7E6E6" w:themeFill="background2"/>
            <w:vAlign w:val="bottom"/>
          </w:tcPr>
          <w:p w14:paraId="71F32AA7" w14:textId="77777777" w:rsidR="00D056A8" w:rsidRPr="004C2F0F" w:rsidRDefault="00D056A8" w:rsidP="003E10D2">
            <w:pPr>
              <w:pStyle w:val="BodyText"/>
              <w:rPr>
                <w:b/>
              </w:rPr>
            </w:pPr>
            <w:r w:rsidRPr="004C2F0F">
              <w:rPr>
                <w:b/>
              </w:rPr>
              <w:t>Measure</w:t>
            </w:r>
          </w:p>
        </w:tc>
        <w:tc>
          <w:tcPr>
            <w:tcW w:w="2694" w:type="dxa"/>
            <w:tcBorders>
              <w:top w:val="single" w:sz="4" w:space="0" w:color="auto"/>
              <w:bottom w:val="single" w:sz="4" w:space="0" w:color="auto"/>
            </w:tcBorders>
            <w:shd w:val="clear" w:color="auto" w:fill="E7E6E6" w:themeFill="background2"/>
            <w:vAlign w:val="bottom"/>
          </w:tcPr>
          <w:p w14:paraId="18B82E59" w14:textId="77777777" w:rsidR="00D056A8" w:rsidRPr="004C2F0F" w:rsidRDefault="00D056A8" w:rsidP="003E10D2">
            <w:pPr>
              <w:pStyle w:val="BodyText"/>
              <w:rPr>
                <w:b/>
                <w:lang w:val="en-US" w:eastAsia="en-AU"/>
              </w:rPr>
            </w:pPr>
            <w:r w:rsidRPr="004C2F0F">
              <w:rPr>
                <w:rFonts w:ascii="Calibri" w:hAnsi="Calibri" w:cs="Calibri"/>
                <w:b/>
                <w:color w:val="000000"/>
                <w:sz w:val="22"/>
                <w:szCs w:val="22"/>
              </w:rPr>
              <w:t>How it reduces harm</w:t>
            </w:r>
          </w:p>
        </w:tc>
        <w:tc>
          <w:tcPr>
            <w:tcW w:w="2551" w:type="dxa"/>
            <w:tcBorders>
              <w:top w:val="single" w:sz="4" w:space="0" w:color="auto"/>
              <w:bottom w:val="single" w:sz="4" w:space="0" w:color="auto"/>
            </w:tcBorders>
            <w:shd w:val="clear" w:color="auto" w:fill="E7E6E6" w:themeFill="background2"/>
            <w:vAlign w:val="bottom"/>
          </w:tcPr>
          <w:p w14:paraId="6CD6D28A" w14:textId="77777777" w:rsidR="00D056A8" w:rsidRPr="004C2F0F" w:rsidRDefault="00D056A8" w:rsidP="003E10D2">
            <w:pPr>
              <w:pStyle w:val="BodyText"/>
              <w:rPr>
                <w:b/>
                <w:lang w:val="en-US" w:eastAsia="en-AU"/>
              </w:rPr>
            </w:pPr>
            <w:r w:rsidRPr="000D6F29">
              <w:rPr>
                <w:rFonts w:ascii="Calibri" w:hAnsi="Calibri" w:cs="Calibri"/>
                <w:b/>
                <w:bCs/>
                <w:color w:val="000000"/>
                <w:sz w:val="22"/>
                <w:szCs w:val="22"/>
              </w:rPr>
              <w:t>Comment</w:t>
            </w:r>
          </w:p>
        </w:tc>
        <w:tc>
          <w:tcPr>
            <w:tcW w:w="1984" w:type="dxa"/>
            <w:tcBorders>
              <w:top w:val="single" w:sz="4" w:space="0" w:color="auto"/>
              <w:bottom w:val="single" w:sz="4" w:space="0" w:color="auto"/>
            </w:tcBorders>
            <w:shd w:val="clear" w:color="auto" w:fill="E7E6E6" w:themeFill="background2"/>
            <w:vAlign w:val="center"/>
          </w:tcPr>
          <w:p w14:paraId="0857D98B" w14:textId="77777777" w:rsidR="00D056A8" w:rsidRPr="004C2F0F" w:rsidRDefault="00D056A8" w:rsidP="003E10D2">
            <w:pPr>
              <w:pStyle w:val="BodyText"/>
              <w:rPr>
                <w:b/>
                <w:lang w:val="en-US" w:eastAsia="en-AU"/>
              </w:rPr>
            </w:pPr>
            <w:r w:rsidRPr="000D6F29">
              <w:rPr>
                <w:rFonts w:ascii="Calibri" w:hAnsi="Calibri" w:cs="Calibri"/>
                <w:b/>
                <w:bCs/>
                <w:color w:val="000000"/>
                <w:sz w:val="22"/>
                <w:szCs w:val="22"/>
              </w:rPr>
              <w:t>Harm reduction</w:t>
            </w:r>
          </w:p>
        </w:tc>
      </w:tr>
      <w:tr w:rsidR="00D056A8" w14:paraId="688DA93C" w14:textId="77777777" w:rsidTr="003E10D2">
        <w:tc>
          <w:tcPr>
            <w:tcW w:w="2689" w:type="dxa"/>
            <w:tcBorders>
              <w:top w:val="single" w:sz="4" w:space="0" w:color="auto"/>
              <w:bottom w:val="single" w:sz="4" w:space="0" w:color="auto"/>
            </w:tcBorders>
          </w:tcPr>
          <w:p w14:paraId="405C0556" w14:textId="77777777" w:rsidR="00D056A8" w:rsidRPr="0047423B" w:rsidRDefault="00D056A8" w:rsidP="003E10D2">
            <w:pPr>
              <w:pStyle w:val="BodyText"/>
              <w:rPr>
                <w:rFonts w:eastAsia="AvenirNextLTPro-Demi" w:cs="AvenirNextLTPro-Demi"/>
                <w:b/>
                <w:sz w:val="22"/>
                <w:szCs w:val="22"/>
              </w:rPr>
            </w:pPr>
            <w:r w:rsidRPr="0047423B">
              <w:rPr>
                <w:rFonts w:eastAsia="AvenirNextLTPro-Demi" w:cs="AvenirNextLTPro-Demi"/>
                <w:b/>
                <w:sz w:val="22"/>
                <w:szCs w:val="22"/>
              </w:rPr>
              <w:t>Mandatory limit-setting</w:t>
            </w:r>
          </w:p>
        </w:tc>
        <w:tc>
          <w:tcPr>
            <w:tcW w:w="2694" w:type="dxa"/>
            <w:tcBorders>
              <w:top w:val="single" w:sz="4" w:space="0" w:color="auto"/>
              <w:bottom w:val="single" w:sz="4" w:space="0" w:color="auto"/>
            </w:tcBorders>
          </w:tcPr>
          <w:p w14:paraId="254581F2" w14:textId="77777777" w:rsidR="00D056A8" w:rsidRDefault="00D056A8" w:rsidP="003E10D2">
            <w:pPr>
              <w:pStyle w:val="BodyText"/>
              <w:rPr>
                <w:lang w:val="en-US" w:eastAsia="en-AU"/>
              </w:rPr>
            </w:pPr>
            <w:r w:rsidRPr="0047423B">
              <w:rPr>
                <w:rFonts w:eastAsia="AvenirNextLTPro-Demi" w:cs="AvenirNextLTPro-Demi"/>
                <w:sz w:val="22"/>
                <w:szCs w:val="22"/>
              </w:rPr>
              <w:t>Enables player to spend what they intended</w:t>
            </w:r>
          </w:p>
        </w:tc>
        <w:tc>
          <w:tcPr>
            <w:tcW w:w="2551" w:type="dxa"/>
            <w:tcBorders>
              <w:top w:val="single" w:sz="4" w:space="0" w:color="auto"/>
              <w:bottom w:val="single" w:sz="4" w:space="0" w:color="auto"/>
            </w:tcBorders>
            <w:vAlign w:val="center"/>
          </w:tcPr>
          <w:p w14:paraId="7696E240"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Delivered by card and not feasible without card</w:t>
            </w:r>
          </w:p>
        </w:tc>
        <w:tc>
          <w:tcPr>
            <w:tcW w:w="1984" w:type="dxa"/>
            <w:tcBorders>
              <w:top w:val="single" w:sz="4" w:space="0" w:color="auto"/>
              <w:bottom w:val="single" w:sz="4" w:space="0" w:color="auto"/>
            </w:tcBorders>
            <w:vAlign w:val="center"/>
          </w:tcPr>
          <w:p w14:paraId="15729A14"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Good</w:t>
            </w:r>
          </w:p>
        </w:tc>
      </w:tr>
      <w:tr w:rsidR="00D056A8" w14:paraId="5C94AF4A" w14:textId="77777777" w:rsidTr="003E10D2">
        <w:tc>
          <w:tcPr>
            <w:tcW w:w="2689" w:type="dxa"/>
            <w:tcBorders>
              <w:top w:val="single" w:sz="4" w:space="0" w:color="auto"/>
              <w:bottom w:val="single" w:sz="4" w:space="0" w:color="auto"/>
            </w:tcBorders>
            <w:vAlign w:val="center"/>
          </w:tcPr>
          <w:p w14:paraId="1DA256F0" w14:textId="77777777" w:rsidR="00D056A8" w:rsidRPr="0047423B" w:rsidRDefault="00D056A8" w:rsidP="003E10D2">
            <w:pPr>
              <w:pStyle w:val="BodyText"/>
              <w:rPr>
                <w:rFonts w:eastAsia="AvenirNextLTPro-Demi" w:cs="AvenirNextLTPro-Demi"/>
                <w:b/>
                <w:sz w:val="22"/>
                <w:szCs w:val="22"/>
              </w:rPr>
            </w:pPr>
            <w:r w:rsidRPr="0047423B">
              <w:rPr>
                <w:rFonts w:eastAsia="AvenirNextLTPro-Demi" w:cs="AvenirNextLTPro-Demi"/>
                <w:b/>
                <w:sz w:val="22"/>
                <w:szCs w:val="22"/>
              </w:rPr>
              <w:t>Default loss limits</w:t>
            </w:r>
          </w:p>
        </w:tc>
        <w:tc>
          <w:tcPr>
            <w:tcW w:w="2694" w:type="dxa"/>
            <w:tcBorders>
              <w:top w:val="single" w:sz="4" w:space="0" w:color="auto"/>
              <w:bottom w:val="single" w:sz="4" w:space="0" w:color="auto"/>
            </w:tcBorders>
            <w:vAlign w:val="center"/>
          </w:tcPr>
          <w:p w14:paraId="77EDFD7D" w14:textId="77777777" w:rsidR="00D056A8" w:rsidRDefault="00D056A8" w:rsidP="003E10D2">
            <w:pPr>
              <w:pStyle w:val="BodyText"/>
              <w:rPr>
                <w:lang w:val="en-US" w:eastAsia="en-AU"/>
              </w:rPr>
            </w:pPr>
            <w:r w:rsidRPr="0047423B">
              <w:rPr>
                <w:rFonts w:eastAsia="AvenirNextLTPro-Demi" w:cs="AvenirNextLTPro-Demi"/>
                <w:sz w:val="22"/>
                <w:szCs w:val="22"/>
              </w:rPr>
              <w:t>Ensures player has financial capacity to participate</w:t>
            </w:r>
          </w:p>
        </w:tc>
        <w:tc>
          <w:tcPr>
            <w:tcW w:w="2551" w:type="dxa"/>
            <w:tcBorders>
              <w:top w:val="single" w:sz="4" w:space="0" w:color="auto"/>
              <w:bottom w:val="single" w:sz="4" w:space="0" w:color="auto"/>
            </w:tcBorders>
            <w:vAlign w:val="center"/>
          </w:tcPr>
          <w:p w14:paraId="0022AF7B"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Delivered by card and not feasible without card</w:t>
            </w:r>
          </w:p>
        </w:tc>
        <w:tc>
          <w:tcPr>
            <w:tcW w:w="1984" w:type="dxa"/>
            <w:tcBorders>
              <w:top w:val="single" w:sz="4" w:space="0" w:color="auto"/>
              <w:bottom w:val="single" w:sz="4" w:space="0" w:color="auto"/>
            </w:tcBorders>
            <w:vAlign w:val="center"/>
          </w:tcPr>
          <w:p w14:paraId="4DB2B9F4"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 xml:space="preserve">Excellent </w:t>
            </w:r>
          </w:p>
        </w:tc>
      </w:tr>
      <w:tr w:rsidR="00D056A8" w14:paraId="159E19E3" w14:textId="77777777" w:rsidTr="003E10D2">
        <w:tc>
          <w:tcPr>
            <w:tcW w:w="2689" w:type="dxa"/>
            <w:tcBorders>
              <w:top w:val="single" w:sz="4" w:space="0" w:color="auto"/>
              <w:bottom w:val="single" w:sz="4" w:space="0" w:color="auto"/>
            </w:tcBorders>
            <w:vAlign w:val="center"/>
          </w:tcPr>
          <w:p w14:paraId="4F159674" w14:textId="77777777" w:rsidR="00D056A8" w:rsidRPr="0047423B" w:rsidRDefault="00D056A8" w:rsidP="003E10D2">
            <w:pPr>
              <w:pStyle w:val="BodyText"/>
              <w:rPr>
                <w:rFonts w:eastAsia="AvenirNextLTPro-Demi" w:cs="AvenirNextLTPro-Demi"/>
                <w:b/>
                <w:sz w:val="22"/>
                <w:szCs w:val="22"/>
              </w:rPr>
            </w:pPr>
            <w:r w:rsidRPr="0047423B">
              <w:rPr>
                <w:rFonts w:eastAsia="AvenirNextLTPro-Demi" w:cs="AvenirNextLTPro-Demi"/>
                <w:b/>
                <w:sz w:val="22"/>
                <w:szCs w:val="22"/>
              </w:rPr>
              <w:t>Interventions based on tracking</w:t>
            </w:r>
          </w:p>
        </w:tc>
        <w:tc>
          <w:tcPr>
            <w:tcW w:w="2694" w:type="dxa"/>
            <w:tcBorders>
              <w:top w:val="single" w:sz="4" w:space="0" w:color="auto"/>
              <w:bottom w:val="single" w:sz="4" w:space="0" w:color="auto"/>
            </w:tcBorders>
            <w:vAlign w:val="center"/>
          </w:tcPr>
          <w:p w14:paraId="0A39C18D" w14:textId="77777777" w:rsidR="00D056A8" w:rsidRPr="0047423B" w:rsidRDefault="00D056A8" w:rsidP="00D056A8">
            <w:pPr>
              <w:pStyle w:val="BodyText"/>
              <w:numPr>
                <w:ilvl w:val="0"/>
                <w:numId w:val="19"/>
              </w:numPr>
              <w:rPr>
                <w:rFonts w:eastAsia="AvenirNextLTPro-Demi" w:cs="AvenirNextLTPro-Demi"/>
                <w:sz w:val="22"/>
                <w:szCs w:val="22"/>
              </w:rPr>
            </w:pPr>
            <w:r w:rsidRPr="0047423B">
              <w:rPr>
                <w:rFonts w:eastAsia="AvenirNextLTPro-Demi" w:cs="AvenirNextLTPro-Demi"/>
                <w:sz w:val="22"/>
                <w:szCs w:val="22"/>
              </w:rPr>
              <w:t>Enables active identification and intervention</w:t>
            </w:r>
          </w:p>
          <w:p w14:paraId="64C2F6CB" w14:textId="77777777" w:rsidR="00D056A8" w:rsidRDefault="00D056A8" w:rsidP="00D056A8">
            <w:pPr>
              <w:pStyle w:val="BodyText"/>
              <w:numPr>
                <w:ilvl w:val="0"/>
                <w:numId w:val="19"/>
              </w:numPr>
              <w:rPr>
                <w:lang w:val="en-US" w:eastAsia="en-AU"/>
              </w:rPr>
            </w:pPr>
            <w:r w:rsidRPr="0047423B">
              <w:rPr>
                <w:rFonts w:eastAsia="AvenirNextLTPro-Demi" w:cs="AvenirNextLTPro-Demi"/>
                <w:sz w:val="22"/>
                <w:szCs w:val="22"/>
              </w:rPr>
              <w:t>Actively supports players to address ‘at risk’ and gambling harm where relevant</w:t>
            </w:r>
            <w:r>
              <w:rPr>
                <w:rFonts w:ascii="Avenir Next LT Pro" w:hAnsi="Avenir Next LT Pro" w:cs="Calibri"/>
                <w:sz w:val="20"/>
                <w:szCs w:val="20"/>
              </w:rPr>
              <w:t xml:space="preserve"> </w:t>
            </w:r>
          </w:p>
        </w:tc>
        <w:tc>
          <w:tcPr>
            <w:tcW w:w="2551" w:type="dxa"/>
            <w:tcBorders>
              <w:top w:val="single" w:sz="4" w:space="0" w:color="auto"/>
              <w:bottom w:val="single" w:sz="4" w:space="0" w:color="auto"/>
            </w:tcBorders>
            <w:vAlign w:val="center"/>
          </w:tcPr>
          <w:p w14:paraId="2682A8E8"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Delivered by card and not feasible without card</w:t>
            </w:r>
          </w:p>
        </w:tc>
        <w:tc>
          <w:tcPr>
            <w:tcW w:w="1984" w:type="dxa"/>
            <w:tcBorders>
              <w:top w:val="single" w:sz="4" w:space="0" w:color="auto"/>
              <w:bottom w:val="single" w:sz="4" w:space="0" w:color="auto"/>
            </w:tcBorders>
            <w:vAlign w:val="center"/>
          </w:tcPr>
          <w:p w14:paraId="7D9699FA"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Good</w:t>
            </w:r>
          </w:p>
        </w:tc>
      </w:tr>
      <w:tr w:rsidR="00D056A8" w14:paraId="5208AC08" w14:textId="77777777" w:rsidTr="003E10D2">
        <w:tc>
          <w:tcPr>
            <w:tcW w:w="2689" w:type="dxa"/>
            <w:tcBorders>
              <w:top w:val="single" w:sz="4" w:space="0" w:color="auto"/>
              <w:bottom w:val="single" w:sz="4" w:space="0" w:color="auto"/>
            </w:tcBorders>
            <w:vAlign w:val="center"/>
          </w:tcPr>
          <w:p w14:paraId="6D53DBEC" w14:textId="77777777" w:rsidR="00D056A8" w:rsidRPr="0047423B" w:rsidRDefault="00D056A8" w:rsidP="003E10D2">
            <w:pPr>
              <w:pStyle w:val="BodyText"/>
              <w:rPr>
                <w:rFonts w:eastAsia="AvenirNextLTPro-Demi" w:cs="AvenirNextLTPro-Demi"/>
                <w:b/>
                <w:sz w:val="22"/>
                <w:szCs w:val="22"/>
              </w:rPr>
            </w:pPr>
            <w:r w:rsidRPr="0047423B">
              <w:rPr>
                <w:rFonts w:eastAsia="AvenirNextLTPro-Demi" w:cs="AvenirNextLTPro-Demi"/>
                <w:b/>
                <w:sz w:val="22"/>
                <w:szCs w:val="22"/>
              </w:rPr>
              <w:t>Pop-ups or other interactive warnings</w:t>
            </w:r>
          </w:p>
        </w:tc>
        <w:tc>
          <w:tcPr>
            <w:tcW w:w="2694" w:type="dxa"/>
            <w:tcBorders>
              <w:top w:val="single" w:sz="4" w:space="0" w:color="auto"/>
              <w:bottom w:val="single" w:sz="4" w:space="0" w:color="auto"/>
            </w:tcBorders>
            <w:vAlign w:val="center"/>
          </w:tcPr>
          <w:p w14:paraId="4528F15C" w14:textId="77777777" w:rsidR="00D056A8" w:rsidRDefault="00D056A8" w:rsidP="003E10D2">
            <w:pPr>
              <w:pStyle w:val="BodyText"/>
              <w:rPr>
                <w:lang w:val="en-US" w:eastAsia="en-AU"/>
              </w:rPr>
            </w:pPr>
            <w:r w:rsidRPr="0047423B">
              <w:rPr>
                <w:rFonts w:eastAsia="AvenirNextLTPro-Demi" w:cs="AvenirNextLTPro-Demi"/>
                <w:sz w:val="22"/>
                <w:szCs w:val="22"/>
              </w:rPr>
              <w:t>Provides information to make an informed choice about participation</w:t>
            </w:r>
          </w:p>
        </w:tc>
        <w:tc>
          <w:tcPr>
            <w:tcW w:w="2551" w:type="dxa"/>
            <w:tcBorders>
              <w:top w:val="single" w:sz="4" w:space="0" w:color="auto"/>
              <w:bottom w:val="single" w:sz="4" w:space="0" w:color="auto"/>
            </w:tcBorders>
            <w:vAlign w:val="center"/>
          </w:tcPr>
          <w:p w14:paraId="4EC01D61"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 xml:space="preserve">Delivered by card, can be partially implemented without card </w:t>
            </w:r>
          </w:p>
        </w:tc>
        <w:tc>
          <w:tcPr>
            <w:tcW w:w="1984" w:type="dxa"/>
            <w:tcBorders>
              <w:top w:val="single" w:sz="4" w:space="0" w:color="auto"/>
              <w:bottom w:val="single" w:sz="4" w:space="0" w:color="auto"/>
            </w:tcBorders>
            <w:vAlign w:val="center"/>
          </w:tcPr>
          <w:p w14:paraId="3B33EC9A"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Moderate</w:t>
            </w:r>
          </w:p>
        </w:tc>
      </w:tr>
      <w:tr w:rsidR="00D056A8" w14:paraId="17AA975C" w14:textId="77777777" w:rsidTr="003E10D2">
        <w:tc>
          <w:tcPr>
            <w:tcW w:w="2689" w:type="dxa"/>
            <w:tcBorders>
              <w:top w:val="single" w:sz="4" w:space="0" w:color="auto"/>
              <w:bottom w:val="single" w:sz="4" w:space="0" w:color="auto"/>
            </w:tcBorders>
            <w:vAlign w:val="center"/>
          </w:tcPr>
          <w:p w14:paraId="31BC91D0" w14:textId="77777777" w:rsidR="00D056A8" w:rsidRPr="0047423B" w:rsidRDefault="00D056A8" w:rsidP="003E10D2">
            <w:pPr>
              <w:pStyle w:val="BodyText"/>
              <w:rPr>
                <w:rFonts w:eastAsia="AvenirNextLTPro-Demi" w:cs="AvenirNextLTPro-Demi"/>
                <w:b/>
                <w:sz w:val="22"/>
                <w:szCs w:val="22"/>
              </w:rPr>
            </w:pPr>
            <w:r w:rsidRPr="0047423B">
              <w:rPr>
                <w:rFonts w:eastAsia="AvenirNextLTPro-Demi" w:cs="AvenirNextLTPro-Demi"/>
                <w:b/>
                <w:sz w:val="22"/>
                <w:szCs w:val="22"/>
              </w:rPr>
              <w:t>Personalised information about time and money spent</w:t>
            </w:r>
          </w:p>
        </w:tc>
        <w:tc>
          <w:tcPr>
            <w:tcW w:w="2694" w:type="dxa"/>
            <w:tcBorders>
              <w:top w:val="single" w:sz="4" w:space="0" w:color="auto"/>
              <w:bottom w:val="single" w:sz="4" w:space="0" w:color="auto"/>
            </w:tcBorders>
            <w:vAlign w:val="center"/>
          </w:tcPr>
          <w:p w14:paraId="2A32A969"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Provides information to make an informed choice about participation</w:t>
            </w:r>
          </w:p>
        </w:tc>
        <w:tc>
          <w:tcPr>
            <w:tcW w:w="2551" w:type="dxa"/>
            <w:tcBorders>
              <w:top w:val="single" w:sz="4" w:space="0" w:color="auto"/>
              <w:bottom w:val="single" w:sz="4" w:space="0" w:color="auto"/>
            </w:tcBorders>
            <w:vAlign w:val="center"/>
          </w:tcPr>
          <w:p w14:paraId="7499FA9B"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 xml:space="preserve">Delivered by card, can be partially implemented without card </w:t>
            </w:r>
          </w:p>
        </w:tc>
        <w:tc>
          <w:tcPr>
            <w:tcW w:w="1984" w:type="dxa"/>
            <w:tcBorders>
              <w:top w:val="single" w:sz="4" w:space="0" w:color="auto"/>
              <w:bottom w:val="single" w:sz="4" w:space="0" w:color="auto"/>
            </w:tcBorders>
            <w:vAlign w:val="center"/>
          </w:tcPr>
          <w:p w14:paraId="523007DD"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Moderate</w:t>
            </w:r>
          </w:p>
        </w:tc>
      </w:tr>
      <w:tr w:rsidR="00D056A8" w14:paraId="1A1D6A5F" w14:textId="77777777" w:rsidTr="003E10D2">
        <w:tc>
          <w:tcPr>
            <w:tcW w:w="2689" w:type="dxa"/>
            <w:tcBorders>
              <w:top w:val="single" w:sz="4" w:space="0" w:color="auto"/>
              <w:bottom w:val="single" w:sz="4" w:space="0" w:color="auto"/>
            </w:tcBorders>
            <w:vAlign w:val="center"/>
          </w:tcPr>
          <w:p w14:paraId="067D5162"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Situating venues away from at-risk populations</w:t>
            </w:r>
          </w:p>
        </w:tc>
        <w:tc>
          <w:tcPr>
            <w:tcW w:w="2694" w:type="dxa"/>
            <w:tcBorders>
              <w:top w:val="single" w:sz="4" w:space="0" w:color="auto"/>
              <w:bottom w:val="single" w:sz="4" w:space="0" w:color="auto"/>
            </w:tcBorders>
            <w:vAlign w:val="center"/>
          </w:tcPr>
          <w:p w14:paraId="10A7CF7B"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Reduces availability &amp; accessibility of EGMs</w:t>
            </w:r>
          </w:p>
        </w:tc>
        <w:tc>
          <w:tcPr>
            <w:tcW w:w="2551" w:type="dxa"/>
            <w:tcBorders>
              <w:top w:val="single" w:sz="4" w:space="0" w:color="auto"/>
              <w:bottom w:val="single" w:sz="4" w:space="0" w:color="auto"/>
            </w:tcBorders>
            <w:vAlign w:val="center"/>
          </w:tcPr>
          <w:p w14:paraId="10CF61FA"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Would require removal of EGMs from venues</w:t>
            </w:r>
          </w:p>
        </w:tc>
        <w:tc>
          <w:tcPr>
            <w:tcW w:w="1984" w:type="dxa"/>
            <w:tcBorders>
              <w:top w:val="single" w:sz="4" w:space="0" w:color="auto"/>
              <w:bottom w:val="single" w:sz="4" w:space="0" w:color="auto"/>
            </w:tcBorders>
            <w:vAlign w:val="center"/>
          </w:tcPr>
          <w:p w14:paraId="7EEE6173"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Excellent</w:t>
            </w:r>
          </w:p>
        </w:tc>
      </w:tr>
      <w:tr w:rsidR="00D056A8" w14:paraId="5BBF2666" w14:textId="77777777" w:rsidTr="003E10D2">
        <w:tc>
          <w:tcPr>
            <w:tcW w:w="2689" w:type="dxa"/>
            <w:tcBorders>
              <w:top w:val="single" w:sz="4" w:space="0" w:color="auto"/>
              <w:bottom w:val="single" w:sz="4" w:space="0" w:color="auto"/>
            </w:tcBorders>
            <w:vAlign w:val="center"/>
          </w:tcPr>
          <w:p w14:paraId="75868012"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Limiting speed &amp; intensity of EGMs</w:t>
            </w:r>
          </w:p>
        </w:tc>
        <w:tc>
          <w:tcPr>
            <w:tcW w:w="2694" w:type="dxa"/>
            <w:tcBorders>
              <w:top w:val="single" w:sz="4" w:space="0" w:color="auto"/>
              <w:bottom w:val="single" w:sz="4" w:space="0" w:color="auto"/>
            </w:tcBorders>
            <w:vAlign w:val="center"/>
          </w:tcPr>
          <w:p w14:paraId="43EC3045"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Modifies EGM features linked to gambling harm</w:t>
            </w:r>
          </w:p>
        </w:tc>
        <w:tc>
          <w:tcPr>
            <w:tcW w:w="2551" w:type="dxa"/>
            <w:tcBorders>
              <w:top w:val="single" w:sz="4" w:space="0" w:color="auto"/>
              <w:bottom w:val="single" w:sz="4" w:space="0" w:color="auto"/>
            </w:tcBorders>
            <w:vAlign w:val="center"/>
          </w:tcPr>
          <w:p w14:paraId="5704991D" w14:textId="2AA59693"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 xml:space="preserve">Software change easily implemented </w:t>
            </w:r>
          </w:p>
        </w:tc>
        <w:tc>
          <w:tcPr>
            <w:tcW w:w="1984" w:type="dxa"/>
            <w:tcBorders>
              <w:top w:val="single" w:sz="4" w:space="0" w:color="auto"/>
              <w:bottom w:val="single" w:sz="4" w:space="0" w:color="auto"/>
            </w:tcBorders>
            <w:vAlign w:val="center"/>
          </w:tcPr>
          <w:p w14:paraId="6672C367"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Moderate</w:t>
            </w:r>
          </w:p>
        </w:tc>
      </w:tr>
      <w:tr w:rsidR="00D056A8" w14:paraId="089AB870" w14:textId="77777777" w:rsidTr="003E10D2">
        <w:tc>
          <w:tcPr>
            <w:tcW w:w="2689" w:type="dxa"/>
            <w:tcBorders>
              <w:top w:val="single" w:sz="4" w:space="0" w:color="auto"/>
              <w:bottom w:val="single" w:sz="4" w:space="0" w:color="auto"/>
            </w:tcBorders>
            <w:vAlign w:val="center"/>
          </w:tcPr>
          <w:p w14:paraId="4F310B0B"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Limiting bet sizes</w:t>
            </w:r>
          </w:p>
        </w:tc>
        <w:tc>
          <w:tcPr>
            <w:tcW w:w="2694" w:type="dxa"/>
            <w:tcBorders>
              <w:top w:val="single" w:sz="4" w:space="0" w:color="auto"/>
              <w:bottom w:val="single" w:sz="4" w:space="0" w:color="auto"/>
            </w:tcBorders>
            <w:vAlign w:val="center"/>
          </w:tcPr>
          <w:p w14:paraId="278185BB"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Modifies EGM features linked to gambling harm</w:t>
            </w:r>
          </w:p>
        </w:tc>
        <w:tc>
          <w:tcPr>
            <w:tcW w:w="2551" w:type="dxa"/>
            <w:tcBorders>
              <w:top w:val="single" w:sz="4" w:space="0" w:color="auto"/>
              <w:bottom w:val="single" w:sz="4" w:space="0" w:color="auto"/>
            </w:tcBorders>
            <w:vAlign w:val="center"/>
          </w:tcPr>
          <w:p w14:paraId="2EF41D84" w14:textId="2D8E5AF9"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 xml:space="preserve">Software change easily implemented </w:t>
            </w:r>
          </w:p>
        </w:tc>
        <w:tc>
          <w:tcPr>
            <w:tcW w:w="1984" w:type="dxa"/>
            <w:tcBorders>
              <w:top w:val="single" w:sz="4" w:space="0" w:color="auto"/>
              <w:bottom w:val="single" w:sz="4" w:space="0" w:color="auto"/>
            </w:tcBorders>
            <w:vAlign w:val="center"/>
          </w:tcPr>
          <w:p w14:paraId="661D2ED6" w14:textId="77777777" w:rsidR="00D056A8" w:rsidRPr="0047423B" w:rsidRDefault="00D056A8" w:rsidP="003E10D2">
            <w:pPr>
              <w:pStyle w:val="BodyText"/>
              <w:rPr>
                <w:rFonts w:eastAsia="AvenirNextLTPro-Demi" w:cs="AvenirNextLTPro-Demi"/>
                <w:sz w:val="22"/>
                <w:szCs w:val="22"/>
              </w:rPr>
            </w:pPr>
            <w:r w:rsidRPr="0047423B">
              <w:rPr>
                <w:rFonts w:eastAsia="AvenirNextLTPro-Demi" w:cs="AvenirNextLTPro-Demi"/>
                <w:sz w:val="22"/>
                <w:szCs w:val="22"/>
              </w:rPr>
              <w:t>Moderate</w:t>
            </w:r>
          </w:p>
        </w:tc>
      </w:tr>
    </w:tbl>
    <w:p w14:paraId="32A25B5C" w14:textId="77777777" w:rsidR="00D056A8" w:rsidRDefault="00D056A8" w:rsidP="003E10D2">
      <w:pPr>
        <w:pStyle w:val="BodyText"/>
        <w:rPr>
          <w:lang w:val="en-US" w:eastAsia="en-AU"/>
        </w:rPr>
      </w:pPr>
      <w:r>
        <w:rPr>
          <w:noProof/>
          <w:lang w:val="en-US" w:eastAsia="en-AU"/>
        </w:rPr>
        <mc:AlternateContent>
          <mc:Choice Requires="wps">
            <w:drawing>
              <wp:anchor distT="0" distB="0" distL="114300" distR="114300" simplePos="0" relativeHeight="251681792" behindDoc="0" locked="0" layoutInCell="1" allowOverlap="1" wp14:anchorId="43741610" wp14:editId="57EAEE15">
                <wp:simplePos x="0" y="0"/>
                <wp:positionH relativeFrom="column">
                  <wp:posOffset>-87086</wp:posOffset>
                </wp:positionH>
                <wp:positionV relativeFrom="paragraph">
                  <wp:posOffset>210680</wp:posOffset>
                </wp:positionV>
                <wp:extent cx="6447790" cy="1092414"/>
                <wp:effectExtent l="0" t="0" r="0" b="0"/>
                <wp:wrapNone/>
                <wp:docPr id="31" name="Rectangle 31"/>
                <wp:cNvGraphicFramePr/>
                <a:graphic xmlns:a="http://schemas.openxmlformats.org/drawingml/2006/main">
                  <a:graphicData uri="http://schemas.microsoft.com/office/word/2010/wordprocessingShape">
                    <wps:wsp>
                      <wps:cNvSpPr/>
                      <wps:spPr>
                        <a:xfrm>
                          <a:off x="0" y="0"/>
                          <a:ext cx="6447790" cy="109241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FAB29" w14:textId="77777777" w:rsidR="003E10D2" w:rsidRPr="00934F05" w:rsidRDefault="003E10D2" w:rsidP="003E10D2">
                            <w:pPr>
                              <w:pStyle w:val="Breakout"/>
                            </w:pPr>
                            <w:r w:rsidRPr="00C514FD">
                              <w:t xml:space="preserve">With the exception of removing EGMs from </w:t>
                            </w:r>
                            <w:r w:rsidRPr="00934F05">
                              <w:t>hotels and clubs, other options do not substantially meet the policy objectives and will not reduce harm as effectively or as selectively as the card</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41610" id="Rectangle 31" o:spid="_x0000_s1028" style="position:absolute;margin-left:-6.85pt;margin-top:16.6pt;width:507.7pt;height:8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" fillcolor="#4472c4 [3204]" stroked="f" strokeweight="1pt">
                <v:textbox>
                  <w:txbxContent>
                    <w:p w14:paraId="068FAB29" w14:textId="77777777" w:rsidR="003E10D2" w:rsidRPr="00934F05" w:rsidRDefault="003E10D2" w:rsidP="003E10D2">
                      <w:pPr>
                        <w:pStyle w:val="Breakout"/>
                      </w:pPr>
                      <w:r w:rsidRPr="00C514FD">
                        <w:t xml:space="preserve">With the exception of removing EGMs from </w:t>
                      </w:r>
                      <w:r w:rsidRPr="00934F05">
                        <w:t>hotels and clubs, other options do not substantially meet the policy objectives and will not reduce harm as effectively or as selectively as the card</w:t>
                      </w:r>
                      <w:r>
                        <w:t>.</w:t>
                      </w:r>
                    </w:p>
                  </w:txbxContent>
                </v:textbox>
              </v:rect>
            </w:pict>
          </mc:Fallback>
        </mc:AlternateContent>
      </w:r>
    </w:p>
    <w:p w14:paraId="19979484" w14:textId="77777777" w:rsidR="00D056A8" w:rsidRDefault="00D056A8" w:rsidP="003E10D2">
      <w:pPr>
        <w:pStyle w:val="BodyText"/>
        <w:rPr>
          <w:lang w:val="en-US" w:eastAsia="en-AU"/>
        </w:rPr>
      </w:pPr>
    </w:p>
    <w:p w14:paraId="6729595A" w14:textId="77777777" w:rsidR="00D056A8" w:rsidRDefault="00D056A8">
      <w:pPr>
        <w:spacing w:before="0" w:after="0"/>
        <w:rPr>
          <w:rFonts w:ascii="Avenir Next Demi Bold" w:eastAsia="AvenirNextLTPro-Demi" w:hAnsi="Avenir Next Demi Bold" w:cs="AvenirNextLTPro-Demi"/>
          <w:b/>
          <w:color w:val="248EB9"/>
          <w:spacing w:val="-6"/>
          <w:sz w:val="36"/>
          <w:szCs w:val="36"/>
          <w:lang w:val="en-US" w:eastAsia="en-AU"/>
        </w:rPr>
      </w:pPr>
      <w:bookmarkStart w:id="8" w:name="_Toc184044310"/>
    </w:p>
    <w:p w14:paraId="3855C3E3" w14:textId="77777777" w:rsidR="00D056A8" w:rsidRDefault="00D056A8">
      <w:pPr>
        <w:spacing w:before="0" w:after="0"/>
        <w:rPr>
          <w:rFonts w:ascii="Avenir Next Demi Bold" w:eastAsia="AvenirNextLTPro-Demi" w:hAnsi="Avenir Next Demi Bold" w:cs="AvenirNextLTPro-Demi"/>
          <w:b/>
          <w:color w:val="248EB9"/>
          <w:spacing w:val="-6"/>
          <w:sz w:val="36"/>
          <w:szCs w:val="36"/>
          <w:lang w:val="en-US" w:eastAsia="en-AU"/>
        </w:rPr>
      </w:pPr>
      <w:r>
        <w:br w:type="page"/>
      </w:r>
    </w:p>
    <w:p w14:paraId="4D48AE69" w14:textId="77777777" w:rsidR="00D056A8" w:rsidRDefault="00D056A8" w:rsidP="003E10D2">
      <w:pPr>
        <w:pStyle w:val="Heading1"/>
      </w:pPr>
      <w:bookmarkStart w:id="9" w:name="_Toc184302762"/>
      <w:r>
        <w:lastRenderedPageBreak/>
        <w:t>Recommendations</w:t>
      </w:r>
      <w:bookmarkEnd w:id="8"/>
      <w:bookmarkEnd w:id="9"/>
    </w:p>
    <w:p w14:paraId="7857CEE7" w14:textId="77777777" w:rsidR="00D056A8" w:rsidRDefault="00D056A8" w:rsidP="003E10D2">
      <w:pPr>
        <w:pStyle w:val="BodyText"/>
        <w:rPr>
          <w:lang w:val="en-US" w:eastAsia="en-AU"/>
        </w:rPr>
      </w:pPr>
      <w:r>
        <w:rPr>
          <w:lang w:val="en-US" w:eastAsia="en-AU"/>
        </w:rPr>
        <w:t xml:space="preserve">The Government’s decision to defer implementation of the most effective option and allocate public expenditure to alternatives that are not effective requires justification and transparency. </w:t>
      </w:r>
    </w:p>
    <w:p w14:paraId="5BA96F2C" w14:textId="77777777" w:rsidR="00D056A8" w:rsidRDefault="00D056A8" w:rsidP="003E10D2">
      <w:pPr>
        <w:pStyle w:val="BodyText"/>
        <w:rPr>
          <w:lang w:val="en-US" w:eastAsia="en-AU"/>
        </w:rPr>
      </w:pPr>
      <w:r>
        <w:rPr>
          <w:lang w:val="en-US" w:eastAsia="en-AU"/>
        </w:rPr>
        <w:t>On this basis, Anglicare Tasmania recommends that the Tasmanian Government:</w:t>
      </w:r>
    </w:p>
    <w:p w14:paraId="0E1AE38C" w14:textId="6E8286C8" w:rsidR="00D056A8" w:rsidRDefault="00D056A8" w:rsidP="003E10D2">
      <w:pPr>
        <w:pStyle w:val="BodyText"/>
        <w:numPr>
          <w:ilvl w:val="0"/>
          <w:numId w:val="12"/>
        </w:numPr>
        <w:rPr>
          <w:lang w:val="en-US" w:eastAsia="en-AU"/>
        </w:rPr>
      </w:pPr>
      <w:r>
        <w:rPr>
          <w:lang w:val="en-US" w:eastAsia="en-AU"/>
        </w:rPr>
        <w:t>immediately publicly releases the Maxgaming report containing the cost estimates on which the government’s decision to defer implementation was based</w:t>
      </w:r>
    </w:p>
    <w:p w14:paraId="38982F4D" w14:textId="76D20E5B" w:rsidR="00D056A8" w:rsidRDefault="00D056A8" w:rsidP="003E10D2">
      <w:pPr>
        <w:pStyle w:val="BodyText"/>
        <w:numPr>
          <w:ilvl w:val="0"/>
          <w:numId w:val="12"/>
        </w:numPr>
        <w:rPr>
          <w:lang w:val="en-US" w:eastAsia="en-AU"/>
        </w:rPr>
      </w:pPr>
      <w:r>
        <w:rPr>
          <w:lang w:val="en-US" w:eastAsia="en-AU"/>
        </w:rPr>
        <w:t xml:space="preserve">immediately publicly releases the Terms of Reference for the Deloitte Access Economics assessment of the social and economic costs of the reforms and releases the final report as soon as possible after its receipt by State Government </w:t>
      </w:r>
    </w:p>
    <w:p w14:paraId="415B74B7" w14:textId="65E51887" w:rsidR="00D056A8" w:rsidRDefault="00D056A8" w:rsidP="003E10D2">
      <w:pPr>
        <w:pStyle w:val="BodyText"/>
        <w:numPr>
          <w:ilvl w:val="0"/>
          <w:numId w:val="12"/>
        </w:numPr>
        <w:rPr>
          <w:lang w:val="en-US" w:eastAsia="en-AU"/>
        </w:rPr>
      </w:pPr>
      <w:r>
        <w:rPr>
          <w:lang w:val="en-US" w:eastAsia="en-AU"/>
        </w:rPr>
        <w:t xml:space="preserve">releases </w:t>
      </w:r>
      <w:r w:rsidR="001C65DC">
        <w:rPr>
          <w:lang w:val="en-US" w:eastAsia="en-AU"/>
        </w:rPr>
        <w:t>an</w:t>
      </w:r>
      <w:r>
        <w:rPr>
          <w:lang w:val="en-US" w:eastAsia="en-AU"/>
        </w:rPr>
        <w:t xml:space="preserve"> action plan for reducing gambling harm before 1 March 2025, outlining how it will work with other states, such as Victoria, to implement a mandatory pre-commitment card in Tasmania with default loss limits</w:t>
      </w:r>
    </w:p>
    <w:p w14:paraId="6C995EDA" w14:textId="5FD6AEE4" w:rsidR="00D056A8" w:rsidRPr="006E27CE" w:rsidRDefault="00D056A8" w:rsidP="003E10D2">
      <w:pPr>
        <w:pStyle w:val="BodyText"/>
        <w:numPr>
          <w:ilvl w:val="0"/>
          <w:numId w:val="12"/>
        </w:numPr>
        <w:rPr>
          <w:lang w:val="en-US" w:eastAsia="en-AU"/>
        </w:rPr>
      </w:pPr>
      <w:r>
        <w:rPr>
          <w:lang w:val="en-US" w:eastAsia="en-AU"/>
        </w:rPr>
        <w:t>publishes a</w:t>
      </w:r>
      <w:r w:rsidRPr="006E27CE">
        <w:rPr>
          <w:lang w:val="en-US" w:eastAsia="en-AU"/>
        </w:rPr>
        <w:t xml:space="preserve"> Gambling Harm Reduction Strategy for Tasmania </w:t>
      </w:r>
      <w:r>
        <w:rPr>
          <w:lang w:val="en-US" w:eastAsia="en-AU"/>
        </w:rPr>
        <w:t>that:</w:t>
      </w:r>
    </w:p>
    <w:p w14:paraId="52D8D13F" w14:textId="0AAE6C0F" w:rsidR="00D056A8" w:rsidRPr="007973AA" w:rsidRDefault="00D056A8" w:rsidP="003E10D2">
      <w:pPr>
        <w:pStyle w:val="BodyText"/>
        <w:numPr>
          <w:ilvl w:val="1"/>
          <w:numId w:val="12"/>
        </w:numPr>
        <w:rPr>
          <w:lang w:val="en-US" w:eastAsia="en-AU"/>
        </w:rPr>
      </w:pPr>
      <w:r>
        <w:rPr>
          <w:lang w:val="en-US" w:eastAsia="en-AU"/>
        </w:rPr>
        <w:t>articulates the commitment</w:t>
      </w:r>
      <w:r w:rsidRPr="007973AA">
        <w:rPr>
          <w:lang w:val="en-US" w:eastAsia="en-AU"/>
        </w:rPr>
        <w:t xml:space="preserve"> to reducing and minimising gambling</w:t>
      </w:r>
      <w:r>
        <w:rPr>
          <w:lang w:val="en-US" w:eastAsia="en-AU"/>
        </w:rPr>
        <w:t>-</w:t>
      </w:r>
      <w:r w:rsidRPr="007973AA">
        <w:rPr>
          <w:lang w:val="en-US" w:eastAsia="en-AU"/>
        </w:rPr>
        <w:t>related harm by ensuring that Tasmanians using EGMs:</w:t>
      </w:r>
    </w:p>
    <w:p w14:paraId="62E0480F" w14:textId="77777777" w:rsidR="00D056A8" w:rsidRPr="000353E9" w:rsidRDefault="00D056A8" w:rsidP="003E10D2">
      <w:pPr>
        <w:pStyle w:val="ListParagraph"/>
        <w:numPr>
          <w:ilvl w:val="2"/>
          <w:numId w:val="12"/>
        </w:numPr>
      </w:pPr>
      <w:r>
        <w:t xml:space="preserve">are </w:t>
      </w:r>
      <w:r w:rsidRPr="000353E9">
        <w:t>provided with the best information available to make an informed choice/decision about participation</w:t>
      </w:r>
    </w:p>
    <w:p w14:paraId="5139500C" w14:textId="77777777" w:rsidR="00D056A8" w:rsidRPr="000353E9" w:rsidRDefault="00D056A8" w:rsidP="003E10D2">
      <w:pPr>
        <w:pStyle w:val="ListParagraph"/>
        <w:numPr>
          <w:ilvl w:val="2"/>
          <w:numId w:val="12"/>
        </w:numPr>
      </w:pPr>
      <w:r w:rsidRPr="000353E9">
        <w:t>have the financial capacity to participate</w:t>
      </w:r>
    </w:p>
    <w:p w14:paraId="1EC0CC14" w14:textId="77777777" w:rsidR="00D056A8" w:rsidRPr="000353E9" w:rsidRDefault="00D056A8" w:rsidP="003E10D2">
      <w:pPr>
        <w:pStyle w:val="ListParagraph"/>
        <w:numPr>
          <w:ilvl w:val="2"/>
          <w:numId w:val="12"/>
        </w:numPr>
      </w:pPr>
      <w:r w:rsidRPr="000353E9">
        <w:t>spend what they intend to spend</w:t>
      </w:r>
    </w:p>
    <w:p w14:paraId="6561EE6F" w14:textId="77777777" w:rsidR="00D056A8" w:rsidRPr="000353E9" w:rsidRDefault="00D056A8" w:rsidP="003E10D2">
      <w:pPr>
        <w:pStyle w:val="ListParagraph"/>
        <w:numPr>
          <w:ilvl w:val="2"/>
          <w:numId w:val="12"/>
        </w:numPr>
      </w:pPr>
      <w:r>
        <w:t xml:space="preserve">are </w:t>
      </w:r>
      <w:r w:rsidRPr="000353E9">
        <w:t xml:space="preserve">supported actively to address ‘at risk’ and gambling harm where relevant </w:t>
      </w:r>
    </w:p>
    <w:p w14:paraId="790509FD" w14:textId="60742302" w:rsidR="00D056A8" w:rsidRDefault="00D056A8" w:rsidP="003E10D2">
      <w:pPr>
        <w:pStyle w:val="ListParagraph"/>
        <w:numPr>
          <w:ilvl w:val="2"/>
          <w:numId w:val="12"/>
        </w:numPr>
      </w:pPr>
      <w:r>
        <w:t xml:space="preserve">are </w:t>
      </w:r>
      <w:r w:rsidRPr="000353E9">
        <w:t>under active identification and intervention by venue staff to deal with gambling harm behaviours and patterns of pl</w:t>
      </w:r>
      <w:r>
        <w:t>ay</w:t>
      </w:r>
    </w:p>
    <w:p w14:paraId="515D1DCE" w14:textId="7DC99956" w:rsidR="00D056A8" w:rsidRDefault="00D056A8" w:rsidP="003E10D2">
      <w:pPr>
        <w:pStyle w:val="BodyText"/>
        <w:numPr>
          <w:ilvl w:val="1"/>
          <w:numId w:val="12"/>
        </w:numPr>
        <w:rPr>
          <w:lang w:val="en-US" w:eastAsia="en-AU"/>
        </w:rPr>
      </w:pPr>
      <w:r>
        <w:rPr>
          <w:lang w:val="en-US" w:eastAsia="en-AU"/>
        </w:rPr>
        <w:t>identifies a mandatory pre-commitment card with default loss limits as the most effective and preferred option for meeting these policy objectives</w:t>
      </w:r>
    </w:p>
    <w:p w14:paraId="7C4D3B14" w14:textId="3A0C7DFD" w:rsidR="00D056A8" w:rsidRDefault="00D056A8" w:rsidP="003E10D2">
      <w:pPr>
        <w:pStyle w:val="BodyText"/>
        <w:numPr>
          <w:ilvl w:val="0"/>
          <w:numId w:val="12"/>
        </w:numPr>
        <w:rPr>
          <w:lang w:val="en-US" w:eastAsia="en-AU"/>
        </w:rPr>
      </w:pPr>
      <w:r>
        <w:rPr>
          <w:lang w:val="en-US" w:eastAsia="en-AU"/>
        </w:rPr>
        <w:t>immediately introduce the following measures for all electronic gaming machines that do not have mandatory card-based play with pre-commitment:</w:t>
      </w:r>
    </w:p>
    <w:p w14:paraId="39E066E7" w14:textId="77777777" w:rsidR="00D056A8" w:rsidRPr="00F8198D" w:rsidRDefault="00D056A8" w:rsidP="003E10D2">
      <w:pPr>
        <w:pStyle w:val="ListParagraph"/>
        <w:numPr>
          <w:ilvl w:val="1"/>
          <w:numId w:val="12"/>
        </w:numPr>
      </w:pPr>
      <w:r w:rsidRPr="00F8198D">
        <w:t>$1 bet limits</w:t>
      </w:r>
    </w:p>
    <w:p w14:paraId="70D8707A" w14:textId="0C4A3598" w:rsidR="00D056A8" w:rsidRPr="00F8198D" w:rsidRDefault="00D056A8" w:rsidP="003E10D2">
      <w:pPr>
        <w:pStyle w:val="ListParagraph"/>
        <w:numPr>
          <w:ilvl w:val="1"/>
          <w:numId w:val="12"/>
        </w:numPr>
      </w:pPr>
      <w:r>
        <w:t>s</w:t>
      </w:r>
      <w:r w:rsidRPr="00F8198D">
        <w:t>lower spin speeds (six seconds)</w:t>
      </w:r>
    </w:p>
    <w:p w14:paraId="3A5FD9E1" w14:textId="15F6C42A" w:rsidR="00D056A8" w:rsidRPr="00F8198D" w:rsidRDefault="00D056A8" w:rsidP="003E10D2">
      <w:pPr>
        <w:pStyle w:val="ListParagraph"/>
        <w:numPr>
          <w:ilvl w:val="1"/>
          <w:numId w:val="12"/>
        </w:numPr>
      </w:pPr>
      <w:r>
        <w:t>p</w:t>
      </w:r>
      <w:r w:rsidRPr="00F8198D">
        <w:t>rohibiting ‘losses disguised as wins’</w:t>
      </w:r>
    </w:p>
    <w:p w14:paraId="0A365366" w14:textId="36D03EB9" w:rsidR="00D056A8" w:rsidRPr="00F8198D" w:rsidRDefault="00D056A8" w:rsidP="003E10D2">
      <w:pPr>
        <w:pStyle w:val="ListParagraph"/>
        <w:numPr>
          <w:ilvl w:val="1"/>
          <w:numId w:val="12"/>
        </w:numPr>
      </w:pPr>
      <w:r>
        <w:t>s</w:t>
      </w:r>
      <w:r w:rsidRPr="00F8198D">
        <w:t>maller jackpots</w:t>
      </w:r>
    </w:p>
    <w:p w14:paraId="612A2E8B" w14:textId="6E031346" w:rsidR="00D056A8" w:rsidRPr="00F8198D" w:rsidRDefault="00D056A8" w:rsidP="003E10D2">
      <w:pPr>
        <w:pStyle w:val="ListParagraph"/>
        <w:numPr>
          <w:ilvl w:val="1"/>
          <w:numId w:val="12"/>
        </w:numPr>
      </w:pPr>
      <w:r>
        <w:t>h</w:t>
      </w:r>
      <w:r w:rsidRPr="00F8198D">
        <w:t>igher return to player</w:t>
      </w:r>
    </w:p>
    <w:p w14:paraId="2A487712" w14:textId="07075CFE" w:rsidR="00D056A8" w:rsidRPr="00F8198D" w:rsidRDefault="00D056A8" w:rsidP="003E10D2">
      <w:pPr>
        <w:pStyle w:val="ListParagraph"/>
        <w:numPr>
          <w:ilvl w:val="1"/>
          <w:numId w:val="12"/>
        </w:numPr>
      </w:pPr>
      <w:r>
        <w:t>m</w:t>
      </w:r>
      <w:r w:rsidRPr="00F8198D">
        <w:t>andatory closure</w:t>
      </w:r>
      <w:r>
        <w:t xml:space="preserve"> </w:t>
      </w:r>
      <w:r w:rsidRPr="00F8198D">
        <w:t>of EGM venues between 2am and 10am each day</w:t>
      </w:r>
    </w:p>
    <w:p w14:paraId="390CA895" w14:textId="408739CA" w:rsidR="00D056A8" w:rsidRPr="00F8198D" w:rsidRDefault="00D056A8" w:rsidP="003E10D2">
      <w:pPr>
        <w:pStyle w:val="ListParagraph"/>
        <w:numPr>
          <w:ilvl w:val="1"/>
          <w:numId w:val="12"/>
        </w:numPr>
      </w:pPr>
      <w:r>
        <w:t>a</w:t>
      </w:r>
      <w:r w:rsidRPr="00F8198D">
        <w:t>utomatic 10 minutes breaks in play after 2 hours of continuous gambling</w:t>
      </w:r>
    </w:p>
    <w:p w14:paraId="35AC3B10" w14:textId="1EC0D918" w:rsidR="00D056A8" w:rsidRDefault="00D056A8" w:rsidP="003E10D2">
      <w:pPr>
        <w:pStyle w:val="ListParagraph"/>
        <w:numPr>
          <w:ilvl w:val="1"/>
          <w:numId w:val="12"/>
        </w:numPr>
      </w:pPr>
      <w:r>
        <w:t>p</w:t>
      </w:r>
      <w:r w:rsidRPr="00F8198D">
        <w:t>layer activity statements based on the New Zealand Class 4 Gaming Machines Appendix to the Australia New Zealand Gaming Machine National Standard</w:t>
      </w:r>
      <w:r>
        <w:t>.</w:t>
      </w:r>
    </w:p>
    <w:p w14:paraId="2B62B3F9" w14:textId="77777777" w:rsidR="00D056A8" w:rsidRDefault="00D056A8" w:rsidP="003E10D2">
      <w:pPr>
        <w:rPr>
          <w:lang w:val="en-US" w:eastAsia="en-AU"/>
        </w:rPr>
        <w:sectPr w:rsidR="00D056A8" w:rsidSect="003E10D2">
          <w:headerReference w:type="default" r:id="rId18"/>
          <w:pgSz w:w="11910" w:h="16840"/>
          <w:pgMar w:top="1540" w:right="1000" w:bottom="280" w:left="960" w:header="720" w:footer="720" w:gutter="0"/>
          <w:cols w:space="720"/>
          <w:docGrid w:linePitch="326"/>
        </w:sectPr>
      </w:pPr>
    </w:p>
    <w:p w14:paraId="049F2529" w14:textId="675537F8" w:rsidR="00D056A8" w:rsidRPr="00616457" w:rsidRDefault="00D056A8" w:rsidP="003E10D2">
      <w:pPr>
        <w:pStyle w:val="Heading1"/>
      </w:pPr>
      <w:bookmarkStart w:id="10" w:name="_Toc184302763"/>
      <w:r>
        <w:rPr>
          <w:lang w:eastAsia="en-AU"/>
        </w:rPr>
        <w:lastRenderedPageBreak/>
        <w:t xml:space="preserve">Appendix: </w:t>
      </w:r>
      <w:r>
        <w:t>Comparison of available options</w:t>
      </w:r>
      <w:bookmarkEnd w:id="10"/>
    </w:p>
    <w:p w14:paraId="6861573B" w14:textId="1456E86F" w:rsidR="00D056A8" w:rsidRDefault="00D056A8" w:rsidP="003E10D2">
      <w:pPr>
        <w:pStyle w:val="BodyText"/>
        <w:rPr>
          <w:lang w:val="en-US"/>
        </w:rPr>
      </w:pPr>
      <w:r>
        <w:rPr>
          <w:lang w:val="en-US"/>
        </w:rPr>
        <w:t xml:space="preserve">In comparison to a universal pre-commitment card with default loss limits, most other options either do not provide a similar level of harm reduction or impose a greater burden on EGM users who are not at risk. </w:t>
      </w:r>
    </w:p>
    <w:p w14:paraId="795C5B41" w14:textId="651F9C39" w:rsidR="00D056A8" w:rsidRDefault="00D056A8" w:rsidP="003E10D2">
      <w:pPr>
        <w:pStyle w:val="BodyText"/>
        <w:rPr>
          <w:lang w:val="en-US"/>
        </w:rPr>
      </w:pPr>
      <w:r>
        <w:rPr>
          <w:lang w:val="en-US"/>
        </w:rPr>
        <w:t xml:space="preserve">The Lancet Public Health Commission reviewed nine umbrella or systematic reviews on gambling harm reduction measures published between 2019 and 2023 </w:t>
      </w:r>
      <w:r>
        <w:rPr>
          <w:noProof/>
          <w:lang w:val="en-US"/>
        </w:rPr>
        <w:t>(Wardle et al. 2024)</w:t>
      </w:r>
      <w:r>
        <w:rPr>
          <w:lang w:val="en-US"/>
        </w:rPr>
        <w:t>. Their summary of measures and the assessment of their effectiveness is summarised in Table 2, along with comments on the implementation of any of the measures in Tasmania. The measures that would be enabled by a mandatory pre-commitment card are highlighted in the table.</w:t>
      </w:r>
    </w:p>
    <w:p w14:paraId="6725D13C" w14:textId="0C1E58CD" w:rsidR="00D056A8" w:rsidRPr="00960913" w:rsidRDefault="00D056A8" w:rsidP="003E10D2">
      <w:pPr>
        <w:pStyle w:val="BodyText"/>
        <w:rPr>
          <w:lang w:val="en-US" w:eastAsia="en-AU"/>
        </w:rPr>
      </w:pPr>
      <w:r>
        <w:rPr>
          <w:b/>
          <w:lang w:val="en-US" w:eastAsia="en-AU"/>
        </w:rPr>
        <w:t xml:space="preserve">Table 3. Summary of reviews on harm reduction measures. </w:t>
      </w:r>
      <w:r w:rsidRPr="00D33E80">
        <w:rPr>
          <w:lang w:val="en-US" w:eastAsia="en-AU"/>
        </w:rPr>
        <w:t xml:space="preserve">Adapted from </w:t>
      </w:r>
      <w:r w:rsidRPr="00D33E80">
        <w:rPr>
          <w:noProof/>
          <w:lang w:val="en-US" w:eastAsia="en-AU"/>
        </w:rPr>
        <w:t>Wardle et al. 2024</w:t>
      </w:r>
    </w:p>
    <w:tbl>
      <w:tblPr>
        <w:tblStyle w:val="TableGrid"/>
        <w:tblW w:w="10065" w:type="dxa"/>
        <w:tblLook w:val="04A0" w:firstRow="1" w:lastRow="0" w:firstColumn="1" w:lastColumn="0" w:noHBand="0" w:noVBand="1"/>
      </w:tblPr>
      <w:tblGrid>
        <w:gridCol w:w="2410"/>
        <w:gridCol w:w="284"/>
        <w:gridCol w:w="2976"/>
        <w:gridCol w:w="284"/>
        <w:gridCol w:w="3827"/>
        <w:gridCol w:w="284"/>
      </w:tblGrid>
      <w:tr w:rsidR="00D056A8" w:rsidRPr="00590F7C" w14:paraId="33E2DF81"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shd w:val="clear" w:color="auto" w:fill="E7E6E6" w:themeFill="background2"/>
          </w:tcPr>
          <w:p w14:paraId="30D8D81E" w14:textId="77777777" w:rsidR="00D056A8" w:rsidRPr="00590F7C" w:rsidRDefault="00D056A8" w:rsidP="003E10D2">
            <w:pPr>
              <w:pStyle w:val="BodyText"/>
              <w:rPr>
                <w:b/>
                <w:lang w:val="en-US" w:eastAsia="en-AU"/>
              </w:rPr>
            </w:pPr>
            <w:r w:rsidRPr="00590F7C">
              <w:rPr>
                <w:b/>
                <w:lang w:val="en-US" w:eastAsia="en-AU"/>
              </w:rPr>
              <w:t>Universal</w:t>
            </w:r>
            <w:r>
              <w:rPr>
                <w:b/>
                <w:lang w:val="en-US" w:eastAsia="en-AU"/>
              </w:rPr>
              <w:t xml:space="preserve"> measures</w:t>
            </w:r>
          </w:p>
        </w:tc>
        <w:tc>
          <w:tcPr>
            <w:tcW w:w="3260" w:type="dxa"/>
            <w:gridSpan w:val="2"/>
            <w:tcBorders>
              <w:top w:val="single" w:sz="4" w:space="0" w:color="7F7F7F" w:themeColor="text1" w:themeTint="80"/>
              <w:left w:val="nil"/>
              <w:bottom w:val="single" w:sz="4" w:space="0" w:color="7F7F7F" w:themeColor="text1" w:themeTint="80"/>
              <w:right w:val="nil"/>
            </w:tcBorders>
            <w:shd w:val="clear" w:color="auto" w:fill="E7E6E6" w:themeFill="background2"/>
          </w:tcPr>
          <w:p w14:paraId="09E7D144" w14:textId="77777777" w:rsidR="00D056A8" w:rsidRPr="00745444" w:rsidRDefault="00D056A8" w:rsidP="003E10D2">
            <w:pPr>
              <w:pStyle w:val="BodyText"/>
              <w:rPr>
                <w:b/>
                <w:lang w:val="en-US" w:eastAsia="en-AU"/>
              </w:rPr>
            </w:pPr>
            <w:r w:rsidRPr="00745444">
              <w:rPr>
                <w:b/>
                <w:lang w:val="en-US" w:eastAsia="en-AU"/>
              </w:rPr>
              <w:t>Effectiveness</w:t>
            </w:r>
            <w:r>
              <w:rPr>
                <w:b/>
                <w:lang w:val="en-US" w:eastAsia="en-AU"/>
              </w:rPr>
              <w:t xml:space="preserve"> at contributing to reduction in gambling harm</w:t>
            </w:r>
          </w:p>
        </w:tc>
        <w:tc>
          <w:tcPr>
            <w:tcW w:w="4111" w:type="dxa"/>
            <w:gridSpan w:val="2"/>
            <w:tcBorders>
              <w:top w:val="single" w:sz="4" w:space="0" w:color="7F7F7F" w:themeColor="text1" w:themeTint="80"/>
              <w:left w:val="nil"/>
              <w:bottom w:val="single" w:sz="4" w:space="0" w:color="7F7F7F" w:themeColor="text1" w:themeTint="80"/>
              <w:right w:val="nil"/>
            </w:tcBorders>
            <w:shd w:val="clear" w:color="auto" w:fill="E7E6E6" w:themeFill="background2"/>
          </w:tcPr>
          <w:p w14:paraId="1D53D36E" w14:textId="08B935DD" w:rsidR="00D056A8" w:rsidRPr="00590F7C" w:rsidRDefault="00D056A8" w:rsidP="003E10D2">
            <w:pPr>
              <w:pStyle w:val="BodyText"/>
              <w:rPr>
                <w:b/>
                <w:lang w:val="en-US" w:eastAsia="en-AU"/>
              </w:rPr>
            </w:pPr>
            <w:r>
              <w:rPr>
                <w:b/>
                <w:lang w:val="en-US" w:eastAsia="en-AU"/>
              </w:rPr>
              <w:t>Tasmanian context</w:t>
            </w:r>
          </w:p>
        </w:tc>
      </w:tr>
      <w:tr w:rsidR="00D056A8" w14:paraId="68D23BC8"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21A528B7" w14:textId="77777777" w:rsidR="00D056A8" w:rsidRDefault="00D056A8" w:rsidP="003E10D2">
            <w:pPr>
              <w:pStyle w:val="TableParagraph"/>
              <w:rPr>
                <w:lang w:val="en-US" w:eastAsia="en-AU"/>
              </w:rPr>
            </w:pPr>
            <w:r>
              <w:rPr>
                <w:lang w:val="en-US" w:eastAsia="en-AU"/>
              </w:rPr>
              <w:t>Caps on number of venues or EGMs</w:t>
            </w:r>
          </w:p>
        </w:tc>
        <w:tc>
          <w:tcPr>
            <w:tcW w:w="3260" w:type="dxa"/>
            <w:gridSpan w:val="2"/>
            <w:tcBorders>
              <w:top w:val="single" w:sz="4" w:space="0" w:color="7F7F7F" w:themeColor="text1" w:themeTint="80"/>
              <w:left w:val="nil"/>
              <w:bottom w:val="single" w:sz="4" w:space="0" w:color="7F7F7F" w:themeColor="text1" w:themeTint="80"/>
              <w:right w:val="nil"/>
            </w:tcBorders>
          </w:tcPr>
          <w:p w14:paraId="5817A795" w14:textId="77777777" w:rsidR="00D056A8" w:rsidRDefault="00D056A8" w:rsidP="003E10D2">
            <w:pPr>
              <w:pStyle w:val="TableParagraph"/>
              <w:rPr>
                <w:lang w:val="en-US" w:eastAsia="en-AU"/>
              </w:rPr>
            </w:pPr>
            <w:r>
              <w:rPr>
                <w:lang w:val="en-US" w:eastAsia="en-AU"/>
              </w:rPr>
              <w:t>Effective if reductions are sufficient to reduce consumption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1E84D453" w14:textId="6AF68971" w:rsidR="00D056A8" w:rsidRDefault="00D056A8" w:rsidP="003E10D2">
            <w:pPr>
              <w:pStyle w:val="TableParagraph"/>
              <w:rPr>
                <w:lang w:val="en-US" w:eastAsia="en-AU"/>
              </w:rPr>
            </w:pPr>
            <w:r>
              <w:rPr>
                <w:lang w:val="en-US" w:eastAsia="en-AU"/>
              </w:rPr>
              <w:t>From 1 July 2023 EGMs in Tasmania capped at 3</w:t>
            </w:r>
            <w:r w:rsidR="001C65DC">
              <w:rPr>
                <w:lang w:val="en-US" w:eastAsia="en-AU"/>
              </w:rPr>
              <w:t>,</w:t>
            </w:r>
            <w:r>
              <w:rPr>
                <w:lang w:val="en-US" w:eastAsia="en-AU"/>
              </w:rPr>
              <w:t>530, of which no more than 2,350 are permitted in hotels and clubs</w:t>
            </w:r>
          </w:p>
        </w:tc>
      </w:tr>
      <w:tr w:rsidR="00D056A8" w14:paraId="157ABE67"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644C5A5F" w14:textId="77777777" w:rsidR="00D056A8" w:rsidRDefault="00D056A8" w:rsidP="003E10D2">
            <w:pPr>
              <w:pStyle w:val="TableParagraph"/>
              <w:rPr>
                <w:lang w:val="en-US" w:eastAsia="en-AU"/>
              </w:rPr>
            </w:pPr>
            <w:r>
              <w:rPr>
                <w:lang w:val="en-US" w:eastAsia="en-AU"/>
              </w:rPr>
              <w:t>Pricing, taxation, low-return percentages</w:t>
            </w:r>
          </w:p>
        </w:tc>
        <w:tc>
          <w:tcPr>
            <w:tcW w:w="3260" w:type="dxa"/>
            <w:gridSpan w:val="2"/>
            <w:tcBorders>
              <w:top w:val="single" w:sz="4" w:space="0" w:color="7F7F7F" w:themeColor="text1" w:themeTint="80"/>
              <w:left w:val="nil"/>
              <w:bottom w:val="single" w:sz="4" w:space="0" w:color="7F7F7F" w:themeColor="text1" w:themeTint="80"/>
              <w:right w:val="nil"/>
            </w:tcBorders>
          </w:tcPr>
          <w:p w14:paraId="6033CBDF" w14:textId="77777777" w:rsidR="00D056A8" w:rsidRDefault="00D056A8" w:rsidP="003E10D2">
            <w:pPr>
              <w:pStyle w:val="TableParagraph"/>
              <w:rPr>
                <w:lang w:val="en-US" w:eastAsia="en-AU"/>
              </w:rPr>
            </w:pPr>
            <w:r>
              <w:rPr>
                <w:lang w:val="en-US" w:eastAsia="en-AU"/>
              </w:rPr>
              <w:t>Potentially effective but risk increasing offshore market</w:t>
            </w:r>
          </w:p>
        </w:tc>
        <w:tc>
          <w:tcPr>
            <w:tcW w:w="4111" w:type="dxa"/>
            <w:gridSpan w:val="2"/>
            <w:tcBorders>
              <w:top w:val="single" w:sz="4" w:space="0" w:color="7F7F7F" w:themeColor="text1" w:themeTint="80"/>
              <w:left w:val="nil"/>
              <w:bottom w:val="single" w:sz="4" w:space="0" w:color="7F7F7F" w:themeColor="text1" w:themeTint="80"/>
              <w:right w:val="nil"/>
            </w:tcBorders>
          </w:tcPr>
          <w:p w14:paraId="3E21104A" w14:textId="77777777" w:rsidR="00D056A8" w:rsidRDefault="00D056A8" w:rsidP="003E10D2">
            <w:pPr>
              <w:pStyle w:val="TableParagraph"/>
              <w:rPr>
                <w:lang w:val="en-US" w:eastAsia="en-AU"/>
              </w:rPr>
            </w:pPr>
            <w:r>
              <w:rPr>
                <w:lang w:val="en-US" w:eastAsia="en-AU"/>
              </w:rPr>
              <w:t>Minimum return to player is 87%</w:t>
            </w:r>
          </w:p>
        </w:tc>
      </w:tr>
      <w:tr w:rsidR="00D056A8" w14:paraId="0B3C004C"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20E72EE4" w14:textId="77777777" w:rsidR="00D056A8" w:rsidRDefault="00D056A8" w:rsidP="003E10D2">
            <w:pPr>
              <w:pStyle w:val="TableParagraph"/>
              <w:rPr>
                <w:lang w:val="en-US" w:eastAsia="en-AU"/>
              </w:rPr>
            </w:pPr>
            <w:r>
              <w:rPr>
                <w:lang w:val="en-US" w:eastAsia="en-AU"/>
              </w:rPr>
              <w:t>Reduced opening hours for venues</w:t>
            </w:r>
          </w:p>
        </w:tc>
        <w:tc>
          <w:tcPr>
            <w:tcW w:w="3260" w:type="dxa"/>
            <w:gridSpan w:val="2"/>
            <w:tcBorders>
              <w:top w:val="single" w:sz="4" w:space="0" w:color="7F7F7F" w:themeColor="text1" w:themeTint="80"/>
              <w:left w:val="nil"/>
              <w:bottom w:val="single" w:sz="4" w:space="0" w:color="7F7F7F" w:themeColor="text1" w:themeTint="80"/>
              <w:right w:val="nil"/>
            </w:tcBorders>
          </w:tcPr>
          <w:p w14:paraId="5FFEA084" w14:textId="77777777" w:rsidR="00D056A8" w:rsidRDefault="00D056A8" w:rsidP="003E10D2">
            <w:pPr>
              <w:pStyle w:val="TableParagraph"/>
              <w:rPr>
                <w:lang w:val="en-US" w:eastAsia="en-AU"/>
              </w:rPr>
            </w:pPr>
            <w:r w:rsidRPr="001C7600">
              <w:rPr>
                <w:lang w:val="en-US" w:eastAsia="en-AU"/>
              </w:rPr>
              <w:t>Potentially effective, but evidence base</w:t>
            </w:r>
            <w:r>
              <w:rPr>
                <w:lang w:val="en-US" w:eastAsia="en-AU"/>
              </w:rPr>
              <w:t xml:space="preserve"> </w:t>
            </w:r>
            <w:r w:rsidRPr="001C7600">
              <w:rPr>
                <w:lang w:val="en-US" w:eastAsia="en-AU"/>
              </w:rPr>
              <w:t>limite</w:t>
            </w:r>
            <w:r>
              <w:rPr>
                <w:lang w:val="en-US" w:eastAsia="en-AU"/>
              </w:rPr>
              <w:t>d</w:t>
            </w:r>
          </w:p>
        </w:tc>
        <w:tc>
          <w:tcPr>
            <w:tcW w:w="4111" w:type="dxa"/>
            <w:gridSpan w:val="2"/>
            <w:tcBorders>
              <w:top w:val="single" w:sz="4" w:space="0" w:color="7F7F7F" w:themeColor="text1" w:themeTint="80"/>
              <w:left w:val="nil"/>
              <w:bottom w:val="single" w:sz="4" w:space="0" w:color="7F7F7F" w:themeColor="text1" w:themeTint="80"/>
              <w:right w:val="nil"/>
            </w:tcBorders>
          </w:tcPr>
          <w:p w14:paraId="4660D0ED" w14:textId="348FF350" w:rsidR="00D056A8" w:rsidRDefault="00D056A8" w:rsidP="003E10D2">
            <w:pPr>
              <w:pStyle w:val="TableParagraph"/>
              <w:rPr>
                <w:lang w:val="en-US" w:eastAsia="en-AU"/>
              </w:rPr>
            </w:pPr>
            <w:r w:rsidRPr="004606BC">
              <w:rPr>
                <w:lang w:val="en-US" w:eastAsia="en-AU"/>
              </w:rPr>
              <w:t>Gaming and wagering must not be available in each approved venue or approved outlet for at least four continuous hours within a 24-hour period</w:t>
            </w:r>
          </w:p>
        </w:tc>
      </w:tr>
      <w:tr w:rsidR="00D056A8" w14:paraId="76EB3D09"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shd w:val="clear" w:color="auto" w:fill="FFFF00"/>
          </w:tcPr>
          <w:p w14:paraId="17E4222D" w14:textId="77777777" w:rsidR="00D056A8" w:rsidRPr="00B114BD" w:rsidRDefault="00D056A8" w:rsidP="003E10D2">
            <w:pPr>
              <w:pStyle w:val="TableParagraph"/>
              <w:rPr>
                <w:highlight w:val="yellow"/>
                <w:lang w:val="en-US" w:eastAsia="en-AU"/>
              </w:rPr>
            </w:pPr>
            <w:r w:rsidRPr="00B114BD">
              <w:rPr>
                <w:highlight w:val="yellow"/>
                <w:lang w:val="en-US" w:eastAsia="en-AU"/>
              </w:rPr>
              <w:t>Legal age limit</w:t>
            </w:r>
          </w:p>
        </w:tc>
        <w:tc>
          <w:tcPr>
            <w:tcW w:w="3260"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25FFE587" w14:textId="77777777" w:rsidR="00D056A8" w:rsidRPr="00B114BD" w:rsidRDefault="00D056A8" w:rsidP="003E10D2">
            <w:pPr>
              <w:pStyle w:val="TableParagraph"/>
              <w:rPr>
                <w:highlight w:val="yellow"/>
                <w:lang w:val="en-US" w:eastAsia="en-AU"/>
              </w:rPr>
            </w:pPr>
            <w:r w:rsidRPr="00B114BD">
              <w:rPr>
                <w:highlight w:val="yellow"/>
                <w:lang w:val="en-US" w:eastAsia="en-AU"/>
              </w:rPr>
              <w:t>Effective, but depends heavily on stringency of implementation</w:t>
            </w:r>
          </w:p>
        </w:tc>
        <w:tc>
          <w:tcPr>
            <w:tcW w:w="4111"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651522F7" w14:textId="6F70F0F5" w:rsidR="00D056A8" w:rsidRPr="00B114BD" w:rsidRDefault="00D056A8" w:rsidP="003E10D2">
            <w:pPr>
              <w:pStyle w:val="TableParagraph"/>
              <w:rPr>
                <w:highlight w:val="yellow"/>
                <w:lang w:val="en-US" w:eastAsia="en-AU"/>
              </w:rPr>
            </w:pPr>
            <w:r w:rsidRPr="00B114BD">
              <w:rPr>
                <w:highlight w:val="yellow"/>
                <w:lang w:val="en-US" w:eastAsia="en-AU"/>
              </w:rPr>
              <w:t xml:space="preserve">Minors are not permitted in a gaming area. </w:t>
            </w:r>
            <w:r w:rsidR="001C65DC">
              <w:rPr>
                <w:highlight w:val="yellow"/>
                <w:lang w:val="en-US" w:eastAsia="en-AU"/>
              </w:rPr>
              <w:t>Enforcement strengthened with mandatory pre-commitment card</w:t>
            </w:r>
          </w:p>
        </w:tc>
      </w:tr>
      <w:tr w:rsidR="00D056A8" w14:paraId="171C3EB9"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39918445" w14:textId="77777777" w:rsidR="00D056A8" w:rsidRDefault="00D056A8" w:rsidP="003E10D2">
            <w:pPr>
              <w:pStyle w:val="TableParagraph"/>
              <w:rPr>
                <w:lang w:val="en-US" w:eastAsia="en-AU"/>
              </w:rPr>
            </w:pPr>
            <w:r w:rsidRPr="001C7600">
              <w:rPr>
                <w:lang w:val="en-US" w:eastAsia="en-AU"/>
              </w:rPr>
              <w:t>Limiting accessibility to</w:t>
            </w:r>
            <w:r>
              <w:rPr>
                <w:lang w:val="en-US" w:eastAsia="en-AU"/>
              </w:rPr>
              <w:t xml:space="preserve"> </w:t>
            </w:r>
            <w:r w:rsidRPr="001C7600">
              <w:rPr>
                <w:lang w:val="en-US" w:eastAsia="en-AU"/>
              </w:rPr>
              <w:t>venues</w:t>
            </w:r>
          </w:p>
        </w:tc>
        <w:tc>
          <w:tcPr>
            <w:tcW w:w="3260" w:type="dxa"/>
            <w:gridSpan w:val="2"/>
            <w:tcBorders>
              <w:top w:val="single" w:sz="4" w:space="0" w:color="7F7F7F" w:themeColor="text1" w:themeTint="80"/>
              <w:left w:val="nil"/>
              <w:bottom w:val="single" w:sz="4" w:space="0" w:color="7F7F7F" w:themeColor="text1" w:themeTint="80"/>
              <w:right w:val="nil"/>
            </w:tcBorders>
          </w:tcPr>
          <w:p w14:paraId="1E8C2A9A" w14:textId="77777777" w:rsidR="00D056A8" w:rsidRDefault="00D056A8" w:rsidP="003E10D2">
            <w:pPr>
              <w:pStyle w:val="TableParagraph"/>
              <w:rPr>
                <w:lang w:val="en-US" w:eastAsia="en-AU"/>
              </w:rPr>
            </w:pPr>
            <w:r>
              <w:rPr>
                <w:lang w:val="en-US" w:eastAsia="en-AU"/>
              </w:rPr>
              <w:t>Potentially e</w:t>
            </w:r>
            <w:r w:rsidRPr="001C7600">
              <w:rPr>
                <w:lang w:val="en-US" w:eastAsia="en-AU"/>
              </w:rPr>
              <w:t>ffective, but depends heavily on</w:t>
            </w:r>
            <w:r>
              <w:rPr>
                <w:lang w:val="en-US" w:eastAsia="en-AU"/>
              </w:rPr>
              <w:t xml:space="preserve"> </w:t>
            </w:r>
            <w:r w:rsidRPr="001C7600">
              <w:rPr>
                <w:lang w:val="en-US" w:eastAsia="en-AU"/>
              </w:rPr>
              <w:t>stringency of implementation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024B2021" w14:textId="77777777" w:rsidR="00D056A8" w:rsidRDefault="00D056A8" w:rsidP="003E10D2">
            <w:pPr>
              <w:pStyle w:val="TableParagraph"/>
              <w:rPr>
                <w:lang w:val="en-US" w:eastAsia="en-AU"/>
              </w:rPr>
            </w:pPr>
          </w:p>
        </w:tc>
      </w:tr>
      <w:tr w:rsidR="00D056A8" w14:paraId="5AA12B13"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319F038C" w14:textId="77777777" w:rsidR="00D056A8" w:rsidRDefault="00D056A8" w:rsidP="003E10D2">
            <w:pPr>
              <w:pStyle w:val="TableParagraph"/>
              <w:rPr>
                <w:lang w:val="en-US" w:eastAsia="en-AU"/>
              </w:rPr>
            </w:pPr>
            <w:r w:rsidRPr="001C7600">
              <w:rPr>
                <w:lang w:val="en-US" w:eastAsia="en-AU"/>
              </w:rPr>
              <w:t>Restricting advertising</w:t>
            </w:r>
          </w:p>
        </w:tc>
        <w:tc>
          <w:tcPr>
            <w:tcW w:w="3260" w:type="dxa"/>
            <w:gridSpan w:val="2"/>
            <w:tcBorders>
              <w:top w:val="single" w:sz="4" w:space="0" w:color="7F7F7F" w:themeColor="text1" w:themeTint="80"/>
              <w:left w:val="nil"/>
              <w:bottom w:val="single" w:sz="4" w:space="0" w:color="7F7F7F" w:themeColor="text1" w:themeTint="80"/>
              <w:right w:val="nil"/>
            </w:tcBorders>
          </w:tcPr>
          <w:p w14:paraId="3C57CF27" w14:textId="77777777" w:rsidR="00D056A8" w:rsidRDefault="00D056A8" w:rsidP="003E10D2">
            <w:pPr>
              <w:pStyle w:val="TableParagraph"/>
              <w:rPr>
                <w:lang w:val="en-US" w:eastAsia="en-AU"/>
              </w:rPr>
            </w:pPr>
            <w:r w:rsidRPr="001C7600">
              <w:rPr>
                <w:lang w:val="en-US" w:eastAsia="en-AU"/>
              </w:rPr>
              <w:t>Potentially effective, but evidence base</w:t>
            </w:r>
            <w:r>
              <w:rPr>
                <w:lang w:val="en-US" w:eastAsia="en-AU"/>
              </w:rPr>
              <w:t xml:space="preserve"> </w:t>
            </w:r>
            <w:r w:rsidRPr="001C7600">
              <w:rPr>
                <w:lang w:val="en-US" w:eastAsia="en-AU"/>
              </w:rPr>
              <w:t>limited</w:t>
            </w:r>
          </w:p>
        </w:tc>
        <w:tc>
          <w:tcPr>
            <w:tcW w:w="4111" w:type="dxa"/>
            <w:gridSpan w:val="2"/>
            <w:tcBorders>
              <w:top w:val="single" w:sz="4" w:space="0" w:color="7F7F7F" w:themeColor="text1" w:themeTint="80"/>
              <w:left w:val="nil"/>
              <w:bottom w:val="single" w:sz="4" w:space="0" w:color="7F7F7F" w:themeColor="text1" w:themeTint="80"/>
              <w:right w:val="nil"/>
            </w:tcBorders>
          </w:tcPr>
          <w:p w14:paraId="0FB2D4FA" w14:textId="7AED3E05" w:rsidR="00D056A8" w:rsidRDefault="00D056A8" w:rsidP="003E10D2">
            <w:pPr>
              <w:pStyle w:val="TableParagraph"/>
              <w:rPr>
                <w:lang w:val="en-US" w:eastAsia="en-AU"/>
              </w:rPr>
            </w:pPr>
            <w:r>
              <w:rPr>
                <w:lang w:val="en-US" w:eastAsia="en-AU"/>
              </w:rPr>
              <w:t>Provisions restricting advertising provided in the Responsible Gambling Code of Practice</w:t>
            </w:r>
          </w:p>
        </w:tc>
      </w:tr>
      <w:tr w:rsidR="00D056A8" w14:paraId="6A0D41B1"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73FE50D7" w14:textId="77777777" w:rsidR="00D056A8" w:rsidRDefault="00D056A8" w:rsidP="003E10D2">
            <w:pPr>
              <w:pStyle w:val="TableParagraph"/>
              <w:rPr>
                <w:lang w:val="en-US" w:eastAsia="en-AU"/>
              </w:rPr>
            </w:pPr>
            <w:r w:rsidRPr="001C7600">
              <w:rPr>
                <w:lang w:val="en-US" w:eastAsia="en-AU"/>
              </w:rPr>
              <w:t>Information and awareness</w:t>
            </w:r>
            <w:r>
              <w:rPr>
                <w:lang w:val="en-US" w:eastAsia="en-AU"/>
              </w:rPr>
              <w:t xml:space="preserve"> </w:t>
            </w:r>
            <w:r w:rsidRPr="001C7600">
              <w:rPr>
                <w:lang w:val="en-US" w:eastAsia="en-AU"/>
              </w:rPr>
              <w:t>campaigns</w:t>
            </w:r>
          </w:p>
        </w:tc>
        <w:tc>
          <w:tcPr>
            <w:tcW w:w="3260" w:type="dxa"/>
            <w:gridSpan w:val="2"/>
            <w:tcBorders>
              <w:top w:val="single" w:sz="4" w:space="0" w:color="7F7F7F" w:themeColor="text1" w:themeTint="80"/>
              <w:left w:val="nil"/>
              <w:bottom w:val="single" w:sz="4" w:space="0" w:color="7F7F7F" w:themeColor="text1" w:themeTint="80"/>
              <w:right w:val="nil"/>
            </w:tcBorders>
          </w:tcPr>
          <w:p w14:paraId="7E70393E" w14:textId="77777777" w:rsidR="00D056A8" w:rsidRDefault="00D056A8" w:rsidP="003E10D2">
            <w:pPr>
              <w:pStyle w:val="TableParagraph"/>
              <w:rPr>
                <w:lang w:val="en-US" w:eastAsia="en-AU"/>
              </w:rPr>
            </w:pPr>
            <w:r w:rsidRPr="001C7600">
              <w:rPr>
                <w:lang w:val="en-US" w:eastAsia="en-AU"/>
              </w:rPr>
              <w:t>Potentially ineffective, no evidence of</w:t>
            </w:r>
            <w:r>
              <w:rPr>
                <w:lang w:val="en-US" w:eastAsia="en-AU"/>
              </w:rPr>
              <w:t xml:space="preserve"> </w:t>
            </w:r>
            <w:r w:rsidRPr="001C7600">
              <w:rPr>
                <w:lang w:val="en-US" w:eastAsia="en-AU"/>
              </w:rPr>
              <w:t xml:space="preserve">associated decreases in </w:t>
            </w:r>
            <w:r>
              <w:rPr>
                <w:lang w:val="en-US" w:eastAsia="en-AU"/>
              </w:rPr>
              <w:t>g</w:t>
            </w:r>
            <w:r w:rsidRPr="001C7600">
              <w:rPr>
                <w:lang w:val="en-US" w:eastAsia="en-AU"/>
              </w:rPr>
              <w:t>ambling</w:t>
            </w:r>
          </w:p>
        </w:tc>
        <w:tc>
          <w:tcPr>
            <w:tcW w:w="4111" w:type="dxa"/>
            <w:gridSpan w:val="2"/>
            <w:tcBorders>
              <w:top w:val="single" w:sz="4" w:space="0" w:color="7F7F7F" w:themeColor="text1" w:themeTint="80"/>
              <w:left w:val="nil"/>
              <w:bottom w:val="single" w:sz="4" w:space="0" w:color="7F7F7F" w:themeColor="text1" w:themeTint="80"/>
              <w:right w:val="nil"/>
            </w:tcBorders>
          </w:tcPr>
          <w:p w14:paraId="32510A84" w14:textId="77777777" w:rsidR="00D056A8" w:rsidRDefault="00D056A8" w:rsidP="003E10D2">
            <w:pPr>
              <w:pStyle w:val="TableParagraph"/>
              <w:rPr>
                <w:lang w:val="en-US" w:eastAsia="en-AU"/>
              </w:rPr>
            </w:pPr>
            <w:r>
              <w:rPr>
                <w:lang w:val="en-US" w:eastAsia="en-AU"/>
              </w:rPr>
              <w:t xml:space="preserve">Know Your Odds campaign </w:t>
            </w:r>
            <w:hyperlink r:id="rId19" w:history="1">
              <w:r>
                <w:rPr>
                  <w:rStyle w:val="Hyperlink"/>
                </w:rPr>
                <w:t>Know Your Odds | The Longer You Play, The More You Lose</w:t>
              </w:r>
            </w:hyperlink>
          </w:p>
        </w:tc>
      </w:tr>
      <w:tr w:rsidR="00D056A8" w14:paraId="38B7C619"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199E180B" w14:textId="77777777" w:rsidR="00D056A8" w:rsidRDefault="00D056A8" w:rsidP="003E10D2">
            <w:pPr>
              <w:pStyle w:val="TableParagraph"/>
              <w:rPr>
                <w:lang w:val="en-US" w:eastAsia="en-AU"/>
              </w:rPr>
            </w:pPr>
            <w:bookmarkStart w:id="11" w:name="_Hlk183530749"/>
            <w:r w:rsidRPr="001C7600">
              <w:rPr>
                <w:lang w:val="en-US" w:eastAsia="en-AU"/>
              </w:rPr>
              <w:t>Limiting speed and intensity</w:t>
            </w:r>
            <w:r>
              <w:rPr>
                <w:lang w:val="en-US" w:eastAsia="en-AU"/>
              </w:rPr>
              <w:t xml:space="preserve"> </w:t>
            </w:r>
            <w:r w:rsidRPr="001C7600">
              <w:rPr>
                <w:lang w:val="en-US" w:eastAsia="en-AU"/>
              </w:rPr>
              <w:t>of products</w:t>
            </w:r>
            <w:bookmarkEnd w:id="11"/>
          </w:p>
        </w:tc>
        <w:tc>
          <w:tcPr>
            <w:tcW w:w="3260" w:type="dxa"/>
            <w:gridSpan w:val="2"/>
            <w:tcBorders>
              <w:top w:val="single" w:sz="4" w:space="0" w:color="7F7F7F" w:themeColor="text1" w:themeTint="80"/>
              <w:left w:val="nil"/>
              <w:bottom w:val="single" w:sz="4" w:space="0" w:color="7F7F7F" w:themeColor="text1" w:themeTint="80"/>
              <w:right w:val="nil"/>
            </w:tcBorders>
          </w:tcPr>
          <w:p w14:paraId="610D1152" w14:textId="77777777" w:rsidR="00D056A8" w:rsidRDefault="00D056A8" w:rsidP="003E10D2">
            <w:pPr>
              <w:pStyle w:val="TableParagraph"/>
              <w:rPr>
                <w:lang w:val="en-US" w:eastAsia="en-AU"/>
              </w:rPr>
            </w:pPr>
            <w:r w:rsidRPr="001C7600">
              <w:rPr>
                <w:lang w:val="en-US" w:eastAsia="en-AU"/>
              </w:rPr>
              <w:t>Effective if reductions substantial enough</w:t>
            </w:r>
          </w:p>
        </w:tc>
        <w:tc>
          <w:tcPr>
            <w:tcW w:w="4111" w:type="dxa"/>
            <w:gridSpan w:val="2"/>
            <w:tcBorders>
              <w:top w:val="single" w:sz="4" w:space="0" w:color="7F7F7F" w:themeColor="text1" w:themeTint="80"/>
              <w:left w:val="nil"/>
              <w:bottom w:val="single" w:sz="4" w:space="0" w:color="7F7F7F" w:themeColor="text1" w:themeTint="80"/>
              <w:right w:val="nil"/>
            </w:tcBorders>
          </w:tcPr>
          <w:p w14:paraId="4D5E60E3" w14:textId="7A7132D5" w:rsidR="00D056A8" w:rsidRDefault="00D056A8" w:rsidP="003E10D2">
            <w:pPr>
              <w:pStyle w:val="TableParagraph"/>
              <w:rPr>
                <w:lang w:val="en-US" w:eastAsia="en-AU"/>
              </w:rPr>
            </w:pPr>
            <w:r>
              <w:rPr>
                <w:lang w:val="en-US" w:eastAsia="en-AU"/>
              </w:rPr>
              <w:t>Minimum spin rate 3 seconds. Maximum limit of 50 lines</w:t>
            </w:r>
          </w:p>
        </w:tc>
      </w:tr>
      <w:tr w:rsidR="00D056A8" w14:paraId="4E026CA0" w14:textId="77777777" w:rsidTr="003E10D2">
        <w:trPr>
          <w:gridAfter w:val="1"/>
          <w:wAfter w:w="284" w:type="dxa"/>
        </w:trPr>
        <w:tc>
          <w:tcPr>
            <w:tcW w:w="2410" w:type="dxa"/>
            <w:tcBorders>
              <w:top w:val="single" w:sz="4" w:space="0" w:color="7F7F7F" w:themeColor="text1" w:themeTint="80"/>
              <w:left w:val="nil"/>
              <w:bottom w:val="single" w:sz="4" w:space="0" w:color="7F7F7F" w:themeColor="text1" w:themeTint="80"/>
              <w:right w:val="nil"/>
            </w:tcBorders>
          </w:tcPr>
          <w:p w14:paraId="7D377A8E" w14:textId="77777777" w:rsidR="00D056A8" w:rsidRDefault="00D056A8" w:rsidP="003E10D2">
            <w:pPr>
              <w:pStyle w:val="TableParagraph"/>
              <w:rPr>
                <w:lang w:val="en-US" w:eastAsia="en-AU"/>
              </w:rPr>
            </w:pPr>
            <w:r w:rsidRPr="001C7600">
              <w:rPr>
                <w:lang w:val="en-US" w:eastAsia="en-AU"/>
              </w:rPr>
              <w:t>Limiting bet sizes</w:t>
            </w:r>
          </w:p>
        </w:tc>
        <w:tc>
          <w:tcPr>
            <w:tcW w:w="3260" w:type="dxa"/>
            <w:gridSpan w:val="2"/>
            <w:tcBorders>
              <w:top w:val="single" w:sz="4" w:space="0" w:color="7F7F7F" w:themeColor="text1" w:themeTint="80"/>
              <w:left w:val="nil"/>
              <w:bottom w:val="single" w:sz="4" w:space="0" w:color="7F7F7F" w:themeColor="text1" w:themeTint="80"/>
              <w:right w:val="nil"/>
            </w:tcBorders>
          </w:tcPr>
          <w:p w14:paraId="546592BE" w14:textId="77777777" w:rsidR="00D056A8" w:rsidRDefault="00D056A8" w:rsidP="003E10D2">
            <w:pPr>
              <w:pStyle w:val="TableParagraph"/>
              <w:rPr>
                <w:lang w:val="en-US" w:eastAsia="en-AU"/>
              </w:rPr>
            </w:pPr>
            <w:r w:rsidRPr="001C7600">
              <w:rPr>
                <w:lang w:val="en-US" w:eastAsia="en-AU"/>
              </w:rPr>
              <w:t>Potentially effective, if reductions</w:t>
            </w:r>
            <w:r>
              <w:rPr>
                <w:lang w:val="en-US" w:eastAsia="en-AU"/>
              </w:rPr>
              <w:t xml:space="preserve"> </w:t>
            </w:r>
            <w:r w:rsidRPr="001C7600">
              <w:rPr>
                <w:lang w:val="en-US" w:eastAsia="en-AU"/>
              </w:rPr>
              <w:t>substantial enough</w:t>
            </w:r>
          </w:p>
        </w:tc>
        <w:tc>
          <w:tcPr>
            <w:tcW w:w="4111" w:type="dxa"/>
            <w:gridSpan w:val="2"/>
            <w:tcBorders>
              <w:top w:val="single" w:sz="4" w:space="0" w:color="7F7F7F" w:themeColor="text1" w:themeTint="80"/>
              <w:left w:val="nil"/>
              <w:bottom w:val="single" w:sz="4" w:space="0" w:color="7F7F7F" w:themeColor="text1" w:themeTint="80"/>
              <w:right w:val="nil"/>
            </w:tcBorders>
          </w:tcPr>
          <w:p w14:paraId="57BB7849" w14:textId="77777777" w:rsidR="00D056A8" w:rsidRDefault="00D056A8" w:rsidP="003E10D2">
            <w:pPr>
              <w:pStyle w:val="TableParagraph"/>
              <w:rPr>
                <w:lang w:val="en-US" w:eastAsia="en-AU"/>
              </w:rPr>
            </w:pPr>
            <w:r>
              <w:rPr>
                <w:lang w:val="en-US" w:eastAsia="en-AU"/>
              </w:rPr>
              <w:t>Maximum bet $5 per spin</w:t>
            </w:r>
          </w:p>
        </w:tc>
      </w:tr>
      <w:tr w:rsidR="00D056A8" w14:paraId="6B6CE15B" w14:textId="77777777" w:rsidTr="003E10D2">
        <w:trPr>
          <w:gridAfter w:val="1"/>
          <w:wAfter w:w="284" w:type="dxa"/>
        </w:trPr>
        <w:tc>
          <w:tcPr>
            <w:tcW w:w="2410" w:type="dxa"/>
            <w:tcBorders>
              <w:top w:val="single" w:sz="4" w:space="0" w:color="7F7F7F" w:themeColor="text1" w:themeTint="80"/>
              <w:left w:val="nil"/>
              <w:bottom w:val="single" w:sz="4" w:space="0" w:color="auto"/>
              <w:right w:val="nil"/>
            </w:tcBorders>
          </w:tcPr>
          <w:p w14:paraId="4E0E0360" w14:textId="77777777" w:rsidR="00D056A8" w:rsidRDefault="00D056A8" w:rsidP="003E10D2">
            <w:pPr>
              <w:pStyle w:val="TableParagraph"/>
              <w:rPr>
                <w:lang w:val="en-US" w:eastAsia="en-AU"/>
              </w:rPr>
            </w:pPr>
            <w:r w:rsidRPr="001C7600">
              <w:rPr>
                <w:lang w:val="en-US" w:eastAsia="en-AU"/>
              </w:rPr>
              <w:t>Limiting sensory effects in</w:t>
            </w:r>
            <w:r>
              <w:rPr>
                <w:lang w:val="en-US" w:eastAsia="en-AU"/>
              </w:rPr>
              <w:t xml:space="preserve"> </w:t>
            </w:r>
            <w:r w:rsidRPr="001C7600">
              <w:rPr>
                <w:lang w:val="en-US" w:eastAsia="en-AU"/>
              </w:rPr>
              <w:t>game design</w:t>
            </w:r>
          </w:p>
        </w:tc>
        <w:tc>
          <w:tcPr>
            <w:tcW w:w="3260" w:type="dxa"/>
            <w:gridSpan w:val="2"/>
            <w:tcBorders>
              <w:top w:val="single" w:sz="4" w:space="0" w:color="7F7F7F" w:themeColor="text1" w:themeTint="80"/>
              <w:left w:val="nil"/>
              <w:bottom w:val="single" w:sz="4" w:space="0" w:color="auto"/>
              <w:right w:val="nil"/>
            </w:tcBorders>
          </w:tcPr>
          <w:p w14:paraId="0AA45E22" w14:textId="77777777" w:rsidR="00D056A8" w:rsidRDefault="00D056A8" w:rsidP="003E10D2">
            <w:pPr>
              <w:pStyle w:val="TableParagraph"/>
              <w:rPr>
                <w:lang w:val="en-US" w:eastAsia="en-AU"/>
              </w:rPr>
            </w:pPr>
            <w:r w:rsidRPr="001C7600">
              <w:rPr>
                <w:lang w:val="en-US" w:eastAsia="en-AU"/>
              </w:rPr>
              <w:t>Effective for EGMs, insufficient research on</w:t>
            </w:r>
            <w:r>
              <w:rPr>
                <w:lang w:val="en-US" w:eastAsia="en-AU"/>
              </w:rPr>
              <w:t xml:space="preserve"> </w:t>
            </w:r>
            <w:r w:rsidRPr="001C7600">
              <w:rPr>
                <w:lang w:val="en-US" w:eastAsia="en-AU"/>
              </w:rPr>
              <w:t>other products</w:t>
            </w:r>
          </w:p>
        </w:tc>
        <w:tc>
          <w:tcPr>
            <w:tcW w:w="4111" w:type="dxa"/>
            <w:gridSpan w:val="2"/>
            <w:tcBorders>
              <w:top w:val="single" w:sz="4" w:space="0" w:color="7F7F7F" w:themeColor="text1" w:themeTint="80"/>
              <w:left w:val="nil"/>
              <w:bottom w:val="single" w:sz="4" w:space="0" w:color="auto"/>
              <w:right w:val="nil"/>
            </w:tcBorders>
          </w:tcPr>
          <w:p w14:paraId="5EBBF32D" w14:textId="77777777" w:rsidR="00D056A8" w:rsidRDefault="00D056A8" w:rsidP="003E10D2">
            <w:pPr>
              <w:pStyle w:val="TableParagraph"/>
              <w:rPr>
                <w:lang w:val="en-US" w:eastAsia="en-AU"/>
              </w:rPr>
            </w:pPr>
            <w:r>
              <w:rPr>
                <w:lang w:val="en-US" w:eastAsia="en-AU"/>
              </w:rPr>
              <w:t xml:space="preserve">Minimal – mainly in relation to credit bets exceeding wins </w:t>
            </w:r>
          </w:p>
        </w:tc>
      </w:tr>
      <w:tr w:rsidR="00D056A8" w14:paraId="4E81A47B" w14:textId="77777777" w:rsidTr="003E10D2">
        <w:tc>
          <w:tcPr>
            <w:tcW w:w="2694" w:type="dxa"/>
            <w:gridSpan w:val="2"/>
            <w:tcBorders>
              <w:top w:val="single" w:sz="4" w:space="0" w:color="auto"/>
              <w:left w:val="nil"/>
              <w:bottom w:val="single" w:sz="4" w:space="0" w:color="7F7F7F" w:themeColor="text1" w:themeTint="80"/>
              <w:right w:val="nil"/>
            </w:tcBorders>
            <w:shd w:val="clear" w:color="auto" w:fill="E7E6E6" w:themeFill="background2"/>
          </w:tcPr>
          <w:p w14:paraId="4B0E625C" w14:textId="77777777" w:rsidR="00D056A8" w:rsidRPr="00960913" w:rsidRDefault="00D056A8" w:rsidP="003E10D2">
            <w:pPr>
              <w:pStyle w:val="TableParagraph"/>
              <w:rPr>
                <w:b/>
                <w:lang w:val="en-US" w:eastAsia="en-AU"/>
              </w:rPr>
            </w:pPr>
            <w:r w:rsidRPr="00960913">
              <w:rPr>
                <w:b/>
                <w:sz w:val="24"/>
                <w:lang w:val="en-US" w:eastAsia="en-AU"/>
              </w:rPr>
              <w:lastRenderedPageBreak/>
              <w:t>Selective measures</w:t>
            </w:r>
          </w:p>
        </w:tc>
        <w:tc>
          <w:tcPr>
            <w:tcW w:w="3260" w:type="dxa"/>
            <w:gridSpan w:val="2"/>
            <w:tcBorders>
              <w:top w:val="single" w:sz="4" w:space="0" w:color="auto"/>
              <w:left w:val="nil"/>
              <w:bottom w:val="single" w:sz="4" w:space="0" w:color="7F7F7F" w:themeColor="text1" w:themeTint="80"/>
              <w:right w:val="nil"/>
            </w:tcBorders>
            <w:shd w:val="clear" w:color="auto" w:fill="E7E6E6" w:themeFill="background2"/>
          </w:tcPr>
          <w:p w14:paraId="01E03878" w14:textId="77777777" w:rsidR="00D056A8" w:rsidRPr="00960913" w:rsidRDefault="00D056A8" w:rsidP="003E10D2">
            <w:pPr>
              <w:pStyle w:val="TableParagraph"/>
              <w:rPr>
                <w:b/>
                <w:lang w:val="en-US" w:eastAsia="en-AU"/>
              </w:rPr>
            </w:pPr>
            <w:r w:rsidRPr="00960913">
              <w:rPr>
                <w:b/>
                <w:lang w:val="en-US" w:eastAsia="en-AU"/>
              </w:rPr>
              <w:t>Effectiveness</w:t>
            </w:r>
          </w:p>
        </w:tc>
        <w:tc>
          <w:tcPr>
            <w:tcW w:w="4111" w:type="dxa"/>
            <w:gridSpan w:val="2"/>
            <w:tcBorders>
              <w:top w:val="single" w:sz="4" w:space="0" w:color="auto"/>
              <w:left w:val="nil"/>
              <w:bottom w:val="single" w:sz="4" w:space="0" w:color="7F7F7F" w:themeColor="text1" w:themeTint="80"/>
              <w:right w:val="nil"/>
            </w:tcBorders>
            <w:shd w:val="clear" w:color="auto" w:fill="E7E6E6" w:themeFill="background2"/>
          </w:tcPr>
          <w:p w14:paraId="11E30D4B" w14:textId="63B820AB" w:rsidR="00D056A8" w:rsidRPr="00960913" w:rsidRDefault="00D056A8" w:rsidP="003E10D2">
            <w:pPr>
              <w:pStyle w:val="TableParagraph"/>
              <w:rPr>
                <w:b/>
                <w:lang w:val="en-US" w:eastAsia="en-AU"/>
              </w:rPr>
            </w:pPr>
            <w:r>
              <w:rPr>
                <w:b/>
                <w:lang w:val="en-US" w:eastAsia="en-AU"/>
              </w:rPr>
              <w:t>Tasmanian context</w:t>
            </w:r>
          </w:p>
        </w:tc>
      </w:tr>
      <w:tr w:rsidR="00D056A8" w14:paraId="73A29826"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5E8FCFEF" w14:textId="77777777" w:rsidR="00D056A8" w:rsidRPr="00F807CD" w:rsidRDefault="00D056A8" w:rsidP="003E10D2">
            <w:pPr>
              <w:pStyle w:val="TableParagraph"/>
              <w:spacing w:before="80" w:after="80"/>
            </w:pPr>
            <w:r w:rsidRPr="00F807CD">
              <w:t>Restricting access to cash or payment options</w:t>
            </w:r>
          </w:p>
        </w:tc>
        <w:tc>
          <w:tcPr>
            <w:tcW w:w="3260" w:type="dxa"/>
            <w:gridSpan w:val="2"/>
            <w:tcBorders>
              <w:top w:val="single" w:sz="4" w:space="0" w:color="7F7F7F" w:themeColor="text1" w:themeTint="80"/>
              <w:left w:val="nil"/>
              <w:bottom w:val="single" w:sz="4" w:space="0" w:color="7F7F7F" w:themeColor="text1" w:themeTint="80"/>
              <w:right w:val="nil"/>
            </w:tcBorders>
          </w:tcPr>
          <w:p w14:paraId="4E28E814" w14:textId="77777777" w:rsidR="00D056A8" w:rsidRPr="00F807CD" w:rsidRDefault="00D056A8" w:rsidP="003E10D2">
            <w:pPr>
              <w:pStyle w:val="TableParagraph"/>
              <w:spacing w:before="80" w:after="80"/>
            </w:pPr>
            <w:r w:rsidRPr="00F807CD">
              <w:t>Potentially effective where ATMs are removed, and when note acceptors are removed from EGMs</w:t>
            </w:r>
          </w:p>
        </w:tc>
        <w:tc>
          <w:tcPr>
            <w:tcW w:w="4111" w:type="dxa"/>
            <w:gridSpan w:val="2"/>
            <w:tcBorders>
              <w:top w:val="single" w:sz="4" w:space="0" w:color="7F7F7F" w:themeColor="text1" w:themeTint="80"/>
              <w:left w:val="nil"/>
              <w:bottom w:val="single" w:sz="4" w:space="0" w:color="7F7F7F" w:themeColor="text1" w:themeTint="80"/>
              <w:right w:val="nil"/>
            </w:tcBorders>
          </w:tcPr>
          <w:p w14:paraId="125C2275" w14:textId="29CA33BD" w:rsidR="00D056A8" w:rsidRPr="00F807CD" w:rsidRDefault="00D056A8" w:rsidP="003E10D2">
            <w:pPr>
              <w:pStyle w:val="TableParagraph"/>
              <w:spacing w:before="80" w:after="80"/>
            </w:pPr>
            <w:r w:rsidRPr="00F807CD">
              <w:t>Hotels and clubs are not permitted to have ATMs or note acceptors on EGMs</w:t>
            </w:r>
            <w:r>
              <w:t>. Limits on EFTPOS withdrawals</w:t>
            </w:r>
          </w:p>
        </w:tc>
      </w:tr>
      <w:tr w:rsidR="00D056A8" w14:paraId="65C78D5B"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3FB3EC1B" w14:textId="77777777" w:rsidR="00D056A8" w:rsidRPr="00F807CD" w:rsidRDefault="00D056A8" w:rsidP="003E10D2">
            <w:pPr>
              <w:pStyle w:val="TableParagraph"/>
              <w:spacing w:before="80" w:after="80"/>
            </w:pPr>
            <w:r w:rsidRPr="00F807CD">
              <w:t>Situating venues away from at-risk populations</w:t>
            </w:r>
          </w:p>
        </w:tc>
        <w:tc>
          <w:tcPr>
            <w:tcW w:w="3260" w:type="dxa"/>
            <w:gridSpan w:val="2"/>
            <w:tcBorders>
              <w:top w:val="single" w:sz="4" w:space="0" w:color="7F7F7F" w:themeColor="text1" w:themeTint="80"/>
              <w:left w:val="nil"/>
              <w:bottom w:val="single" w:sz="4" w:space="0" w:color="7F7F7F" w:themeColor="text1" w:themeTint="80"/>
              <w:right w:val="nil"/>
            </w:tcBorders>
          </w:tcPr>
          <w:p w14:paraId="74759CD9" w14:textId="77777777" w:rsidR="00D056A8" w:rsidRPr="00F807CD" w:rsidRDefault="00D056A8" w:rsidP="003E10D2">
            <w:pPr>
              <w:pStyle w:val="TableParagraph"/>
              <w:spacing w:before="80" w:after="80"/>
            </w:pPr>
            <w:r w:rsidRPr="00F807CD">
              <w:t>Effective</w:t>
            </w:r>
          </w:p>
        </w:tc>
        <w:tc>
          <w:tcPr>
            <w:tcW w:w="4111" w:type="dxa"/>
            <w:gridSpan w:val="2"/>
            <w:tcBorders>
              <w:top w:val="single" w:sz="4" w:space="0" w:color="7F7F7F" w:themeColor="text1" w:themeTint="80"/>
              <w:left w:val="nil"/>
              <w:bottom w:val="single" w:sz="4" w:space="0" w:color="7F7F7F" w:themeColor="text1" w:themeTint="80"/>
              <w:right w:val="nil"/>
            </w:tcBorders>
          </w:tcPr>
          <w:p w14:paraId="5F0F3740" w14:textId="77777777" w:rsidR="00D056A8" w:rsidRPr="00F807CD" w:rsidRDefault="00D056A8" w:rsidP="003E10D2">
            <w:pPr>
              <w:pStyle w:val="TableParagraph"/>
              <w:spacing w:before="80" w:after="80"/>
            </w:pPr>
          </w:p>
        </w:tc>
      </w:tr>
      <w:tr w:rsidR="00D056A8" w14:paraId="29F65650"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3386C69C" w14:textId="77777777" w:rsidR="00D056A8" w:rsidRPr="00F807CD" w:rsidRDefault="00D056A8" w:rsidP="003E10D2">
            <w:pPr>
              <w:pStyle w:val="TableParagraph"/>
              <w:spacing w:before="80" w:after="80"/>
            </w:pPr>
            <w:r w:rsidRPr="00F807CD">
              <w:t>Location of EGMs</w:t>
            </w:r>
          </w:p>
        </w:tc>
        <w:tc>
          <w:tcPr>
            <w:tcW w:w="3260" w:type="dxa"/>
            <w:gridSpan w:val="2"/>
            <w:tcBorders>
              <w:top w:val="single" w:sz="4" w:space="0" w:color="7F7F7F" w:themeColor="text1" w:themeTint="80"/>
              <w:left w:val="nil"/>
              <w:bottom w:val="single" w:sz="4" w:space="0" w:color="7F7F7F" w:themeColor="text1" w:themeTint="80"/>
              <w:right w:val="nil"/>
            </w:tcBorders>
          </w:tcPr>
          <w:p w14:paraId="547E0D63" w14:textId="40A6E178" w:rsidR="00D056A8" w:rsidRPr="00F807CD" w:rsidRDefault="00D056A8" w:rsidP="003E10D2">
            <w:pPr>
              <w:pStyle w:val="TableParagraph"/>
              <w:spacing w:before="80" w:after="80"/>
            </w:pPr>
            <w:r w:rsidRPr="00F807CD">
              <w:t>Inconsistent evidence</w:t>
            </w:r>
            <w:r>
              <w:t>.</w:t>
            </w:r>
            <w:r w:rsidRPr="00F807CD">
              <w:t xml:space="preserve"> </w:t>
            </w:r>
            <w:r>
              <w:t>B</w:t>
            </w:r>
            <w:r w:rsidRPr="00F807CD">
              <w:t>oth visibility and isolation might be problematic</w:t>
            </w:r>
            <w:r>
              <w:t>:</w:t>
            </w:r>
            <w:r w:rsidRPr="00F807CD">
              <w:t xml:space="preserve"> visibility can be problematic because it normali</w:t>
            </w:r>
            <w:r>
              <w:t>s</w:t>
            </w:r>
            <w:r w:rsidRPr="00F807CD">
              <w:t>es gambling availability; isolation can be problematic because dedicated gambling spaces are often immersive</w:t>
            </w:r>
          </w:p>
        </w:tc>
        <w:tc>
          <w:tcPr>
            <w:tcW w:w="4111" w:type="dxa"/>
            <w:gridSpan w:val="2"/>
            <w:tcBorders>
              <w:top w:val="single" w:sz="4" w:space="0" w:color="7F7F7F" w:themeColor="text1" w:themeTint="80"/>
              <w:left w:val="nil"/>
              <w:bottom w:val="single" w:sz="4" w:space="0" w:color="7F7F7F" w:themeColor="text1" w:themeTint="80"/>
              <w:right w:val="nil"/>
            </w:tcBorders>
          </w:tcPr>
          <w:p w14:paraId="02D46A15" w14:textId="77777777" w:rsidR="00D056A8" w:rsidRPr="00F807CD" w:rsidRDefault="00D056A8" w:rsidP="003E10D2">
            <w:pPr>
              <w:pStyle w:val="TableParagraph"/>
              <w:spacing w:before="80" w:after="80"/>
            </w:pPr>
            <w:r w:rsidRPr="00F807CD">
              <w:t xml:space="preserve">Gaming areas opened or remodelled after 1 Oct 2024 must be separate from rest of venue, not be the only thoroughfare to toilets, be designed so that gaming machines are not visible from outside except through an entrance, have no more than 2 doors, doors must be no wider than 1.8m. </w:t>
            </w:r>
          </w:p>
        </w:tc>
      </w:tr>
      <w:tr w:rsidR="00D056A8" w14:paraId="1037B190"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6A59F4C2" w14:textId="77777777" w:rsidR="00D056A8" w:rsidRPr="00F807CD" w:rsidRDefault="00D056A8" w:rsidP="003E10D2">
            <w:pPr>
              <w:pStyle w:val="TableParagraph"/>
              <w:spacing w:before="80" w:after="80"/>
            </w:pPr>
            <w:r w:rsidRPr="00F807CD">
              <w:t>Land-based venue design features (eg, lights, clocks)</w:t>
            </w:r>
          </w:p>
        </w:tc>
        <w:tc>
          <w:tcPr>
            <w:tcW w:w="3260" w:type="dxa"/>
            <w:gridSpan w:val="2"/>
            <w:tcBorders>
              <w:top w:val="single" w:sz="4" w:space="0" w:color="7F7F7F" w:themeColor="text1" w:themeTint="80"/>
              <w:left w:val="nil"/>
              <w:bottom w:val="single" w:sz="4" w:space="0" w:color="7F7F7F" w:themeColor="text1" w:themeTint="80"/>
              <w:right w:val="nil"/>
            </w:tcBorders>
          </w:tcPr>
          <w:p w14:paraId="180FA214" w14:textId="77777777" w:rsidR="00D056A8" w:rsidRPr="00F807CD" w:rsidRDefault="00D056A8" w:rsidP="003E10D2">
            <w:pPr>
              <w:pStyle w:val="TableParagraph"/>
              <w:spacing w:before="80" w:after="80"/>
            </w:pPr>
            <w:r w:rsidRPr="00F807CD">
              <w:t>Potentially effective, but depends on implementation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2AC98673" w14:textId="77777777" w:rsidR="00D056A8" w:rsidRPr="00F807CD" w:rsidRDefault="00D056A8" w:rsidP="003E10D2">
            <w:pPr>
              <w:pStyle w:val="TableParagraph"/>
              <w:spacing w:before="80" w:after="80"/>
            </w:pPr>
            <w:r w:rsidRPr="00F807CD">
              <w:t>Provisions for lighting and clocks in Responsible Gambling Code of Practice</w:t>
            </w:r>
          </w:p>
        </w:tc>
      </w:tr>
      <w:tr w:rsidR="00D056A8" w14:paraId="22E4D4D7"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43A3953D" w14:textId="77777777" w:rsidR="00D056A8" w:rsidRPr="00F807CD" w:rsidRDefault="00D056A8" w:rsidP="003E10D2">
            <w:pPr>
              <w:pStyle w:val="TableParagraph"/>
              <w:spacing w:before="80" w:after="80"/>
            </w:pPr>
            <w:r w:rsidRPr="00F807CD">
              <w:t>Smoking bans and alcohol restrictions at gambling locations</w:t>
            </w:r>
          </w:p>
        </w:tc>
        <w:tc>
          <w:tcPr>
            <w:tcW w:w="3260" w:type="dxa"/>
            <w:gridSpan w:val="2"/>
            <w:tcBorders>
              <w:top w:val="single" w:sz="4" w:space="0" w:color="7F7F7F" w:themeColor="text1" w:themeTint="80"/>
              <w:left w:val="nil"/>
              <w:bottom w:val="single" w:sz="4" w:space="0" w:color="7F7F7F" w:themeColor="text1" w:themeTint="80"/>
              <w:right w:val="nil"/>
            </w:tcBorders>
          </w:tcPr>
          <w:p w14:paraId="75A11A47" w14:textId="77777777" w:rsidR="00D056A8" w:rsidRPr="00F807CD" w:rsidRDefault="00D056A8" w:rsidP="003E10D2">
            <w:pPr>
              <w:pStyle w:val="TableParagraph"/>
              <w:spacing w:before="80" w:after="80"/>
            </w:pPr>
            <w:r w:rsidRPr="00F807CD">
              <w:t>Effective</w:t>
            </w:r>
            <w:r>
              <w:t xml:space="preserve"> at partial reduction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4079FCD2" w14:textId="5D248D90" w:rsidR="00D056A8" w:rsidRPr="00F807CD" w:rsidRDefault="00D056A8" w:rsidP="003E10D2">
            <w:pPr>
              <w:pStyle w:val="TableParagraph"/>
              <w:spacing w:before="80" w:after="80"/>
            </w:pPr>
            <w:r w:rsidRPr="00F807CD">
              <w:t>Smoking bans in place. Some alcohol service restrictions</w:t>
            </w:r>
          </w:p>
        </w:tc>
      </w:tr>
      <w:tr w:rsidR="00D056A8" w14:paraId="69449CE2"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3FC5F9B2" w14:textId="77777777" w:rsidR="00D056A8" w:rsidRPr="00F807CD" w:rsidRDefault="00D056A8" w:rsidP="003E10D2">
            <w:pPr>
              <w:pStyle w:val="TableParagraph"/>
              <w:spacing w:before="80" w:after="80"/>
            </w:pPr>
            <w:r w:rsidRPr="00F807CD">
              <w:t>Venue employee training</w:t>
            </w:r>
          </w:p>
        </w:tc>
        <w:tc>
          <w:tcPr>
            <w:tcW w:w="3260" w:type="dxa"/>
            <w:gridSpan w:val="2"/>
            <w:tcBorders>
              <w:top w:val="single" w:sz="4" w:space="0" w:color="7F7F7F" w:themeColor="text1" w:themeTint="80"/>
              <w:left w:val="nil"/>
              <w:bottom w:val="single" w:sz="4" w:space="0" w:color="7F7F7F" w:themeColor="text1" w:themeTint="80"/>
              <w:right w:val="nil"/>
            </w:tcBorders>
          </w:tcPr>
          <w:p w14:paraId="29090758" w14:textId="77777777" w:rsidR="00D056A8" w:rsidRPr="00F807CD" w:rsidRDefault="00D056A8" w:rsidP="003E10D2">
            <w:pPr>
              <w:pStyle w:val="TableParagraph"/>
              <w:spacing w:before="80" w:after="80"/>
            </w:pPr>
            <w:r w:rsidRPr="00F807CD">
              <w:t>Effective in terms of staff capabilities, but insufficient evidence on effects for customers</w:t>
            </w:r>
          </w:p>
        </w:tc>
        <w:tc>
          <w:tcPr>
            <w:tcW w:w="4111" w:type="dxa"/>
            <w:gridSpan w:val="2"/>
            <w:tcBorders>
              <w:top w:val="single" w:sz="4" w:space="0" w:color="7F7F7F" w:themeColor="text1" w:themeTint="80"/>
              <w:left w:val="nil"/>
              <w:bottom w:val="single" w:sz="4" w:space="0" w:color="7F7F7F" w:themeColor="text1" w:themeTint="80"/>
              <w:right w:val="nil"/>
            </w:tcBorders>
          </w:tcPr>
          <w:p w14:paraId="5A6B811A" w14:textId="5E57A667" w:rsidR="00D056A8" w:rsidRPr="00F807CD" w:rsidRDefault="00D056A8" w:rsidP="003E10D2">
            <w:pPr>
              <w:pStyle w:val="TableParagraph"/>
              <w:spacing w:before="80" w:after="80"/>
            </w:pPr>
            <w:r w:rsidRPr="00F807CD">
              <w:t xml:space="preserve">Training required every 2 years in the </w:t>
            </w:r>
            <w:hyperlink r:id="rId20" w:history="1">
              <w:r w:rsidRPr="009D7214">
                <w:rPr>
                  <w:rStyle w:val="Hyperlink"/>
                </w:rPr>
                <w:t>Responsible Conduct of Gambling</w:t>
              </w:r>
            </w:hyperlink>
          </w:p>
        </w:tc>
      </w:tr>
      <w:tr w:rsidR="00D056A8" w14:paraId="66E0003F"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08436D29" w14:textId="77777777" w:rsidR="00D056A8" w:rsidRPr="00F807CD" w:rsidRDefault="00D056A8" w:rsidP="003E10D2">
            <w:pPr>
              <w:pStyle w:val="TableParagraph"/>
              <w:spacing w:before="80" w:after="80"/>
            </w:pPr>
            <w:r w:rsidRPr="00F807CD">
              <w:t>School-based programs and programs targeting youth</w:t>
            </w:r>
          </w:p>
        </w:tc>
        <w:tc>
          <w:tcPr>
            <w:tcW w:w="3260" w:type="dxa"/>
            <w:gridSpan w:val="2"/>
            <w:tcBorders>
              <w:top w:val="single" w:sz="4" w:space="0" w:color="7F7F7F" w:themeColor="text1" w:themeTint="80"/>
              <w:left w:val="nil"/>
              <w:bottom w:val="single" w:sz="4" w:space="0" w:color="7F7F7F" w:themeColor="text1" w:themeTint="80"/>
              <w:right w:val="nil"/>
            </w:tcBorders>
          </w:tcPr>
          <w:p w14:paraId="1DBF7651" w14:textId="77777777" w:rsidR="00D056A8" w:rsidRPr="00F807CD" w:rsidRDefault="00D056A8" w:rsidP="003E10D2">
            <w:pPr>
              <w:pStyle w:val="TableParagraph"/>
              <w:spacing w:before="80" w:after="80"/>
            </w:pPr>
            <w:r w:rsidRPr="00F807CD">
              <w:t>Potentially effective, but contradictory evidence</w:t>
            </w:r>
          </w:p>
        </w:tc>
        <w:tc>
          <w:tcPr>
            <w:tcW w:w="4111" w:type="dxa"/>
            <w:gridSpan w:val="2"/>
            <w:tcBorders>
              <w:top w:val="single" w:sz="4" w:space="0" w:color="7F7F7F" w:themeColor="text1" w:themeTint="80"/>
              <w:left w:val="nil"/>
              <w:bottom w:val="single" w:sz="4" w:space="0" w:color="7F7F7F" w:themeColor="text1" w:themeTint="80"/>
              <w:right w:val="nil"/>
            </w:tcBorders>
          </w:tcPr>
          <w:p w14:paraId="552AD2A6" w14:textId="77777777" w:rsidR="00D056A8" w:rsidRPr="00F807CD" w:rsidRDefault="00D056A8" w:rsidP="003E10D2">
            <w:pPr>
              <w:pStyle w:val="TableParagraph"/>
              <w:spacing w:before="80" w:after="80"/>
            </w:pPr>
            <w:r>
              <w:t xml:space="preserve">Holiday and after-school programs, online resources </w:t>
            </w:r>
            <w:hyperlink r:id="rId21" w:anchor=":~:text=The%20Clued%2DIn%20program%2C%20in,Department%20of%20Premier%20and%20Cabinet." w:history="1">
              <w:r>
                <w:rPr>
                  <w:rStyle w:val="Hyperlink"/>
                </w:rPr>
                <w:t>Anglicare Tas | Clued In Program</w:t>
              </w:r>
            </w:hyperlink>
          </w:p>
        </w:tc>
      </w:tr>
      <w:tr w:rsidR="00D056A8" w14:paraId="7556D4B7"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3A7657D7" w14:textId="77777777" w:rsidR="00D056A8" w:rsidRPr="00F807CD" w:rsidRDefault="00D056A8" w:rsidP="003E10D2">
            <w:pPr>
              <w:pStyle w:val="TableParagraph"/>
              <w:spacing w:before="80" w:after="80"/>
            </w:pPr>
            <w:r w:rsidRPr="00F807CD">
              <w:t>Pop-ups or other interactive warnings</w:t>
            </w:r>
          </w:p>
        </w:tc>
        <w:tc>
          <w:tcPr>
            <w:tcW w:w="3260"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69149C9C" w14:textId="77777777" w:rsidR="00D056A8" w:rsidRPr="00F807CD" w:rsidRDefault="00D056A8" w:rsidP="003E10D2">
            <w:pPr>
              <w:pStyle w:val="TableParagraph"/>
              <w:spacing w:before="80" w:after="80"/>
            </w:pPr>
            <w:r w:rsidRPr="00F807CD">
              <w:t>Effective, but depends on implementation</w:t>
            </w:r>
          </w:p>
        </w:tc>
        <w:tc>
          <w:tcPr>
            <w:tcW w:w="4111"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56C8EDC7" w14:textId="144CD99F" w:rsidR="00D056A8" w:rsidRPr="00F807CD" w:rsidRDefault="001C65DC" w:rsidP="003E10D2">
            <w:pPr>
              <w:pStyle w:val="TableParagraph"/>
              <w:spacing w:before="80" w:after="80"/>
            </w:pPr>
            <w:r>
              <w:rPr>
                <w:highlight w:val="yellow"/>
              </w:rPr>
              <w:t>Would be e</w:t>
            </w:r>
            <w:r w:rsidR="00D056A8">
              <w:rPr>
                <w:highlight w:val="yellow"/>
              </w:rPr>
              <w:t>nabled</w:t>
            </w:r>
            <w:r w:rsidR="00D056A8" w:rsidRPr="005E5163">
              <w:rPr>
                <w:highlight w:val="yellow"/>
              </w:rPr>
              <w:t xml:space="preserve"> by</w:t>
            </w:r>
            <w:r w:rsidR="00D056A8">
              <w:rPr>
                <w:highlight w:val="yellow"/>
              </w:rPr>
              <w:t xml:space="preserve"> mandatory pre-commitment card</w:t>
            </w:r>
          </w:p>
        </w:tc>
      </w:tr>
      <w:tr w:rsidR="00D056A8" w14:paraId="79F7BDFC"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shd w:val="clear" w:color="auto" w:fill="FFFFFF" w:themeFill="background1"/>
          </w:tcPr>
          <w:p w14:paraId="1F2B6020" w14:textId="77777777" w:rsidR="00D056A8" w:rsidRPr="00F807CD" w:rsidRDefault="00D056A8" w:rsidP="003E10D2">
            <w:pPr>
              <w:pStyle w:val="TableParagraph"/>
              <w:spacing w:before="80" w:after="80"/>
            </w:pPr>
            <w:r w:rsidRPr="00F807CD">
              <w:t>Personalised feedback or personalised normative feedback</w:t>
            </w:r>
          </w:p>
        </w:tc>
        <w:tc>
          <w:tcPr>
            <w:tcW w:w="3260" w:type="dxa"/>
            <w:gridSpan w:val="2"/>
            <w:tcBorders>
              <w:top w:val="single" w:sz="4" w:space="0" w:color="7F7F7F" w:themeColor="text1" w:themeTint="80"/>
              <w:left w:val="nil"/>
              <w:bottom w:val="single" w:sz="4" w:space="0" w:color="7F7F7F" w:themeColor="text1" w:themeTint="80"/>
              <w:right w:val="nil"/>
            </w:tcBorders>
            <w:shd w:val="clear" w:color="auto" w:fill="FFFFFF" w:themeFill="background1"/>
          </w:tcPr>
          <w:p w14:paraId="5E1377FA" w14:textId="77777777" w:rsidR="00D056A8" w:rsidRPr="00F807CD" w:rsidRDefault="00D056A8" w:rsidP="003E10D2">
            <w:pPr>
              <w:pStyle w:val="TableParagraph"/>
              <w:spacing w:before="80" w:after="80"/>
            </w:pPr>
            <w:r w:rsidRPr="00F807CD">
              <w:t>Potentially effective, but most available evidence based on short timeframes (ie, 3–6 months), insufficient evidence on long-term effects</w:t>
            </w:r>
          </w:p>
        </w:tc>
        <w:tc>
          <w:tcPr>
            <w:tcW w:w="4111" w:type="dxa"/>
            <w:gridSpan w:val="2"/>
            <w:tcBorders>
              <w:top w:val="single" w:sz="4" w:space="0" w:color="7F7F7F" w:themeColor="text1" w:themeTint="80"/>
              <w:left w:val="nil"/>
              <w:bottom w:val="single" w:sz="4" w:space="0" w:color="7F7F7F" w:themeColor="text1" w:themeTint="80"/>
              <w:right w:val="nil"/>
            </w:tcBorders>
          </w:tcPr>
          <w:p w14:paraId="2BEE8F2F" w14:textId="77777777" w:rsidR="00D056A8" w:rsidRPr="00F807CD" w:rsidRDefault="00D056A8" w:rsidP="003E10D2">
            <w:pPr>
              <w:pStyle w:val="TableParagraph"/>
              <w:spacing w:before="80" w:after="80"/>
            </w:pPr>
          </w:p>
        </w:tc>
      </w:tr>
      <w:tr w:rsidR="00D056A8" w14:paraId="5867A510"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30406A6D" w14:textId="77777777" w:rsidR="00D056A8" w:rsidRPr="00F807CD" w:rsidRDefault="00D056A8" w:rsidP="003E10D2">
            <w:pPr>
              <w:pStyle w:val="TableParagraph"/>
              <w:spacing w:before="80" w:after="80"/>
            </w:pPr>
            <w:r w:rsidRPr="00F807CD">
              <w:t>Warning labels on products or warning signs</w:t>
            </w:r>
          </w:p>
        </w:tc>
        <w:tc>
          <w:tcPr>
            <w:tcW w:w="3260" w:type="dxa"/>
            <w:gridSpan w:val="2"/>
            <w:tcBorders>
              <w:top w:val="single" w:sz="4" w:space="0" w:color="7F7F7F" w:themeColor="text1" w:themeTint="80"/>
              <w:left w:val="nil"/>
              <w:bottom w:val="single" w:sz="4" w:space="0" w:color="7F7F7F" w:themeColor="text1" w:themeTint="80"/>
              <w:right w:val="nil"/>
            </w:tcBorders>
          </w:tcPr>
          <w:p w14:paraId="323FB76F" w14:textId="77777777" w:rsidR="00D056A8" w:rsidRPr="00F807CD" w:rsidRDefault="00D056A8" w:rsidP="003E10D2">
            <w:pPr>
              <w:pStyle w:val="TableParagraph"/>
              <w:spacing w:before="80" w:after="80"/>
            </w:pPr>
            <w:r w:rsidRPr="00F807CD">
              <w:t>Potentially effective, but depends on implementation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516CDD03" w14:textId="77777777" w:rsidR="00D056A8" w:rsidRPr="00F807CD" w:rsidRDefault="00D056A8" w:rsidP="003E10D2">
            <w:pPr>
              <w:pStyle w:val="TableParagraph"/>
              <w:spacing w:before="80" w:after="80"/>
            </w:pPr>
          </w:p>
        </w:tc>
      </w:tr>
      <w:tr w:rsidR="00D056A8" w14:paraId="39E2688A"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1B344303" w14:textId="77777777" w:rsidR="00D056A8" w:rsidRPr="00F807CD" w:rsidRDefault="00D056A8" w:rsidP="003E10D2">
            <w:pPr>
              <w:pStyle w:val="TableParagraph"/>
              <w:spacing w:before="80" w:after="80"/>
            </w:pPr>
            <w:r w:rsidRPr="00F807CD">
              <w:t>Providing details of helplines</w:t>
            </w:r>
          </w:p>
        </w:tc>
        <w:tc>
          <w:tcPr>
            <w:tcW w:w="3260" w:type="dxa"/>
            <w:gridSpan w:val="2"/>
            <w:tcBorders>
              <w:top w:val="single" w:sz="4" w:space="0" w:color="7F7F7F" w:themeColor="text1" w:themeTint="80"/>
              <w:left w:val="nil"/>
              <w:bottom w:val="single" w:sz="4" w:space="0" w:color="7F7F7F" w:themeColor="text1" w:themeTint="80"/>
              <w:right w:val="nil"/>
            </w:tcBorders>
          </w:tcPr>
          <w:p w14:paraId="3EFB88A8" w14:textId="77777777" w:rsidR="00D056A8" w:rsidRPr="00F807CD" w:rsidRDefault="00D056A8" w:rsidP="003E10D2">
            <w:pPr>
              <w:pStyle w:val="TableParagraph"/>
              <w:spacing w:before="80" w:after="80"/>
            </w:pPr>
            <w:r w:rsidRPr="00F807CD">
              <w:t>Inconsistent evidence</w:t>
            </w:r>
          </w:p>
        </w:tc>
        <w:tc>
          <w:tcPr>
            <w:tcW w:w="4111" w:type="dxa"/>
            <w:gridSpan w:val="2"/>
            <w:tcBorders>
              <w:top w:val="single" w:sz="4" w:space="0" w:color="7F7F7F" w:themeColor="text1" w:themeTint="80"/>
              <w:left w:val="nil"/>
              <w:bottom w:val="single" w:sz="4" w:space="0" w:color="7F7F7F" w:themeColor="text1" w:themeTint="80"/>
              <w:right w:val="nil"/>
            </w:tcBorders>
          </w:tcPr>
          <w:p w14:paraId="52B66235" w14:textId="77777777" w:rsidR="00D056A8" w:rsidRPr="00F807CD" w:rsidRDefault="00D056A8" w:rsidP="003E10D2">
            <w:pPr>
              <w:pStyle w:val="TableParagraph"/>
              <w:spacing w:before="80" w:after="80"/>
            </w:pPr>
            <w:r w:rsidRPr="00F807CD">
              <w:t>Provided in venues and on websites</w:t>
            </w:r>
          </w:p>
        </w:tc>
      </w:tr>
      <w:tr w:rsidR="00D056A8" w14:paraId="18BC3245"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3DD15571" w14:textId="77777777" w:rsidR="00D056A8" w:rsidRPr="00F807CD" w:rsidRDefault="00D056A8" w:rsidP="003E10D2">
            <w:pPr>
              <w:pStyle w:val="TableParagraph"/>
              <w:spacing w:before="80" w:after="80"/>
            </w:pPr>
            <w:r w:rsidRPr="00F807CD">
              <w:t>Voluntary limit-setting</w:t>
            </w:r>
          </w:p>
        </w:tc>
        <w:tc>
          <w:tcPr>
            <w:tcW w:w="3260" w:type="dxa"/>
            <w:gridSpan w:val="2"/>
            <w:tcBorders>
              <w:top w:val="single" w:sz="4" w:space="0" w:color="7F7F7F" w:themeColor="text1" w:themeTint="80"/>
              <w:left w:val="nil"/>
              <w:bottom w:val="single" w:sz="4" w:space="0" w:color="7F7F7F" w:themeColor="text1" w:themeTint="80"/>
              <w:right w:val="nil"/>
            </w:tcBorders>
          </w:tcPr>
          <w:p w14:paraId="22C7ABB1" w14:textId="77777777" w:rsidR="00D056A8" w:rsidRPr="00F807CD" w:rsidRDefault="00D056A8" w:rsidP="003E10D2">
            <w:pPr>
              <w:pStyle w:val="TableParagraph"/>
              <w:spacing w:before="80" w:after="80"/>
            </w:pPr>
            <w:r w:rsidRPr="00F807CD">
              <w:t>Mostly ineffective but inconsistent evidence</w:t>
            </w:r>
          </w:p>
        </w:tc>
        <w:tc>
          <w:tcPr>
            <w:tcW w:w="4111" w:type="dxa"/>
            <w:gridSpan w:val="2"/>
            <w:tcBorders>
              <w:top w:val="single" w:sz="4" w:space="0" w:color="7F7F7F" w:themeColor="text1" w:themeTint="80"/>
              <w:left w:val="nil"/>
              <w:bottom w:val="single" w:sz="4" w:space="0" w:color="7F7F7F" w:themeColor="text1" w:themeTint="80"/>
              <w:right w:val="nil"/>
            </w:tcBorders>
          </w:tcPr>
          <w:p w14:paraId="61125E65" w14:textId="77777777" w:rsidR="00D056A8" w:rsidRPr="00F807CD" w:rsidRDefault="00D056A8" w:rsidP="003E10D2">
            <w:pPr>
              <w:pStyle w:val="TableParagraph"/>
              <w:spacing w:before="80" w:after="80"/>
            </w:pPr>
          </w:p>
        </w:tc>
      </w:tr>
      <w:tr w:rsidR="00D056A8" w14:paraId="48C1E338"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06E131EC" w14:textId="77777777" w:rsidR="00D056A8" w:rsidRPr="00F807CD" w:rsidRDefault="00D056A8" w:rsidP="003E10D2">
            <w:pPr>
              <w:pStyle w:val="TableParagraph"/>
              <w:spacing w:before="80" w:after="80"/>
            </w:pPr>
            <w:r w:rsidRPr="00F807CD">
              <w:t>Mandatory limit-setting</w:t>
            </w:r>
          </w:p>
        </w:tc>
        <w:tc>
          <w:tcPr>
            <w:tcW w:w="3260"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0844EEB3" w14:textId="77777777" w:rsidR="00D056A8" w:rsidRPr="00F807CD" w:rsidRDefault="00D056A8" w:rsidP="003E10D2">
            <w:pPr>
              <w:pStyle w:val="TableParagraph"/>
              <w:spacing w:before="80" w:after="80"/>
            </w:pPr>
            <w:r w:rsidRPr="00F807CD">
              <w:t>Effective</w:t>
            </w:r>
          </w:p>
        </w:tc>
        <w:tc>
          <w:tcPr>
            <w:tcW w:w="4111" w:type="dxa"/>
            <w:gridSpan w:val="2"/>
            <w:tcBorders>
              <w:top w:val="single" w:sz="4" w:space="0" w:color="7F7F7F" w:themeColor="text1" w:themeTint="80"/>
              <w:left w:val="nil"/>
              <w:bottom w:val="single" w:sz="4" w:space="0" w:color="7F7F7F" w:themeColor="text1" w:themeTint="80"/>
              <w:right w:val="nil"/>
            </w:tcBorders>
            <w:shd w:val="clear" w:color="auto" w:fill="FFFF00"/>
          </w:tcPr>
          <w:p w14:paraId="5785F2D6" w14:textId="692AF8FB" w:rsidR="00D056A8" w:rsidRPr="00F807CD" w:rsidRDefault="00263EB4" w:rsidP="003E10D2">
            <w:pPr>
              <w:pStyle w:val="TableParagraph"/>
              <w:spacing w:before="80" w:after="80"/>
            </w:pPr>
            <w:r>
              <w:rPr>
                <w:highlight w:val="yellow"/>
              </w:rPr>
              <w:t>Would be e</w:t>
            </w:r>
            <w:r w:rsidR="00D056A8">
              <w:rPr>
                <w:highlight w:val="yellow"/>
              </w:rPr>
              <w:t>nabled</w:t>
            </w:r>
            <w:r w:rsidR="00D056A8" w:rsidRPr="005E5163">
              <w:rPr>
                <w:highlight w:val="yellow"/>
              </w:rPr>
              <w:t xml:space="preserve"> by</w:t>
            </w:r>
            <w:r w:rsidR="00D056A8">
              <w:rPr>
                <w:highlight w:val="yellow"/>
              </w:rPr>
              <w:t xml:space="preserve"> mandatory pre-commitment card</w:t>
            </w:r>
          </w:p>
        </w:tc>
      </w:tr>
      <w:tr w:rsidR="00D056A8" w14:paraId="2EFBBD80" w14:textId="77777777" w:rsidTr="003E10D2">
        <w:tc>
          <w:tcPr>
            <w:tcW w:w="2694" w:type="dxa"/>
            <w:gridSpan w:val="2"/>
            <w:tcBorders>
              <w:top w:val="single" w:sz="4" w:space="0" w:color="7F7F7F" w:themeColor="text1" w:themeTint="80"/>
              <w:left w:val="nil"/>
              <w:bottom w:val="single" w:sz="4" w:space="0" w:color="7F7F7F" w:themeColor="text1" w:themeTint="80"/>
              <w:right w:val="nil"/>
            </w:tcBorders>
          </w:tcPr>
          <w:p w14:paraId="5136AF43" w14:textId="77777777" w:rsidR="00D056A8" w:rsidRPr="00F807CD" w:rsidRDefault="00D056A8" w:rsidP="003E10D2">
            <w:pPr>
              <w:pStyle w:val="TableParagraph"/>
              <w:spacing w:before="80" w:after="80"/>
            </w:pPr>
            <w:r w:rsidRPr="00F807CD">
              <w:t>Self-exclusion</w:t>
            </w:r>
          </w:p>
        </w:tc>
        <w:tc>
          <w:tcPr>
            <w:tcW w:w="3260" w:type="dxa"/>
            <w:gridSpan w:val="2"/>
            <w:tcBorders>
              <w:top w:val="single" w:sz="4" w:space="0" w:color="7F7F7F" w:themeColor="text1" w:themeTint="80"/>
              <w:left w:val="nil"/>
              <w:bottom w:val="single" w:sz="4" w:space="0" w:color="7F7F7F" w:themeColor="text1" w:themeTint="80"/>
              <w:right w:val="nil"/>
            </w:tcBorders>
          </w:tcPr>
          <w:p w14:paraId="39EE87F7" w14:textId="77777777" w:rsidR="00D056A8" w:rsidRPr="00F807CD" w:rsidRDefault="00D056A8" w:rsidP="003E10D2">
            <w:pPr>
              <w:pStyle w:val="TableParagraph"/>
              <w:spacing w:before="80" w:after="80"/>
            </w:pPr>
            <w:r w:rsidRPr="00F807CD">
              <w:t>Potentially effective, but depends on stringency of implementation</w:t>
            </w:r>
          </w:p>
        </w:tc>
        <w:tc>
          <w:tcPr>
            <w:tcW w:w="4111" w:type="dxa"/>
            <w:gridSpan w:val="2"/>
            <w:tcBorders>
              <w:top w:val="single" w:sz="4" w:space="0" w:color="7F7F7F" w:themeColor="text1" w:themeTint="80"/>
              <w:left w:val="nil"/>
              <w:bottom w:val="single" w:sz="4" w:space="0" w:color="7F7F7F" w:themeColor="text1" w:themeTint="80"/>
              <w:right w:val="nil"/>
            </w:tcBorders>
          </w:tcPr>
          <w:p w14:paraId="0EE2D46B" w14:textId="77777777" w:rsidR="00D056A8" w:rsidRPr="00F807CD" w:rsidRDefault="00D056A8" w:rsidP="003E10D2">
            <w:pPr>
              <w:pStyle w:val="TableParagraph"/>
              <w:spacing w:before="80" w:after="80"/>
            </w:pPr>
            <w:r w:rsidRPr="00F807CD">
              <w:t xml:space="preserve">Tasmanian </w:t>
            </w:r>
            <w:r w:rsidRPr="00470361">
              <w:t>Gambling Exclusions Scheme</w:t>
            </w:r>
          </w:p>
        </w:tc>
      </w:tr>
    </w:tbl>
    <w:p w14:paraId="0AA1ACEC" w14:textId="77777777" w:rsidR="00D056A8" w:rsidRDefault="00D056A8" w:rsidP="003E10D2"/>
    <w:tbl>
      <w:tblPr>
        <w:tblStyle w:val="TableGrid"/>
        <w:tblW w:w="10065" w:type="dxa"/>
        <w:tblLook w:val="04A0" w:firstRow="1" w:lastRow="0" w:firstColumn="1" w:lastColumn="0" w:noHBand="0" w:noVBand="1"/>
      </w:tblPr>
      <w:tblGrid>
        <w:gridCol w:w="2694"/>
        <w:gridCol w:w="3306"/>
        <w:gridCol w:w="4065"/>
      </w:tblGrid>
      <w:tr w:rsidR="00D056A8" w14:paraId="540434B2" w14:textId="77777777" w:rsidTr="003E10D2">
        <w:tc>
          <w:tcPr>
            <w:tcW w:w="2694" w:type="dxa"/>
            <w:tcBorders>
              <w:top w:val="single" w:sz="4" w:space="0" w:color="7F7F7F" w:themeColor="text1" w:themeTint="80"/>
              <w:left w:val="nil"/>
              <w:bottom w:val="single" w:sz="4" w:space="0" w:color="7F7F7F" w:themeColor="text1" w:themeTint="80"/>
              <w:right w:val="nil"/>
            </w:tcBorders>
            <w:shd w:val="clear" w:color="auto" w:fill="E7E6E6" w:themeFill="background2"/>
          </w:tcPr>
          <w:p w14:paraId="77738FE8" w14:textId="77777777" w:rsidR="00D056A8" w:rsidRPr="00960913" w:rsidRDefault="00D056A8" w:rsidP="003E10D2">
            <w:pPr>
              <w:pStyle w:val="TableParagraph"/>
              <w:rPr>
                <w:b/>
                <w:lang w:val="en-US" w:eastAsia="en-AU"/>
              </w:rPr>
            </w:pPr>
            <w:bookmarkStart w:id="12" w:name="_Hlk183605164"/>
            <w:r w:rsidRPr="00960913">
              <w:rPr>
                <w:b/>
                <w:sz w:val="24"/>
                <w:lang w:val="en-US" w:eastAsia="en-AU"/>
              </w:rPr>
              <w:t>Targeted measures</w:t>
            </w:r>
          </w:p>
        </w:tc>
        <w:tc>
          <w:tcPr>
            <w:tcW w:w="3306" w:type="dxa"/>
            <w:tcBorders>
              <w:top w:val="single" w:sz="4" w:space="0" w:color="7F7F7F" w:themeColor="text1" w:themeTint="80"/>
              <w:left w:val="nil"/>
              <w:bottom w:val="single" w:sz="4" w:space="0" w:color="7F7F7F" w:themeColor="text1" w:themeTint="80"/>
              <w:right w:val="nil"/>
            </w:tcBorders>
            <w:shd w:val="clear" w:color="auto" w:fill="E7E6E6" w:themeFill="background2"/>
          </w:tcPr>
          <w:p w14:paraId="27649DA3" w14:textId="77777777" w:rsidR="00D056A8" w:rsidRPr="00B734EA" w:rsidRDefault="00D056A8" w:rsidP="003E10D2">
            <w:pPr>
              <w:pStyle w:val="TableParagraph"/>
              <w:rPr>
                <w:b/>
                <w:lang w:val="en-US" w:eastAsia="en-AU"/>
              </w:rPr>
            </w:pPr>
            <w:r w:rsidRPr="00B734EA">
              <w:rPr>
                <w:b/>
                <w:lang w:val="en-US" w:eastAsia="en-AU"/>
              </w:rPr>
              <w:t>Effectiveness</w:t>
            </w:r>
          </w:p>
        </w:tc>
        <w:tc>
          <w:tcPr>
            <w:tcW w:w="4065" w:type="dxa"/>
            <w:tcBorders>
              <w:top w:val="single" w:sz="4" w:space="0" w:color="7F7F7F" w:themeColor="text1" w:themeTint="80"/>
              <w:left w:val="nil"/>
              <w:bottom w:val="single" w:sz="4" w:space="0" w:color="7F7F7F" w:themeColor="text1" w:themeTint="80"/>
              <w:right w:val="nil"/>
            </w:tcBorders>
            <w:shd w:val="clear" w:color="auto" w:fill="E7E6E6" w:themeFill="background2"/>
          </w:tcPr>
          <w:p w14:paraId="5A002E7C" w14:textId="77777777" w:rsidR="00D056A8" w:rsidRPr="00B734EA" w:rsidRDefault="00D056A8" w:rsidP="003E10D2">
            <w:pPr>
              <w:pStyle w:val="TableParagraph"/>
              <w:rPr>
                <w:b/>
                <w:lang w:val="en-US" w:eastAsia="en-AU"/>
              </w:rPr>
            </w:pPr>
            <w:r w:rsidRPr="00B734EA">
              <w:rPr>
                <w:b/>
                <w:lang w:val="en-US" w:eastAsia="en-AU"/>
              </w:rPr>
              <w:t>Comment</w:t>
            </w:r>
          </w:p>
        </w:tc>
      </w:tr>
      <w:tr w:rsidR="00D056A8" w14:paraId="2EFF43E2"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40666ED9" w14:textId="77777777" w:rsidR="00D056A8" w:rsidRDefault="00D056A8" w:rsidP="003E10D2">
            <w:pPr>
              <w:pStyle w:val="TableParagraph"/>
              <w:rPr>
                <w:lang w:val="en-US" w:eastAsia="en-AU"/>
              </w:rPr>
            </w:pPr>
            <w:r w:rsidRPr="00234754">
              <w:rPr>
                <w:lang w:val="en-US" w:eastAsia="en-AU"/>
              </w:rPr>
              <w:t>Educational interventions</w:t>
            </w:r>
            <w:r>
              <w:rPr>
                <w:lang w:val="en-US" w:eastAsia="en-AU"/>
              </w:rPr>
              <w:t xml:space="preserve"> </w:t>
            </w:r>
            <w:r w:rsidRPr="00234754">
              <w:rPr>
                <w:lang w:val="en-US" w:eastAsia="en-AU"/>
              </w:rPr>
              <w:t>and priming analytical</w:t>
            </w:r>
            <w:r>
              <w:rPr>
                <w:lang w:val="en-US" w:eastAsia="en-AU"/>
              </w:rPr>
              <w:t xml:space="preserve"> </w:t>
            </w:r>
            <w:r w:rsidRPr="00234754">
              <w:rPr>
                <w:lang w:val="en-US" w:eastAsia="en-AU"/>
              </w:rPr>
              <w:t>thinking</w:t>
            </w:r>
          </w:p>
        </w:tc>
        <w:tc>
          <w:tcPr>
            <w:tcW w:w="3306" w:type="dxa"/>
            <w:tcBorders>
              <w:top w:val="single" w:sz="4" w:space="0" w:color="7F7F7F" w:themeColor="text1" w:themeTint="80"/>
              <w:left w:val="nil"/>
              <w:bottom w:val="single" w:sz="4" w:space="0" w:color="7F7F7F" w:themeColor="text1" w:themeTint="80"/>
              <w:right w:val="nil"/>
            </w:tcBorders>
          </w:tcPr>
          <w:p w14:paraId="34B76109" w14:textId="77777777" w:rsidR="00D056A8" w:rsidRDefault="00D056A8" w:rsidP="003E10D2">
            <w:pPr>
              <w:pStyle w:val="TableParagraph"/>
              <w:rPr>
                <w:lang w:val="en-US" w:eastAsia="en-AU"/>
              </w:rPr>
            </w:pPr>
            <w:r w:rsidRPr="00234754">
              <w:rPr>
                <w:lang w:val="en-US" w:eastAsia="en-AU"/>
              </w:rPr>
              <w:t>Potentially effective, but depends on</w:t>
            </w:r>
            <w:r>
              <w:rPr>
                <w:lang w:val="en-US" w:eastAsia="en-AU"/>
              </w:rPr>
              <w:t xml:space="preserve"> </w:t>
            </w:r>
            <w:r w:rsidRPr="00234754">
              <w:rPr>
                <w:lang w:val="en-US" w:eastAsia="en-AU"/>
              </w:rPr>
              <w:t>implementation</w:t>
            </w:r>
          </w:p>
        </w:tc>
        <w:tc>
          <w:tcPr>
            <w:tcW w:w="4065" w:type="dxa"/>
            <w:tcBorders>
              <w:top w:val="single" w:sz="4" w:space="0" w:color="7F7F7F" w:themeColor="text1" w:themeTint="80"/>
              <w:left w:val="nil"/>
              <w:bottom w:val="single" w:sz="4" w:space="0" w:color="7F7F7F" w:themeColor="text1" w:themeTint="80"/>
              <w:right w:val="nil"/>
            </w:tcBorders>
          </w:tcPr>
          <w:p w14:paraId="7A1266D0" w14:textId="77777777" w:rsidR="00D056A8" w:rsidRDefault="00D056A8" w:rsidP="003E10D2">
            <w:pPr>
              <w:pStyle w:val="TableParagraph"/>
              <w:rPr>
                <w:lang w:val="en-US" w:eastAsia="en-AU"/>
              </w:rPr>
            </w:pPr>
          </w:p>
        </w:tc>
      </w:tr>
      <w:tr w:rsidR="00D056A8" w14:paraId="2EDA86EF" w14:textId="77777777" w:rsidTr="003E10D2">
        <w:tc>
          <w:tcPr>
            <w:tcW w:w="2694" w:type="dxa"/>
            <w:tcBorders>
              <w:top w:val="single" w:sz="4" w:space="0" w:color="7F7F7F" w:themeColor="text1" w:themeTint="80"/>
              <w:left w:val="nil"/>
              <w:bottom w:val="single" w:sz="4" w:space="0" w:color="7F7F7F" w:themeColor="text1" w:themeTint="80"/>
              <w:right w:val="nil"/>
            </w:tcBorders>
            <w:shd w:val="clear" w:color="auto" w:fill="FFFF00"/>
          </w:tcPr>
          <w:p w14:paraId="11DBF492" w14:textId="77777777" w:rsidR="00D056A8" w:rsidRPr="00F40E6F" w:rsidRDefault="00D056A8" w:rsidP="003E10D2">
            <w:pPr>
              <w:pStyle w:val="TableParagraph"/>
              <w:rPr>
                <w:lang w:val="en-US" w:eastAsia="en-AU"/>
              </w:rPr>
            </w:pPr>
            <w:bookmarkStart w:id="13" w:name="_Hlk183531207"/>
            <w:r w:rsidRPr="00F40E6F">
              <w:rPr>
                <w:lang w:val="en-US" w:eastAsia="en-AU"/>
              </w:rPr>
              <w:t>Interventions based on tracking</w:t>
            </w:r>
            <w:bookmarkEnd w:id="13"/>
          </w:p>
        </w:tc>
        <w:tc>
          <w:tcPr>
            <w:tcW w:w="3306" w:type="dxa"/>
            <w:tcBorders>
              <w:top w:val="single" w:sz="4" w:space="0" w:color="7F7F7F" w:themeColor="text1" w:themeTint="80"/>
              <w:left w:val="nil"/>
              <w:bottom w:val="single" w:sz="4" w:space="0" w:color="7F7F7F" w:themeColor="text1" w:themeTint="80"/>
              <w:right w:val="nil"/>
            </w:tcBorders>
            <w:shd w:val="clear" w:color="auto" w:fill="FFFF00"/>
          </w:tcPr>
          <w:p w14:paraId="3E4232BF" w14:textId="77777777" w:rsidR="00D056A8" w:rsidRPr="00F40E6F" w:rsidRDefault="00D056A8" w:rsidP="003E10D2">
            <w:pPr>
              <w:pStyle w:val="TableParagraph"/>
              <w:rPr>
                <w:lang w:val="en-US" w:eastAsia="en-AU"/>
              </w:rPr>
            </w:pPr>
            <w:r w:rsidRPr="00F40E6F">
              <w:rPr>
                <w:lang w:val="en-US" w:eastAsia="en-AU"/>
              </w:rPr>
              <w:t>Effective</w:t>
            </w:r>
          </w:p>
        </w:tc>
        <w:tc>
          <w:tcPr>
            <w:tcW w:w="4065" w:type="dxa"/>
            <w:tcBorders>
              <w:top w:val="single" w:sz="4" w:space="0" w:color="7F7F7F" w:themeColor="text1" w:themeTint="80"/>
              <w:left w:val="nil"/>
              <w:bottom w:val="single" w:sz="4" w:space="0" w:color="7F7F7F" w:themeColor="text1" w:themeTint="80"/>
              <w:right w:val="nil"/>
            </w:tcBorders>
            <w:shd w:val="clear" w:color="auto" w:fill="FFFF00"/>
          </w:tcPr>
          <w:p w14:paraId="0CA19B96" w14:textId="020FE4F9" w:rsidR="00D056A8" w:rsidRPr="00F40E6F" w:rsidRDefault="00263EB4" w:rsidP="003E10D2">
            <w:pPr>
              <w:pStyle w:val="TableParagraph"/>
              <w:rPr>
                <w:lang w:val="en-US" w:eastAsia="en-AU"/>
              </w:rPr>
            </w:pPr>
            <w:r>
              <w:rPr>
                <w:highlight w:val="yellow"/>
              </w:rPr>
              <w:t>Would be e</w:t>
            </w:r>
            <w:r w:rsidR="00D056A8">
              <w:rPr>
                <w:highlight w:val="yellow"/>
              </w:rPr>
              <w:t>nabled</w:t>
            </w:r>
            <w:r w:rsidR="00D056A8" w:rsidRPr="005E5163">
              <w:rPr>
                <w:highlight w:val="yellow"/>
              </w:rPr>
              <w:t xml:space="preserve"> by</w:t>
            </w:r>
            <w:r w:rsidR="00D056A8">
              <w:rPr>
                <w:highlight w:val="yellow"/>
              </w:rPr>
              <w:t xml:space="preserve"> mandatory pre-commitment card</w:t>
            </w:r>
          </w:p>
        </w:tc>
      </w:tr>
      <w:tr w:rsidR="00D056A8" w14:paraId="158C013F"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10775692" w14:textId="77777777" w:rsidR="00D056A8" w:rsidRDefault="00D056A8" w:rsidP="003E10D2">
            <w:pPr>
              <w:pStyle w:val="TableParagraph"/>
              <w:rPr>
                <w:lang w:val="en-US" w:eastAsia="en-AU"/>
              </w:rPr>
            </w:pPr>
            <w:r w:rsidRPr="00234754">
              <w:rPr>
                <w:lang w:val="en-US" w:eastAsia="en-AU"/>
              </w:rPr>
              <w:t>Personalised feedback and</w:t>
            </w:r>
            <w:r>
              <w:rPr>
                <w:lang w:val="en-US" w:eastAsia="en-AU"/>
              </w:rPr>
              <w:t xml:space="preserve"> </w:t>
            </w:r>
            <w:r w:rsidRPr="00234754">
              <w:rPr>
                <w:lang w:val="en-US" w:eastAsia="en-AU"/>
              </w:rPr>
              <w:t>motivational interview</w:t>
            </w:r>
          </w:p>
        </w:tc>
        <w:tc>
          <w:tcPr>
            <w:tcW w:w="3306" w:type="dxa"/>
            <w:tcBorders>
              <w:top w:val="single" w:sz="4" w:space="0" w:color="7F7F7F" w:themeColor="text1" w:themeTint="80"/>
              <w:left w:val="nil"/>
              <w:bottom w:val="single" w:sz="4" w:space="0" w:color="7F7F7F" w:themeColor="text1" w:themeTint="80"/>
              <w:right w:val="nil"/>
            </w:tcBorders>
          </w:tcPr>
          <w:p w14:paraId="4D40C70D" w14:textId="77777777" w:rsidR="00D056A8" w:rsidRDefault="00D056A8" w:rsidP="003E10D2">
            <w:pPr>
              <w:pStyle w:val="TableParagraph"/>
              <w:rPr>
                <w:lang w:val="en-US" w:eastAsia="en-AU"/>
              </w:rPr>
            </w:pPr>
            <w:r w:rsidRPr="00234754">
              <w:rPr>
                <w:lang w:val="en-US" w:eastAsia="en-AU"/>
              </w:rPr>
              <w:t>Effective</w:t>
            </w:r>
          </w:p>
        </w:tc>
        <w:tc>
          <w:tcPr>
            <w:tcW w:w="4065" w:type="dxa"/>
            <w:tcBorders>
              <w:top w:val="single" w:sz="4" w:space="0" w:color="7F7F7F" w:themeColor="text1" w:themeTint="80"/>
              <w:left w:val="nil"/>
              <w:bottom w:val="single" w:sz="4" w:space="0" w:color="7F7F7F" w:themeColor="text1" w:themeTint="80"/>
              <w:right w:val="nil"/>
            </w:tcBorders>
          </w:tcPr>
          <w:p w14:paraId="49211769" w14:textId="77777777" w:rsidR="00D056A8" w:rsidRDefault="00D056A8" w:rsidP="003E10D2">
            <w:pPr>
              <w:pStyle w:val="TableParagraph"/>
              <w:rPr>
                <w:lang w:val="en-US" w:eastAsia="en-AU"/>
              </w:rPr>
            </w:pPr>
            <w:r>
              <w:rPr>
                <w:lang w:val="en-US" w:eastAsia="en-AU"/>
              </w:rPr>
              <w:t>Gamblers Help</w:t>
            </w:r>
          </w:p>
        </w:tc>
      </w:tr>
      <w:tr w:rsidR="00D056A8" w14:paraId="615FFF81"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37188928" w14:textId="77777777" w:rsidR="00D056A8" w:rsidRDefault="00D056A8" w:rsidP="003E10D2">
            <w:pPr>
              <w:pStyle w:val="TableParagraph"/>
              <w:rPr>
                <w:lang w:val="en-US" w:eastAsia="en-AU"/>
              </w:rPr>
            </w:pPr>
            <w:r w:rsidRPr="00234754">
              <w:rPr>
                <w:lang w:val="en-US" w:eastAsia="en-AU"/>
              </w:rPr>
              <w:t>CBT and other therapeutic</w:t>
            </w:r>
            <w:r>
              <w:rPr>
                <w:lang w:val="en-US" w:eastAsia="en-AU"/>
              </w:rPr>
              <w:t xml:space="preserve"> </w:t>
            </w:r>
            <w:r w:rsidRPr="00234754">
              <w:rPr>
                <w:lang w:val="en-US" w:eastAsia="en-AU"/>
              </w:rPr>
              <w:t>approaches</w:t>
            </w:r>
          </w:p>
        </w:tc>
        <w:tc>
          <w:tcPr>
            <w:tcW w:w="3306" w:type="dxa"/>
            <w:tcBorders>
              <w:top w:val="single" w:sz="4" w:space="0" w:color="7F7F7F" w:themeColor="text1" w:themeTint="80"/>
              <w:left w:val="nil"/>
              <w:bottom w:val="single" w:sz="4" w:space="0" w:color="7F7F7F" w:themeColor="text1" w:themeTint="80"/>
              <w:right w:val="nil"/>
            </w:tcBorders>
          </w:tcPr>
          <w:p w14:paraId="43529102" w14:textId="77777777" w:rsidR="00D056A8" w:rsidRDefault="00D056A8" w:rsidP="003E10D2">
            <w:pPr>
              <w:pStyle w:val="TableParagraph"/>
              <w:rPr>
                <w:lang w:val="en-US" w:eastAsia="en-AU"/>
              </w:rPr>
            </w:pPr>
            <w:r w:rsidRPr="00234754">
              <w:rPr>
                <w:lang w:val="en-US" w:eastAsia="en-AU"/>
              </w:rPr>
              <w:t>Potentially effective</w:t>
            </w:r>
          </w:p>
        </w:tc>
        <w:tc>
          <w:tcPr>
            <w:tcW w:w="4065" w:type="dxa"/>
            <w:tcBorders>
              <w:top w:val="single" w:sz="4" w:space="0" w:color="7F7F7F" w:themeColor="text1" w:themeTint="80"/>
              <w:left w:val="nil"/>
              <w:bottom w:val="single" w:sz="4" w:space="0" w:color="7F7F7F" w:themeColor="text1" w:themeTint="80"/>
              <w:right w:val="nil"/>
            </w:tcBorders>
          </w:tcPr>
          <w:p w14:paraId="5191CC86" w14:textId="77777777" w:rsidR="00D056A8" w:rsidRDefault="00D056A8" w:rsidP="003E10D2">
            <w:pPr>
              <w:pStyle w:val="TableParagraph"/>
              <w:rPr>
                <w:lang w:val="en-US" w:eastAsia="en-AU"/>
              </w:rPr>
            </w:pPr>
            <w:r>
              <w:rPr>
                <w:lang w:val="en-US" w:eastAsia="en-AU"/>
              </w:rPr>
              <w:t>Available privately or online</w:t>
            </w:r>
          </w:p>
        </w:tc>
      </w:tr>
      <w:tr w:rsidR="00D056A8" w14:paraId="00BCBD0B"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3AD9D500" w14:textId="77777777" w:rsidR="00D056A8" w:rsidRDefault="00D056A8" w:rsidP="003E10D2">
            <w:pPr>
              <w:pStyle w:val="TableParagraph"/>
              <w:rPr>
                <w:lang w:val="en-US" w:eastAsia="en-AU"/>
              </w:rPr>
            </w:pPr>
            <w:r w:rsidRPr="00234754">
              <w:rPr>
                <w:lang w:val="en-US" w:eastAsia="en-AU"/>
              </w:rPr>
              <w:t>Motivational interviewing</w:t>
            </w:r>
            <w:r>
              <w:rPr>
                <w:lang w:val="en-US" w:eastAsia="en-AU"/>
              </w:rPr>
              <w:t xml:space="preserve"> </w:t>
            </w:r>
            <w:r w:rsidRPr="00234754">
              <w:rPr>
                <w:lang w:val="en-US" w:eastAsia="en-AU"/>
              </w:rPr>
              <w:t>interventions</w:t>
            </w:r>
          </w:p>
        </w:tc>
        <w:tc>
          <w:tcPr>
            <w:tcW w:w="3306" w:type="dxa"/>
            <w:tcBorders>
              <w:top w:val="single" w:sz="4" w:space="0" w:color="7F7F7F" w:themeColor="text1" w:themeTint="80"/>
              <w:left w:val="nil"/>
              <w:bottom w:val="single" w:sz="4" w:space="0" w:color="7F7F7F" w:themeColor="text1" w:themeTint="80"/>
              <w:right w:val="nil"/>
            </w:tcBorders>
          </w:tcPr>
          <w:p w14:paraId="51CD325F" w14:textId="77777777" w:rsidR="00D056A8" w:rsidRDefault="00D056A8" w:rsidP="003E10D2">
            <w:pPr>
              <w:pStyle w:val="TableParagraph"/>
              <w:rPr>
                <w:lang w:val="en-US" w:eastAsia="en-AU"/>
              </w:rPr>
            </w:pPr>
            <w:r w:rsidRPr="00234754">
              <w:rPr>
                <w:lang w:val="en-US" w:eastAsia="en-AU"/>
              </w:rPr>
              <w:t>Effective</w:t>
            </w:r>
          </w:p>
        </w:tc>
        <w:tc>
          <w:tcPr>
            <w:tcW w:w="4065" w:type="dxa"/>
            <w:tcBorders>
              <w:top w:val="single" w:sz="4" w:space="0" w:color="7F7F7F" w:themeColor="text1" w:themeTint="80"/>
              <w:left w:val="nil"/>
              <w:bottom w:val="single" w:sz="4" w:space="0" w:color="7F7F7F" w:themeColor="text1" w:themeTint="80"/>
              <w:right w:val="nil"/>
            </w:tcBorders>
          </w:tcPr>
          <w:p w14:paraId="48124A64" w14:textId="77777777" w:rsidR="00D056A8" w:rsidRDefault="00D056A8" w:rsidP="003E10D2">
            <w:pPr>
              <w:pStyle w:val="TableParagraph"/>
              <w:rPr>
                <w:lang w:val="en-US" w:eastAsia="en-AU"/>
              </w:rPr>
            </w:pPr>
            <w:r>
              <w:rPr>
                <w:lang w:val="en-US" w:eastAsia="en-AU"/>
              </w:rPr>
              <w:t>Gamblers Help</w:t>
            </w:r>
          </w:p>
        </w:tc>
      </w:tr>
      <w:tr w:rsidR="00D056A8" w14:paraId="7BEE7226"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63ACF2E3" w14:textId="77777777" w:rsidR="00D056A8" w:rsidRDefault="00D056A8" w:rsidP="003E10D2">
            <w:pPr>
              <w:pStyle w:val="TableParagraph"/>
              <w:rPr>
                <w:lang w:val="en-US" w:eastAsia="en-AU"/>
              </w:rPr>
            </w:pPr>
            <w:r w:rsidRPr="00234754">
              <w:rPr>
                <w:lang w:val="en-US" w:eastAsia="en-AU"/>
              </w:rPr>
              <w:t>Brief interventions</w:t>
            </w:r>
          </w:p>
        </w:tc>
        <w:tc>
          <w:tcPr>
            <w:tcW w:w="3306" w:type="dxa"/>
            <w:tcBorders>
              <w:top w:val="single" w:sz="4" w:space="0" w:color="7F7F7F" w:themeColor="text1" w:themeTint="80"/>
              <w:left w:val="nil"/>
              <w:bottom w:val="single" w:sz="4" w:space="0" w:color="7F7F7F" w:themeColor="text1" w:themeTint="80"/>
              <w:right w:val="nil"/>
            </w:tcBorders>
          </w:tcPr>
          <w:p w14:paraId="7CEEC887" w14:textId="77777777" w:rsidR="00D056A8" w:rsidRDefault="00D056A8" w:rsidP="003E10D2">
            <w:pPr>
              <w:pStyle w:val="TableParagraph"/>
              <w:rPr>
                <w:lang w:val="en-US" w:eastAsia="en-AU"/>
              </w:rPr>
            </w:pPr>
            <w:r w:rsidRPr="00234754">
              <w:rPr>
                <w:lang w:val="en-US" w:eastAsia="en-AU"/>
              </w:rPr>
              <w:t>Small effect (particularly with an</w:t>
            </w:r>
            <w:r>
              <w:rPr>
                <w:lang w:val="en-US" w:eastAsia="en-AU"/>
              </w:rPr>
              <w:t xml:space="preserve"> </w:t>
            </w:r>
            <w:r w:rsidRPr="00234754">
              <w:rPr>
                <w:lang w:val="en-US" w:eastAsia="en-AU"/>
              </w:rPr>
              <w:t>educational element)</w:t>
            </w:r>
          </w:p>
        </w:tc>
        <w:tc>
          <w:tcPr>
            <w:tcW w:w="4065" w:type="dxa"/>
            <w:tcBorders>
              <w:top w:val="single" w:sz="4" w:space="0" w:color="7F7F7F" w:themeColor="text1" w:themeTint="80"/>
              <w:left w:val="nil"/>
              <w:bottom w:val="single" w:sz="4" w:space="0" w:color="7F7F7F" w:themeColor="text1" w:themeTint="80"/>
              <w:right w:val="nil"/>
            </w:tcBorders>
          </w:tcPr>
          <w:p w14:paraId="6F8FD515" w14:textId="77777777" w:rsidR="00D056A8" w:rsidRDefault="00D056A8" w:rsidP="003E10D2">
            <w:pPr>
              <w:pStyle w:val="TableParagraph"/>
              <w:rPr>
                <w:lang w:val="en-US" w:eastAsia="en-AU"/>
              </w:rPr>
            </w:pPr>
          </w:p>
        </w:tc>
      </w:tr>
      <w:tr w:rsidR="00D056A8" w14:paraId="4F9A9DD8"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059E0ED3" w14:textId="77777777" w:rsidR="00D056A8" w:rsidRPr="00234754" w:rsidRDefault="00D056A8" w:rsidP="003E10D2">
            <w:pPr>
              <w:pStyle w:val="TableParagraph"/>
              <w:rPr>
                <w:lang w:val="en-US" w:eastAsia="en-AU"/>
              </w:rPr>
            </w:pPr>
            <w:r w:rsidRPr="00234754">
              <w:rPr>
                <w:lang w:val="en-US" w:eastAsia="en-AU"/>
              </w:rPr>
              <w:t>Internet-based CBT</w:t>
            </w:r>
            <w:r>
              <w:rPr>
                <w:lang w:val="en-US" w:eastAsia="en-AU"/>
              </w:rPr>
              <w:t xml:space="preserve"> </w:t>
            </w:r>
            <w:r w:rsidRPr="00234754">
              <w:rPr>
                <w:lang w:val="en-US" w:eastAsia="en-AU"/>
              </w:rPr>
              <w:t>therapies</w:t>
            </w:r>
          </w:p>
        </w:tc>
        <w:tc>
          <w:tcPr>
            <w:tcW w:w="3306" w:type="dxa"/>
            <w:tcBorders>
              <w:top w:val="single" w:sz="4" w:space="0" w:color="7F7F7F" w:themeColor="text1" w:themeTint="80"/>
              <w:left w:val="nil"/>
              <w:bottom w:val="single" w:sz="4" w:space="0" w:color="7F7F7F" w:themeColor="text1" w:themeTint="80"/>
              <w:right w:val="nil"/>
            </w:tcBorders>
          </w:tcPr>
          <w:p w14:paraId="1BAB613D" w14:textId="77777777" w:rsidR="00D056A8" w:rsidRDefault="00D056A8" w:rsidP="003E10D2">
            <w:pPr>
              <w:pStyle w:val="TableParagraph"/>
              <w:rPr>
                <w:lang w:val="en-US" w:eastAsia="en-AU"/>
              </w:rPr>
            </w:pPr>
            <w:r w:rsidRPr="00234754">
              <w:rPr>
                <w:lang w:val="en-US" w:eastAsia="en-AU"/>
              </w:rPr>
              <w:t>Effective (but high rates of attrition)</w:t>
            </w:r>
          </w:p>
        </w:tc>
        <w:tc>
          <w:tcPr>
            <w:tcW w:w="4065" w:type="dxa"/>
            <w:tcBorders>
              <w:top w:val="single" w:sz="4" w:space="0" w:color="7F7F7F" w:themeColor="text1" w:themeTint="80"/>
              <w:left w:val="nil"/>
              <w:bottom w:val="single" w:sz="4" w:space="0" w:color="7F7F7F" w:themeColor="text1" w:themeTint="80"/>
              <w:right w:val="nil"/>
            </w:tcBorders>
          </w:tcPr>
          <w:p w14:paraId="18BE1790" w14:textId="77777777" w:rsidR="00D056A8" w:rsidRDefault="00D056A8" w:rsidP="003E10D2">
            <w:pPr>
              <w:pStyle w:val="TableParagraph"/>
              <w:rPr>
                <w:lang w:val="en-US" w:eastAsia="en-AU"/>
              </w:rPr>
            </w:pPr>
          </w:p>
        </w:tc>
      </w:tr>
      <w:tr w:rsidR="00D056A8" w14:paraId="4DDDD534"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79A63996" w14:textId="77777777" w:rsidR="00D056A8" w:rsidRPr="00234754" w:rsidRDefault="00D056A8" w:rsidP="003E10D2">
            <w:pPr>
              <w:pStyle w:val="TableParagraph"/>
              <w:rPr>
                <w:lang w:val="en-US" w:eastAsia="en-AU"/>
              </w:rPr>
            </w:pPr>
            <w:r w:rsidRPr="00234754">
              <w:rPr>
                <w:lang w:val="en-US" w:eastAsia="en-AU"/>
              </w:rPr>
              <w:t>Self-help interventions</w:t>
            </w:r>
          </w:p>
        </w:tc>
        <w:tc>
          <w:tcPr>
            <w:tcW w:w="3306" w:type="dxa"/>
            <w:tcBorders>
              <w:top w:val="single" w:sz="4" w:space="0" w:color="7F7F7F" w:themeColor="text1" w:themeTint="80"/>
              <w:left w:val="nil"/>
              <w:bottom w:val="single" w:sz="4" w:space="0" w:color="7F7F7F" w:themeColor="text1" w:themeTint="80"/>
              <w:right w:val="nil"/>
            </w:tcBorders>
          </w:tcPr>
          <w:p w14:paraId="78FC32B0" w14:textId="77777777" w:rsidR="00D056A8" w:rsidRDefault="00D056A8" w:rsidP="003E10D2">
            <w:pPr>
              <w:pStyle w:val="TableParagraph"/>
              <w:rPr>
                <w:lang w:val="en-US" w:eastAsia="en-AU"/>
              </w:rPr>
            </w:pPr>
            <w:r w:rsidRPr="00234754">
              <w:rPr>
                <w:lang w:val="en-US" w:eastAsia="en-AU"/>
              </w:rPr>
              <w:t>Mixed evidence due to diversity of</w:t>
            </w:r>
            <w:r>
              <w:rPr>
                <w:lang w:val="en-US" w:eastAsia="en-AU"/>
              </w:rPr>
              <w:t xml:space="preserve"> </w:t>
            </w:r>
            <w:r w:rsidRPr="00234754">
              <w:rPr>
                <w:lang w:val="en-US" w:eastAsia="en-AU"/>
              </w:rPr>
              <w:t>interventions</w:t>
            </w:r>
          </w:p>
        </w:tc>
        <w:tc>
          <w:tcPr>
            <w:tcW w:w="4065" w:type="dxa"/>
            <w:tcBorders>
              <w:top w:val="single" w:sz="4" w:space="0" w:color="7F7F7F" w:themeColor="text1" w:themeTint="80"/>
              <w:left w:val="nil"/>
              <w:bottom w:val="single" w:sz="4" w:space="0" w:color="7F7F7F" w:themeColor="text1" w:themeTint="80"/>
              <w:right w:val="nil"/>
            </w:tcBorders>
          </w:tcPr>
          <w:p w14:paraId="7E318C3C" w14:textId="506C01B9" w:rsidR="00263EB4" w:rsidRPr="00263EB4" w:rsidRDefault="00D056A8" w:rsidP="003E10D2">
            <w:pPr>
              <w:pStyle w:val="TableParagraph"/>
            </w:pPr>
            <w:r>
              <w:t xml:space="preserve">e.g. </w:t>
            </w:r>
            <w:hyperlink r:id="rId22" w:history="1">
              <w:r w:rsidRPr="00263EB4">
                <w:rPr>
                  <w:rStyle w:val="Hyperlink"/>
                  <w:rFonts w:ascii="Avenir Next" w:hAnsi="Avenir Next"/>
                </w:rPr>
                <w:t>gamblinghelponline.org.au</w:t>
              </w:r>
            </w:hyperlink>
          </w:p>
        </w:tc>
      </w:tr>
      <w:tr w:rsidR="00D056A8" w14:paraId="103FC14A" w14:textId="77777777" w:rsidTr="003E10D2">
        <w:tc>
          <w:tcPr>
            <w:tcW w:w="2694" w:type="dxa"/>
            <w:tcBorders>
              <w:top w:val="single" w:sz="4" w:space="0" w:color="7F7F7F" w:themeColor="text1" w:themeTint="80"/>
              <w:left w:val="nil"/>
              <w:bottom w:val="single" w:sz="4" w:space="0" w:color="7F7F7F" w:themeColor="text1" w:themeTint="80"/>
              <w:right w:val="nil"/>
            </w:tcBorders>
          </w:tcPr>
          <w:p w14:paraId="52490C06" w14:textId="77777777" w:rsidR="00D056A8" w:rsidRPr="00234754" w:rsidRDefault="00D056A8" w:rsidP="003E10D2">
            <w:pPr>
              <w:pStyle w:val="TableParagraph"/>
              <w:rPr>
                <w:lang w:val="en-US" w:eastAsia="en-AU"/>
              </w:rPr>
            </w:pPr>
            <w:r w:rsidRPr="001F261C">
              <w:rPr>
                <w:lang w:val="en-US" w:eastAsia="en-AU"/>
              </w:rPr>
              <w:t>Mutual support groups</w:t>
            </w:r>
            <w:r>
              <w:rPr>
                <w:lang w:val="en-US" w:eastAsia="en-AU"/>
              </w:rPr>
              <w:t xml:space="preserve"> </w:t>
            </w:r>
            <w:r w:rsidRPr="001F261C">
              <w:rPr>
                <w:lang w:val="en-US" w:eastAsia="en-AU"/>
              </w:rPr>
              <w:t>(including Gamblers</w:t>
            </w:r>
            <w:r>
              <w:rPr>
                <w:lang w:val="en-US" w:eastAsia="en-AU"/>
              </w:rPr>
              <w:t xml:space="preserve"> </w:t>
            </w:r>
            <w:r w:rsidRPr="001F261C">
              <w:rPr>
                <w:lang w:val="en-US" w:eastAsia="en-AU"/>
              </w:rPr>
              <w:t>Anonymous)</w:t>
            </w:r>
          </w:p>
        </w:tc>
        <w:tc>
          <w:tcPr>
            <w:tcW w:w="3306" w:type="dxa"/>
            <w:tcBorders>
              <w:top w:val="single" w:sz="4" w:space="0" w:color="7F7F7F" w:themeColor="text1" w:themeTint="80"/>
              <w:left w:val="nil"/>
              <w:bottom w:val="single" w:sz="4" w:space="0" w:color="7F7F7F" w:themeColor="text1" w:themeTint="80"/>
              <w:right w:val="nil"/>
            </w:tcBorders>
          </w:tcPr>
          <w:p w14:paraId="575F1DBE" w14:textId="77777777" w:rsidR="00D056A8" w:rsidRDefault="00D056A8" w:rsidP="003E10D2">
            <w:pPr>
              <w:pStyle w:val="TableParagraph"/>
              <w:rPr>
                <w:lang w:val="en-US" w:eastAsia="en-AU"/>
              </w:rPr>
            </w:pPr>
            <w:r w:rsidRPr="001F261C">
              <w:rPr>
                <w:lang w:val="en-US" w:eastAsia="en-AU"/>
              </w:rPr>
              <w:t>Small effect</w:t>
            </w:r>
          </w:p>
        </w:tc>
        <w:tc>
          <w:tcPr>
            <w:tcW w:w="4065" w:type="dxa"/>
            <w:tcBorders>
              <w:top w:val="single" w:sz="4" w:space="0" w:color="7F7F7F" w:themeColor="text1" w:themeTint="80"/>
              <w:left w:val="nil"/>
              <w:bottom w:val="single" w:sz="4" w:space="0" w:color="7F7F7F" w:themeColor="text1" w:themeTint="80"/>
              <w:right w:val="nil"/>
            </w:tcBorders>
          </w:tcPr>
          <w:p w14:paraId="7704DA83" w14:textId="483C0CD9" w:rsidR="00D056A8" w:rsidRDefault="00D056A8" w:rsidP="003E10D2">
            <w:pPr>
              <w:pStyle w:val="TableParagraph"/>
              <w:rPr>
                <w:lang w:val="en-US" w:eastAsia="en-AU"/>
              </w:rPr>
            </w:pPr>
            <w:r w:rsidRPr="000C29DC">
              <w:rPr>
                <w:lang w:val="en-US" w:eastAsia="en-AU"/>
              </w:rPr>
              <w:t>SMART recovery group meetings in Launceston, Hobart and Glenorchy. Online meetings are also available</w:t>
            </w:r>
          </w:p>
        </w:tc>
      </w:tr>
      <w:tr w:rsidR="00D056A8" w14:paraId="145CD808" w14:textId="77777777" w:rsidTr="003E10D2">
        <w:tc>
          <w:tcPr>
            <w:tcW w:w="2694" w:type="dxa"/>
            <w:tcBorders>
              <w:top w:val="single" w:sz="4" w:space="0" w:color="7F7F7F" w:themeColor="text1" w:themeTint="80"/>
              <w:left w:val="nil"/>
              <w:bottom w:val="single" w:sz="4" w:space="0" w:color="767171" w:themeColor="background2" w:themeShade="80"/>
              <w:right w:val="nil"/>
            </w:tcBorders>
          </w:tcPr>
          <w:p w14:paraId="78E6E45C" w14:textId="77777777" w:rsidR="00D056A8" w:rsidRPr="00234754" w:rsidRDefault="00D056A8" w:rsidP="003E10D2">
            <w:pPr>
              <w:pStyle w:val="TableParagraph"/>
              <w:rPr>
                <w:lang w:val="en-US" w:eastAsia="en-AU"/>
              </w:rPr>
            </w:pPr>
            <w:r w:rsidRPr="001F261C">
              <w:rPr>
                <w:lang w:val="en-US" w:eastAsia="en-AU"/>
              </w:rPr>
              <w:t>Pharmacological</w:t>
            </w:r>
            <w:r>
              <w:rPr>
                <w:lang w:val="en-US" w:eastAsia="en-AU"/>
              </w:rPr>
              <w:t xml:space="preserve"> </w:t>
            </w:r>
            <w:r w:rsidRPr="001F261C">
              <w:rPr>
                <w:lang w:val="en-US" w:eastAsia="en-AU"/>
              </w:rPr>
              <w:t>interventions</w:t>
            </w:r>
            <w:r>
              <w:rPr>
                <w:lang w:val="en-US" w:eastAsia="en-AU"/>
              </w:rPr>
              <w:tab/>
            </w:r>
          </w:p>
        </w:tc>
        <w:tc>
          <w:tcPr>
            <w:tcW w:w="3306" w:type="dxa"/>
            <w:tcBorders>
              <w:top w:val="single" w:sz="4" w:space="0" w:color="7F7F7F" w:themeColor="text1" w:themeTint="80"/>
              <w:left w:val="nil"/>
              <w:bottom w:val="single" w:sz="4" w:space="0" w:color="767171" w:themeColor="background2" w:themeShade="80"/>
              <w:right w:val="nil"/>
            </w:tcBorders>
          </w:tcPr>
          <w:p w14:paraId="4CD38B44" w14:textId="77777777" w:rsidR="00D056A8" w:rsidRDefault="00D056A8" w:rsidP="003E10D2">
            <w:pPr>
              <w:pStyle w:val="TableParagraph"/>
              <w:rPr>
                <w:lang w:val="en-US" w:eastAsia="en-AU"/>
              </w:rPr>
            </w:pPr>
            <w:r w:rsidRPr="001F261C">
              <w:rPr>
                <w:lang w:val="en-US" w:eastAsia="en-AU"/>
              </w:rPr>
              <w:t>No conclusive evidence and no evidence to</w:t>
            </w:r>
            <w:r>
              <w:rPr>
                <w:lang w:val="en-US" w:eastAsia="en-AU"/>
              </w:rPr>
              <w:t xml:space="preserve"> </w:t>
            </w:r>
            <w:r w:rsidRPr="001F261C">
              <w:rPr>
                <w:lang w:val="en-US" w:eastAsia="en-AU"/>
              </w:rPr>
              <w:t>recommend a specific drug treatment</w:t>
            </w:r>
          </w:p>
        </w:tc>
        <w:tc>
          <w:tcPr>
            <w:tcW w:w="4065" w:type="dxa"/>
            <w:tcBorders>
              <w:top w:val="single" w:sz="4" w:space="0" w:color="7F7F7F" w:themeColor="text1" w:themeTint="80"/>
              <w:left w:val="nil"/>
              <w:bottom w:val="single" w:sz="4" w:space="0" w:color="767171" w:themeColor="background2" w:themeShade="80"/>
              <w:right w:val="nil"/>
            </w:tcBorders>
          </w:tcPr>
          <w:p w14:paraId="6A9294A1" w14:textId="77777777" w:rsidR="00D056A8" w:rsidRDefault="00D056A8" w:rsidP="003E10D2">
            <w:pPr>
              <w:pStyle w:val="TableParagraph"/>
              <w:rPr>
                <w:lang w:val="en-US" w:eastAsia="en-AU"/>
              </w:rPr>
            </w:pPr>
          </w:p>
        </w:tc>
      </w:tr>
    </w:tbl>
    <w:bookmarkEnd w:id="12"/>
    <w:p w14:paraId="48D861D4" w14:textId="2849C916" w:rsidR="00D056A8" w:rsidRDefault="00D056A8" w:rsidP="003E10D2">
      <w:pPr>
        <w:pStyle w:val="BodyText"/>
        <w:rPr>
          <w:lang w:val="en-US" w:eastAsia="en-AU"/>
        </w:rPr>
      </w:pPr>
      <w:r w:rsidRPr="00960913">
        <w:rPr>
          <w:lang w:val="en-US" w:eastAsia="en-AU"/>
        </w:rPr>
        <w:t xml:space="preserve">ATMs=automatic teller machines </w:t>
      </w:r>
    </w:p>
    <w:p w14:paraId="302DE153" w14:textId="31B42117" w:rsidR="00D056A8" w:rsidRDefault="00D056A8" w:rsidP="003E10D2">
      <w:pPr>
        <w:pStyle w:val="BodyText"/>
        <w:rPr>
          <w:lang w:val="en-US" w:eastAsia="en-AU"/>
        </w:rPr>
      </w:pPr>
      <w:r w:rsidRPr="00960913">
        <w:rPr>
          <w:lang w:val="en-US" w:eastAsia="en-AU"/>
        </w:rPr>
        <w:t xml:space="preserve">CBT=cognitive behavioural therapy </w:t>
      </w:r>
    </w:p>
    <w:p w14:paraId="6B2A08CA" w14:textId="66664FDC" w:rsidR="00D056A8" w:rsidRPr="003C05D5" w:rsidRDefault="00D056A8" w:rsidP="003E10D2">
      <w:pPr>
        <w:pStyle w:val="BodyText"/>
        <w:rPr>
          <w:lang w:val="en-US"/>
        </w:rPr>
      </w:pPr>
      <w:r w:rsidRPr="00960913">
        <w:rPr>
          <w:lang w:val="en-US" w:eastAsia="en-AU"/>
        </w:rPr>
        <w:t>EGMs=electronic gambling machines</w:t>
      </w:r>
    </w:p>
    <w:p w14:paraId="05197DD5" w14:textId="77777777" w:rsidR="00D056A8" w:rsidRDefault="00D056A8" w:rsidP="003E10D2">
      <w:pPr>
        <w:spacing w:before="0" w:after="0"/>
      </w:pPr>
    </w:p>
    <w:p w14:paraId="3DFD132B" w14:textId="77777777" w:rsidR="00D056A8" w:rsidRDefault="00D056A8" w:rsidP="003E10D2">
      <w:pPr>
        <w:spacing w:before="0" w:after="0"/>
        <w:rPr>
          <w:rFonts w:ascii="Avenir Next Demi Bold" w:eastAsia="AvenirNextLTPro-Demi" w:hAnsi="Avenir Next Demi Bold" w:cs="AvenirNextLTPro-Demi"/>
          <w:b/>
          <w:color w:val="248EB9"/>
          <w:spacing w:val="-6"/>
          <w:sz w:val="36"/>
          <w:szCs w:val="36"/>
          <w:lang w:val="en-US" w:eastAsia="en-AU"/>
        </w:rPr>
      </w:pPr>
      <w:r>
        <w:t>Note that the description of a measure as effective means that the measure is effective in achieving what it aims to do and potentially can contribute to reducing gambling harm. It does not mean that the measure meets the policy objectives.</w:t>
      </w:r>
      <w:r>
        <w:br w:type="page"/>
      </w:r>
    </w:p>
    <w:p w14:paraId="30D53AB4" w14:textId="77777777" w:rsidR="00D056A8" w:rsidRDefault="00D056A8" w:rsidP="003E10D2">
      <w:pPr>
        <w:pStyle w:val="Heading2"/>
      </w:pPr>
      <w:bookmarkStart w:id="14" w:name="_Toc183776885"/>
      <w:bookmarkStart w:id="15" w:name="_Toc184302764"/>
      <w:r>
        <w:lastRenderedPageBreak/>
        <w:t>Effective options</w:t>
      </w:r>
      <w:bookmarkEnd w:id="14"/>
      <w:bookmarkEnd w:id="15"/>
    </w:p>
    <w:p w14:paraId="7F39DC4F" w14:textId="77777777" w:rsidR="00D056A8" w:rsidRDefault="00D056A8" w:rsidP="003E10D2">
      <w:pPr>
        <w:pStyle w:val="Heading3"/>
      </w:pPr>
      <w:bookmarkStart w:id="16" w:name="_Toc183776886"/>
      <w:bookmarkStart w:id="17" w:name="_Toc184302765"/>
      <w:r>
        <w:t>A mandatory pre-commitment card</w:t>
      </w:r>
      <w:bookmarkEnd w:id="16"/>
      <w:bookmarkEnd w:id="17"/>
    </w:p>
    <w:p w14:paraId="69C5C97E" w14:textId="77777777" w:rsidR="00D056A8" w:rsidRDefault="00D056A8" w:rsidP="003E10D2">
      <w:pPr>
        <w:pStyle w:val="BodyText"/>
        <w:rPr>
          <w:lang w:val="en-US" w:eastAsia="en-AU"/>
        </w:rPr>
      </w:pPr>
      <w:r>
        <w:rPr>
          <w:lang w:val="en-US" w:eastAsia="en-AU"/>
        </w:rPr>
        <w:t>The proposed mandatory pre-commitment card would enable a range of effective harm minimisation measures to be implemented including:</w:t>
      </w:r>
    </w:p>
    <w:p w14:paraId="63CFDE48" w14:textId="77777777" w:rsidR="00D056A8" w:rsidRDefault="00D056A8" w:rsidP="003E10D2">
      <w:pPr>
        <w:pStyle w:val="ListParagraph"/>
      </w:pPr>
      <w:r>
        <w:t>mandatory limit setting</w:t>
      </w:r>
    </w:p>
    <w:p w14:paraId="388F657F" w14:textId="77777777" w:rsidR="00D056A8" w:rsidRDefault="00D056A8" w:rsidP="003E10D2">
      <w:pPr>
        <w:pStyle w:val="ListParagraph"/>
      </w:pPr>
      <w:r>
        <w:t>interventions based on player-tracking including:</w:t>
      </w:r>
    </w:p>
    <w:p w14:paraId="70357DD8" w14:textId="5A8AEE52" w:rsidR="00D056A8" w:rsidRDefault="00D056A8" w:rsidP="003E10D2">
      <w:pPr>
        <w:pStyle w:val="ListParagraph"/>
        <w:numPr>
          <w:ilvl w:val="1"/>
          <w:numId w:val="5"/>
        </w:numPr>
      </w:pPr>
      <w:r>
        <w:t>expenditure/loss limits</w:t>
      </w:r>
    </w:p>
    <w:p w14:paraId="4F29B6F6" w14:textId="77777777" w:rsidR="00D056A8" w:rsidRDefault="00D056A8" w:rsidP="003E10D2">
      <w:pPr>
        <w:pStyle w:val="ListParagraph"/>
        <w:numPr>
          <w:ilvl w:val="1"/>
          <w:numId w:val="5"/>
        </w:numPr>
      </w:pPr>
      <w:r>
        <w:t>self-exclusion</w:t>
      </w:r>
    </w:p>
    <w:p w14:paraId="0E5CE000" w14:textId="77777777" w:rsidR="00D056A8" w:rsidRPr="00F40E6F" w:rsidRDefault="00D056A8" w:rsidP="003E10D2">
      <w:pPr>
        <w:pStyle w:val="ListParagraph"/>
        <w:numPr>
          <w:ilvl w:val="1"/>
          <w:numId w:val="5"/>
        </w:numPr>
      </w:pPr>
      <w:r>
        <w:t>age-verification</w:t>
      </w:r>
    </w:p>
    <w:p w14:paraId="1C0A114E" w14:textId="77777777" w:rsidR="00D056A8" w:rsidRDefault="00D056A8" w:rsidP="003E10D2">
      <w:pPr>
        <w:pStyle w:val="ListParagraph"/>
      </w:pPr>
      <w:r>
        <w:t>interactive and personalised messaging (including activity statements)</w:t>
      </w:r>
    </w:p>
    <w:p w14:paraId="4946A4BE" w14:textId="77777777" w:rsidR="00D056A8" w:rsidRPr="007F4F26" w:rsidRDefault="00D056A8" w:rsidP="003E10D2">
      <w:pPr>
        <w:pStyle w:val="ListParagraph"/>
      </w:pPr>
      <w:r>
        <w:t>mandatory breaks in play.</w:t>
      </w:r>
    </w:p>
    <w:p w14:paraId="362AEAD6" w14:textId="77777777" w:rsidR="00D056A8" w:rsidRDefault="00D056A8" w:rsidP="003E10D2">
      <w:pPr>
        <w:pStyle w:val="BodyText"/>
        <w:rPr>
          <w:lang w:val="en-US" w:eastAsia="en-AU"/>
        </w:rPr>
      </w:pPr>
      <w:r w:rsidRPr="00C06C4C">
        <w:rPr>
          <w:lang w:val="en-US" w:eastAsia="en-AU"/>
        </w:rPr>
        <w:t>Player-tracking monitor</w:t>
      </w:r>
      <w:r>
        <w:rPr>
          <w:lang w:val="en-US" w:eastAsia="en-AU"/>
        </w:rPr>
        <w:t>s</w:t>
      </w:r>
      <w:r w:rsidRPr="00C06C4C">
        <w:rPr>
          <w:lang w:val="en-US" w:eastAsia="en-AU"/>
        </w:rPr>
        <w:t xml:space="preserve"> a gambler's activity across multiple sessions and/or operators, providing a clearer picture of the person's risk of harm and enabling harm reduction efforts</w:t>
      </w:r>
      <w:r>
        <w:rPr>
          <w:lang w:val="en-US" w:eastAsia="en-AU"/>
        </w:rPr>
        <w:t xml:space="preserve"> </w:t>
      </w:r>
      <w:r>
        <w:rPr>
          <w:noProof/>
          <w:lang w:val="en-US" w:eastAsia="en-AU"/>
        </w:rPr>
        <w:t>(Newall and Swanton 2024)</w:t>
      </w:r>
      <w:r w:rsidRPr="00C06C4C">
        <w:rPr>
          <w:lang w:val="en-US" w:eastAsia="en-AU"/>
        </w:rPr>
        <w:t xml:space="preserve">. </w:t>
      </w:r>
      <w:r>
        <w:rPr>
          <w:lang w:val="en-US" w:eastAsia="en-AU"/>
        </w:rPr>
        <w:t>In addition to enabling direct harm minimisation measures such as loss limits, player-tracking can reduce harm by:</w:t>
      </w:r>
    </w:p>
    <w:p w14:paraId="277FD71B" w14:textId="77777777" w:rsidR="00D056A8" w:rsidRDefault="00D056A8" w:rsidP="003E10D2">
      <w:pPr>
        <w:pStyle w:val="ListParagraph"/>
      </w:pPr>
      <w:r>
        <w:t>enabling better understanding of gambling behaviour through collection of de-identified data</w:t>
      </w:r>
    </w:p>
    <w:p w14:paraId="6E6BE599" w14:textId="77777777" w:rsidR="00D056A8" w:rsidRPr="0068096E" w:rsidRDefault="00D056A8" w:rsidP="003E10D2">
      <w:pPr>
        <w:pStyle w:val="ListParagraph"/>
      </w:pPr>
      <w:r>
        <w:t>providing</w:t>
      </w:r>
      <w:r w:rsidRPr="0068096E">
        <w:t xml:space="preserve"> a platform to evaluate harm reduction measures </w:t>
      </w:r>
      <w:r>
        <w:t>through ‘gold-standard</w:t>
      </w:r>
      <w:r w:rsidRPr="0068096E">
        <w:t xml:space="preserve"> field trials</w:t>
      </w:r>
      <w:r>
        <w:t xml:space="preserve">’ </w:t>
      </w:r>
      <w:r>
        <w:rPr>
          <w:noProof/>
        </w:rPr>
        <w:t>(Newall and Swanton 2024)</w:t>
      </w:r>
      <w:r>
        <w:t>.</w:t>
      </w:r>
    </w:p>
    <w:p w14:paraId="3C5400AA" w14:textId="77777777" w:rsidR="00D056A8" w:rsidRDefault="00D056A8" w:rsidP="003E10D2">
      <w:pPr>
        <w:pStyle w:val="BodyText"/>
        <w:rPr>
          <w:lang w:val="en-US" w:eastAsia="en-AU"/>
        </w:rPr>
      </w:pPr>
      <w:r>
        <w:rPr>
          <w:lang w:val="en-US" w:eastAsia="en-AU"/>
        </w:rPr>
        <w:t>Most of these measures are selective and targeted with minimal impact on the experience of EGM users who are not at-risk. The card is not a blunt instrument.</w:t>
      </w:r>
    </w:p>
    <w:p w14:paraId="7DAA4AC0" w14:textId="77777777" w:rsidR="00D056A8" w:rsidRPr="008263E5" w:rsidRDefault="00D056A8" w:rsidP="008263E5">
      <w:pPr>
        <w:pStyle w:val="Heading3"/>
      </w:pPr>
      <w:bookmarkStart w:id="18" w:name="_Toc183776887"/>
      <w:bookmarkStart w:id="19" w:name="_Toc184302766"/>
      <w:r w:rsidRPr="008263E5">
        <w:t>Other effective options</w:t>
      </w:r>
      <w:bookmarkEnd w:id="18"/>
      <w:bookmarkEnd w:id="19"/>
    </w:p>
    <w:p w14:paraId="0902B585" w14:textId="77777777" w:rsidR="00D056A8" w:rsidRDefault="00D056A8" w:rsidP="003E10D2">
      <w:pPr>
        <w:pStyle w:val="BodyText"/>
        <w:rPr>
          <w:lang w:val="en-US" w:eastAsia="en-AU"/>
        </w:rPr>
      </w:pPr>
      <w:r>
        <w:rPr>
          <w:lang w:val="en-US" w:eastAsia="en-AU"/>
        </w:rPr>
        <w:t>In the absence of the mandatory pre-commitment card, other effective options for consideration are:</w:t>
      </w:r>
    </w:p>
    <w:p w14:paraId="47FA55E8" w14:textId="1EE5B102" w:rsidR="00D056A8" w:rsidRDefault="00D056A8" w:rsidP="003E10D2">
      <w:pPr>
        <w:pStyle w:val="ListParagraph"/>
      </w:pPr>
      <w:r>
        <w:t>s</w:t>
      </w:r>
      <w:r w:rsidRPr="0066727B">
        <w:t xml:space="preserve">ituating venues away from at-risk populations </w:t>
      </w:r>
      <w:r>
        <w:t>(e</w:t>
      </w:r>
      <w:r w:rsidR="00263EB4">
        <w:t>.</w:t>
      </w:r>
      <w:r>
        <w:t>g. confine EGMs to casinos)</w:t>
      </w:r>
    </w:p>
    <w:p w14:paraId="69BE6DA9" w14:textId="2CF6BF67" w:rsidR="00D056A8" w:rsidRDefault="00D056A8" w:rsidP="003E10D2">
      <w:pPr>
        <w:pStyle w:val="ListParagraph"/>
      </w:pPr>
      <w:r>
        <w:t>l</w:t>
      </w:r>
      <w:r w:rsidRPr="004C1DB8">
        <w:t>imiting speed and intensity of products</w:t>
      </w:r>
      <w:r>
        <w:t xml:space="preserve"> </w:t>
      </w:r>
    </w:p>
    <w:p w14:paraId="4981D811" w14:textId="11199BC7" w:rsidR="00D056A8" w:rsidRDefault="00D056A8" w:rsidP="003E10D2">
      <w:pPr>
        <w:pStyle w:val="ListParagraph"/>
      </w:pPr>
      <w:r>
        <w:t>l</w:t>
      </w:r>
      <w:r w:rsidRPr="004C1DB8">
        <w:t>imiting bet sizes</w:t>
      </w:r>
    </w:p>
    <w:p w14:paraId="154ADEB1" w14:textId="1E79CE1A" w:rsidR="00D056A8" w:rsidRDefault="00D056A8" w:rsidP="003E10D2">
      <w:pPr>
        <w:pStyle w:val="ListParagraph"/>
      </w:pPr>
      <w:r>
        <w:t>p</w:t>
      </w:r>
      <w:r w:rsidRPr="00F807CD">
        <w:t>op-ups or other interactive warnings</w:t>
      </w:r>
      <w:r>
        <w:t>.</w:t>
      </w:r>
    </w:p>
    <w:p w14:paraId="744DEFF5" w14:textId="77777777" w:rsidR="00D056A8" w:rsidRDefault="00D056A8" w:rsidP="003E10D2">
      <w:pPr>
        <w:pStyle w:val="BodyText"/>
      </w:pPr>
      <w:r>
        <w:t xml:space="preserve">These options are briefly discussed below. </w:t>
      </w:r>
    </w:p>
    <w:p w14:paraId="6CFB8B07" w14:textId="77777777" w:rsidR="00D056A8" w:rsidRPr="008263E5" w:rsidRDefault="00D056A8" w:rsidP="008263E5">
      <w:pPr>
        <w:pStyle w:val="Heading4"/>
      </w:pPr>
      <w:bookmarkStart w:id="20" w:name="_Toc183776888"/>
      <w:bookmarkStart w:id="21" w:name="_Toc184302767"/>
      <w:r w:rsidRPr="008263E5">
        <w:t>Confine EGMs to casinos</w:t>
      </w:r>
      <w:bookmarkEnd w:id="20"/>
      <w:bookmarkEnd w:id="21"/>
    </w:p>
    <w:p w14:paraId="091183A8" w14:textId="77777777" w:rsidR="00D056A8" w:rsidRDefault="00D056A8" w:rsidP="008263E5">
      <w:pPr>
        <w:pStyle w:val="Heading5"/>
      </w:pPr>
      <w:r>
        <w:t>Impact on EGM users</w:t>
      </w:r>
    </w:p>
    <w:p w14:paraId="7FF47E19" w14:textId="77777777" w:rsidR="00D056A8" w:rsidRDefault="00D056A8" w:rsidP="003E10D2">
      <w:pPr>
        <w:pStyle w:val="BodyText"/>
        <w:rPr>
          <w:lang w:val="en-US" w:eastAsia="en-AU"/>
        </w:rPr>
      </w:pPr>
      <w:r>
        <w:rPr>
          <w:lang w:val="en-US" w:eastAsia="en-AU"/>
        </w:rPr>
        <w:t xml:space="preserve">This measure reduces availability and accessibility of EGMs, particularly in socioeconomically disadvantaged communities where gambling harm is more frequent </w:t>
      </w:r>
      <w:r>
        <w:rPr>
          <w:noProof/>
          <w:lang w:val="en-US" w:eastAsia="en-AU"/>
        </w:rPr>
        <w:t>(Badji et al. 2021)</w:t>
      </w:r>
      <w:r>
        <w:rPr>
          <w:lang w:val="en-US" w:eastAsia="en-AU"/>
        </w:rPr>
        <w:t>. EGMs remain available in casinos where they are subject to card-based play with mandatory pre-commitment.</w:t>
      </w:r>
    </w:p>
    <w:p w14:paraId="61967C84" w14:textId="77777777" w:rsidR="00D056A8" w:rsidRDefault="00D056A8" w:rsidP="003E10D2">
      <w:pPr>
        <w:pStyle w:val="BodyText"/>
        <w:rPr>
          <w:lang w:val="en-US" w:eastAsia="en-AU"/>
        </w:rPr>
      </w:pPr>
      <w:r>
        <w:rPr>
          <w:lang w:val="en-US" w:eastAsia="en-AU"/>
        </w:rPr>
        <w:t xml:space="preserve">This option also restricts access to EGM for users who are not at risk of harm and do not live near a casino. </w:t>
      </w:r>
    </w:p>
    <w:p w14:paraId="6533C278" w14:textId="77777777" w:rsidR="00D056A8" w:rsidRDefault="00D056A8" w:rsidP="008263E5">
      <w:pPr>
        <w:pStyle w:val="Heading5"/>
      </w:pPr>
      <w:r>
        <w:t>Impact on venues</w:t>
      </w:r>
    </w:p>
    <w:p w14:paraId="0DB872BA" w14:textId="77777777" w:rsidR="00D056A8" w:rsidRDefault="00D056A8" w:rsidP="003E10D2">
      <w:pPr>
        <w:pStyle w:val="BodyText"/>
        <w:rPr>
          <w:lang w:val="en-US" w:eastAsia="en-AU"/>
        </w:rPr>
      </w:pPr>
      <w:r>
        <w:rPr>
          <w:lang w:val="en-US" w:eastAsia="en-AU"/>
        </w:rPr>
        <w:t xml:space="preserve">Hotels and clubs with EGMs would lose the revenue from EGMs and may also lose revenue in other </w:t>
      </w:r>
      <w:r>
        <w:rPr>
          <w:lang w:val="en-US" w:eastAsia="en-AU"/>
        </w:rPr>
        <w:lastRenderedPageBreak/>
        <w:t xml:space="preserve">parts of their business from patrons who choose the venue because it has EGMs. </w:t>
      </w:r>
    </w:p>
    <w:p w14:paraId="78160A15" w14:textId="77777777" w:rsidR="00D056A8" w:rsidRDefault="00D056A8" w:rsidP="003E10D2">
      <w:pPr>
        <w:pStyle w:val="BodyText"/>
        <w:rPr>
          <w:lang w:val="en-US" w:eastAsia="en-AU"/>
        </w:rPr>
      </w:pPr>
      <w:r>
        <w:rPr>
          <w:lang w:val="en-US" w:eastAsia="en-AU"/>
        </w:rPr>
        <w:t xml:space="preserve">The 78% of venues operating without EGMs provide evidence that EGMs are not essential to business viability. However, individual businesses that currently have EGMs will experience a negative impact, proportionate to their business model’s reliance on EGM revenue </w:t>
      </w:r>
    </w:p>
    <w:p w14:paraId="008DB088" w14:textId="77777777" w:rsidR="00D056A8" w:rsidRDefault="00D056A8" w:rsidP="008263E5">
      <w:pPr>
        <w:pStyle w:val="Heading5"/>
      </w:pPr>
      <w:r>
        <w:t>Impact on gambling harm</w:t>
      </w:r>
    </w:p>
    <w:p w14:paraId="56BA1045" w14:textId="77777777" w:rsidR="00D056A8" w:rsidRDefault="00D056A8" w:rsidP="003E10D2">
      <w:pPr>
        <w:pStyle w:val="BodyText"/>
        <w:rPr>
          <w:lang w:val="en-US" w:eastAsia="en-AU"/>
        </w:rPr>
      </w:pPr>
      <w:r>
        <w:rPr>
          <w:lang w:val="en-US" w:eastAsia="en-AU"/>
        </w:rPr>
        <w:t xml:space="preserve">Research evidence indicates that this option would reduce gambling harm and is likely to reduce financial hardship and mental ill-health </w:t>
      </w:r>
      <w:r>
        <w:rPr>
          <w:noProof/>
          <w:lang w:val="en-US" w:eastAsia="en-AU"/>
        </w:rPr>
        <w:t>(Badji et al. 2021)</w:t>
      </w:r>
      <w:r>
        <w:rPr>
          <w:lang w:val="en-US" w:eastAsia="en-AU"/>
        </w:rPr>
        <w:t xml:space="preserve">. Research also suggests that removing EGMs from hotels and clubs may increase the overall hedonic wellbeing (the state of ‘feeling good’) of people who live close to venues that currently have EGMs </w:t>
      </w:r>
      <w:r>
        <w:rPr>
          <w:noProof/>
          <w:lang w:val="en-US" w:eastAsia="en-AU"/>
        </w:rPr>
        <w:t>(Badji et al. 2021)</w:t>
      </w:r>
      <w:r>
        <w:rPr>
          <w:lang w:val="en-US" w:eastAsia="en-AU"/>
        </w:rPr>
        <w:t xml:space="preserve">. </w:t>
      </w:r>
    </w:p>
    <w:p w14:paraId="3B0F101E" w14:textId="41E486C0" w:rsidR="00D056A8" w:rsidRDefault="00D056A8" w:rsidP="003E10D2">
      <w:pPr>
        <w:pStyle w:val="BodyText"/>
        <w:rPr>
          <w:lang w:val="en-US" w:eastAsia="en-AU"/>
        </w:rPr>
      </w:pPr>
      <w:r>
        <w:rPr>
          <w:lang w:val="en-US" w:eastAsia="en-AU"/>
        </w:rPr>
        <w:t>Based on Anglicare data it is estimated that significant harm per $1 of losses would be 50% lower. Adding the impacts of reduced total EGM losses, gambling-related harm is likely to be reduced by more than 50% compared to the status quo.</w:t>
      </w:r>
    </w:p>
    <w:p w14:paraId="4BEA272A" w14:textId="77777777" w:rsidR="00D056A8" w:rsidRPr="004C2F0F" w:rsidRDefault="00D056A8" w:rsidP="003E10D2">
      <w:pPr>
        <w:pStyle w:val="BodyText"/>
        <w:rPr>
          <w:b/>
          <w:lang w:val="en-US" w:eastAsia="en-AU"/>
        </w:rPr>
      </w:pPr>
      <w:r w:rsidRPr="004C2F0F">
        <w:rPr>
          <w:b/>
          <w:lang w:val="en-US" w:eastAsia="en-AU"/>
        </w:rPr>
        <w:t xml:space="preserve">This is the only option likely to deliver harm reduction comparable to the proposed card. </w:t>
      </w:r>
    </w:p>
    <w:p w14:paraId="70ED4F0C" w14:textId="77777777" w:rsidR="00D056A8" w:rsidRDefault="00D056A8" w:rsidP="008263E5">
      <w:pPr>
        <w:pStyle w:val="Heading4"/>
      </w:pPr>
      <w:bookmarkStart w:id="22" w:name="_Toc183776889"/>
      <w:bookmarkStart w:id="23" w:name="_Toc184302768"/>
      <w:r>
        <w:t>Limiting speed and intensity of products and limiting bet sizes</w:t>
      </w:r>
      <w:bookmarkEnd w:id="22"/>
      <w:bookmarkEnd w:id="23"/>
    </w:p>
    <w:p w14:paraId="5AFE6290" w14:textId="77777777" w:rsidR="00D056A8" w:rsidRDefault="00D056A8" w:rsidP="003E10D2">
      <w:pPr>
        <w:pStyle w:val="BodyText"/>
      </w:pPr>
      <w:r>
        <w:t xml:space="preserve">The </w:t>
      </w:r>
      <w:hyperlink r:id="rId23" w:history="1">
        <w:r w:rsidRPr="00312D60">
          <w:rPr>
            <w:rStyle w:val="Hyperlink"/>
          </w:rPr>
          <w:t>2024 Tasmanian State Election Joint Statement on Poker Machines in Tasmania</w:t>
        </w:r>
      </w:hyperlink>
      <w:r>
        <w:t xml:space="preserve"> signed by 24 advocates for harm reduction (including Anglicare Tasmania) recommended introducing safer machine design features, including:</w:t>
      </w:r>
    </w:p>
    <w:p w14:paraId="6C181B08" w14:textId="77777777" w:rsidR="00D056A8" w:rsidRDefault="00D056A8" w:rsidP="003E10D2">
      <w:pPr>
        <w:pStyle w:val="ListParagraph"/>
      </w:pPr>
      <w:r>
        <w:t>$1 bet limits</w:t>
      </w:r>
    </w:p>
    <w:p w14:paraId="73D1F13F" w14:textId="77123C47" w:rsidR="00D056A8" w:rsidRDefault="00D056A8" w:rsidP="003E10D2">
      <w:pPr>
        <w:pStyle w:val="ListParagraph"/>
      </w:pPr>
      <w:r>
        <w:t>slower spin speeds (six seconds)</w:t>
      </w:r>
    </w:p>
    <w:p w14:paraId="5820FB17" w14:textId="119F6968" w:rsidR="00D056A8" w:rsidRDefault="00D056A8" w:rsidP="003E10D2">
      <w:pPr>
        <w:pStyle w:val="ListParagraph"/>
      </w:pPr>
      <w:r>
        <w:t>prohibiting ‘losses disguised as wins’</w:t>
      </w:r>
    </w:p>
    <w:p w14:paraId="044D8F47" w14:textId="2B9B66C4" w:rsidR="00D056A8" w:rsidRDefault="00D056A8" w:rsidP="003E10D2">
      <w:pPr>
        <w:pStyle w:val="ListParagraph"/>
      </w:pPr>
      <w:r>
        <w:t>smaller jackpots</w:t>
      </w:r>
    </w:p>
    <w:p w14:paraId="2E7E5C2E" w14:textId="03C23896" w:rsidR="00D056A8" w:rsidRDefault="00D056A8" w:rsidP="003E10D2">
      <w:pPr>
        <w:pStyle w:val="ListParagraph"/>
      </w:pPr>
      <w:r>
        <w:t>higher return to player</w:t>
      </w:r>
    </w:p>
    <w:p w14:paraId="40A30BD4" w14:textId="4D017BA1" w:rsidR="00D056A8" w:rsidRDefault="00D056A8" w:rsidP="003E10D2">
      <w:pPr>
        <w:pStyle w:val="ListParagraph"/>
      </w:pPr>
      <w:r>
        <w:t>reduced opening hours for poker machine venues.</w:t>
      </w:r>
    </w:p>
    <w:p w14:paraId="4A09A9EB" w14:textId="77777777" w:rsidR="00D056A8" w:rsidRDefault="00D056A8" w:rsidP="003E10D2">
      <w:pPr>
        <w:pStyle w:val="BodyText"/>
      </w:pPr>
      <w:r>
        <w:t xml:space="preserve">These measures seek to directly counter the impacts of some of the features of EGMs that increase the risk of harm. </w:t>
      </w:r>
    </w:p>
    <w:p w14:paraId="6FC87768" w14:textId="77777777" w:rsidR="00D056A8" w:rsidRDefault="00D056A8" w:rsidP="003E10D2">
      <w:pPr>
        <w:pStyle w:val="BodyText"/>
      </w:pPr>
      <w:r>
        <w:t xml:space="preserve">An additional recommendation is to introduce mandatory breaks in play by </w:t>
      </w:r>
      <w:r>
        <w:rPr>
          <w:lang w:val="en-US" w:eastAsia="en-AU"/>
        </w:rPr>
        <w:t>programming machines to pause play for 10 minutes after 2 hours of continuous play.</w:t>
      </w:r>
      <w:r>
        <w:t xml:space="preserve"> </w:t>
      </w:r>
      <w:r>
        <w:rPr>
          <w:lang w:val="en-US" w:eastAsia="en-AU"/>
        </w:rPr>
        <w:t>During the break, a session activity statement should be displayed (see below) and the user must opt-in at the end of the break to continue play.</w:t>
      </w:r>
    </w:p>
    <w:p w14:paraId="7899C537" w14:textId="77777777" w:rsidR="00D056A8" w:rsidRDefault="00D056A8" w:rsidP="003E10D2">
      <w:pPr>
        <w:pStyle w:val="BodyText"/>
      </w:pPr>
      <w:r>
        <w:t>This recommendation was not previously included in the above list because it was proposed to be a feature of the card during the election campaign.</w:t>
      </w:r>
    </w:p>
    <w:p w14:paraId="3E2FD9AC" w14:textId="77777777" w:rsidR="00D056A8" w:rsidRPr="004A78E4" w:rsidRDefault="00D056A8" w:rsidP="003E10D2">
      <w:pPr>
        <w:pStyle w:val="BodyText"/>
      </w:pPr>
      <w:r>
        <w:t>Although these measures will effectively contribute to harm reduction they are not as selective or as effective as the combined measures delivered by the card.</w:t>
      </w:r>
    </w:p>
    <w:p w14:paraId="4CBE7DB7" w14:textId="77777777" w:rsidR="00D056A8" w:rsidRDefault="00D056A8" w:rsidP="003E10D2">
      <w:pPr>
        <w:spacing w:before="0" w:after="0"/>
        <w:rPr>
          <w:rFonts w:ascii="Avenir Next Demi Bold" w:eastAsia="AvenirNextLTPro-Demi" w:hAnsi="Avenir Next Demi Bold" w:cs="AvenirNextLTPro-Demi"/>
          <w:b/>
          <w:color w:val="248EB9"/>
          <w:spacing w:val="-6"/>
          <w:sz w:val="36"/>
          <w:szCs w:val="36"/>
          <w:lang w:val="en-US" w:eastAsia="en-AU"/>
        </w:rPr>
      </w:pPr>
      <w:r>
        <w:br w:type="page"/>
      </w:r>
    </w:p>
    <w:p w14:paraId="42E9B457" w14:textId="77777777" w:rsidR="00D056A8" w:rsidRDefault="00D056A8" w:rsidP="008263E5">
      <w:pPr>
        <w:pStyle w:val="Heading4"/>
      </w:pPr>
      <w:bookmarkStart w:id="24" w:name="_Toc183776890"/>
      <w:bookmarkStart w:id="25" w:name="_Toc184302769"/>
      <w:r w:rsidRPr="00F807CD">
        <w:lastRenderedPageBreak/>
        <w:t>Pop-ups or other interactive warnings</w:t>
      </w:r>
      <w:bookmarkEnd w:id="24"/>
      <w:bookmarkEnd w:id="25"/>
    </w:p>
    <w:p w14:paraId="1AB845CC" w14:textId="4601BFAE" w:rsidR="00D056A8" w:rsidRPr="00DE553B" w:rsidRDefault="00D056A8" w:rsidP="003E10D2">
      <w:pPr>
        <w:pStyle w:val="BodyText"/>
        <w:rPr>
          <w:rFonts w:ascii="Calibri" w:eastAsiaTheme="minorHAnsi" w:hAnsi="Calibri" w:cs="Calibri"/>
          <w:color w:val="000000"/>
          <w:lang w:val="en-AU"/>
        </w:rPr>
      </w:pPr>
      <w:r>
        <w:t xml:space="preserve">In New Zealand, EGMs must display player information at the commencement of play and at random intervals display the following player information: </w:t>
      </w:r>
    </w:p>
    <w:p w14:paraId="2A5A74EF" w14:textId="4C235D76" w:rsidR="00D056A8" w:rsidRPr="00DE553B" w:rsidRDefault="00D056A8" w:rsidP="003E10D2">
      <w:pPr>
        <w:pStyle w:val="ListParagraph"/>
      </w:pPr>
      <w:r w:rsidRPr="00DE553B">
        <w:t xml:space="preserve">the duration of the </w:t>
      </w:r>
      <w:r>
        <w:t xml:space="preserve">current </w:t>
      </w:r>
      <w:r w:rsidRPr="00DE553B">
        <w:t xml:space="preserve">session of play </w:t>
      </w:r>
    </w:p>
    <w:p w14:paraId="6B44B5C9" w14:textId="03C55D40" w:rsidR="00D056A8" w:rsidRPr="00DE553B" w:rsidRDefault="00D056A8" w:rsidP="003E10D2">
      <w:pPr>
        <w:pStyle w:val="ListParagraph"/>
      </w:pPr>
      <w:r w:rsidRPr="00DE553B">
        <w:t xml:space="preserve">the amount, expressed in dollars and cents, that the player has spent during the </w:t>
      </w:r>
      <w:r>
        <w:t>current</w:t>
      </w:r>
      <w:r w:rsidRPr="00DE553B">
        <w:t xml:space="preserve"> session of play</w:t>
      </w:r>
    </w:p>
    <w:p w14:paraId="45FECC5E" w14:textId="45970A82" w:rsidR="00D056A8" w:rsidRPr="004F7A76" w:rsidRDefault="00D056A8" w:rsidP="003E10D2">
      <w:pPr>
        <w:pStyle w:val="ListParagraph"/>
      </w:pPr>
      <w:r w:rsidRPr="00DE553B">
        <w:t xml:space="preserve">the player’s net wins or net losses during the </w:t>
      </w:r>
      <w:r>
        <w:t>current</w:t>
      </w:r>
      <w:r w:rsidRPr="00DE553B">
        <w:t xml:space="preserve"> session of play</w:t>
      </w:r>
      <w:r>
        <w:t xml:space="preserve"> </w:t>
      </w:r>
      <w:r>
        <w:rPr>
          <w:noProof/>
        </w:rPr>
        <w:t>(New Zealand Government 2022)</w:t>
      </w:r>
      <w:r>
        <w:t>.</w:t>
      </w:r>
    </w:p>
    <w:p w14:paraId="5AF2FECC" w14:textId="77777777" w:rsidR="00D056A8" w:rsidRPr="0031229D" w:rsidRDefault="00D056A8" w:rsidP="003E10D2">
      <w:pPr>
        <w:pStyle w:val="BodyText"/>
        <w:numPr>
          <w:ilvl w:val="0"/>
          <w:numId w:val="7"/>
        </w:numPr>
        <w:rPr>
          <w:lang w:val="en-US" w:eastAsia="en-AU"/>
        </w:rPr>
      </w:pPr>
      <w:r>
        <w:rPr>
          <w:lang w:val="en-US" w:eastAsia="en-AU"/>
        </w:rPr>
        <w:t>Machines also pause play for 10 minutes after 2 hours of continuous play, during which time the player activity statement is displayed.</w:t>
      </w:r>
    </w:p>
    <w:p w14:paraId="3725D158" w14:textId="0163C316" w:rsidR="00D056A8" w:rsidRDefault="00D056A8" w:rsidP="003E10D2">
      <w:pPr>
        <w:widowControl/>
        <w:numPr>
          <w:ilvl w:val="1"/>
          <w:numId w:val="7"/>
        </w:numPr>
        <w:adjustRightInd w:val="0"/>
        <w:spacing w:before="0" w:after="0"/>
        <w:rPr>
          <w:szCs w:val="24"/>
          <w:lang w:val="en-US" w:eastAsia="en-AU"/>
        </w:rPr>
      </w:pPr>
      <w:r w:rsidRPr="0031229D">
        <w:rPr>
          <w:szCs w:val="24"/>
          <w:lang w:val="en-US" w:eastAsia="en-AU"/>
        </w:rPr>
        <w:t xml:space="preserve">The display showing the player information must include a feature that asks the player </w:t>
      </w:r>
      <w:r w:rsidR="00263EB4">
        <w:rPr>
          <w:szCs w:val="24"/>
          <w:lang w:val="en-US" w:eastAsia="en-AU"/>
        </w:rPr>
        <w:t xml:space="preserve">if </w:t>
      </w:r>
      <w:r w:rsidRPr="0031229D">
        <w:rPr>
          <w:szCs w:val="24"/>
          <w:lang w:val="en-US" w:eastAsia="en-AU"/>
        </w:rPr>
        <w:t xml:space="preserve">they wish to continue their session of play. </w:t>
      </w:r>
    </w:p>
    <w:p w14:paraId="40DCF2C3" w14:textId="77777777" w:rsidR="00D056A8" w:rsidRPr="009D5203" w:rsidRDefault="00D056A8" w:rsidP="003E10D2">
      <w:pPr>
        <w:pStyle w:val="BodyText"/>
        <w:numPr>
          <w:ilvl w:val="0"/>
          <w:numId w:val="7"/>
        </w:numPr>
        <w:rPr>
          <w:lang w:val="en-US" w:eastAsia="en-AU"/>
        </w:rPr>
      </w:pPr>
      <w:r>
        <w:rPr>
          <w:lang w:val="en-US" w:eastAsia="en-AU"/>
        </w:rPr>
        <w:t>This measure will contribute to harm reduction but is not as selective or effective as the card.</w:t>
      </w:r>
    </w:p>
    <w:p w14:paraId="7759FBDA" w14:textId="77777777" w:rsidR="00D056A8" w:rsidRDefault="00D056A8" w:rsidP="003E10D2">
      <w:pPr>
        <w:pStyle w:val="Heading2"/>
      </w:pPr>
      <w:bookmarkStart w:id="26" w:name="_Toc183776891"/>
      <w:bookmarkStart w:id="27" w:name="_Toc184302770"/>
      <w:r>
        <w:t>Voluntary pre-commitment is not effective</w:t>
      </w:r>
      <w:bookmarkEnd w:id="26"/>
      <w:bookmarkEnd w:id="27"/>
    </w:p>
    <w:p w14:paraId="521FD24E" w14:textId="77777777" w:rsidR="00D056A8" w:rsidRPr="002E2826" w:rsidRDefault="00D056A8" w:rsidP="003E10D2">
      <w:pPr>
        <w:rPr>
          <w:lang w:val="en-US" w:eastAsia="en-AU"/>
        </w:rPr>
      </w:pPr>
      <w:r>
        <w:rPr>
          <w:lang w:val="en-US" w:eastAsia="en-AU"/>
        </w:rPr>
        <w:t xml:space="preserve">This option is mentioned only to note that it is reported to be ineffective. </w:t>
      </w:r>
    </w:p>
    <w:p w14:paraId="29D3DAC5" w14:textId="77777777" w:rsidR="00D056A8" w:rsidRDefault="00D056A8" w:rsidP="003E10D2">
      <w:pPr>
        <w:rPr>
          <w:lang w:val="en-US" w:eastAsia="en-AU"/>
        </w:rPr>
      </w:pPr>
      <w:r>
        <w:rPr>
          <w:lang w:val="en-US" w:eastAsia="en-AU"/>
        </w:rPr>
        <w:t>Uptake of Victoria’s voluntary ‘Yourplay’ card was exceedingly low with an evaluation finding that ‘</w:t>
      </w:r>
      <w:r>
        <w:t xml:space="preserve">In 2017/18 YourPlay cards were used in sessions amounting to 0.01 per cent of gaming machine turnover in Victorian hotels and clubs’ </w:t>
      </w:r>
      <w:r>
        <w:rPr>
          <w:noProof/>
        </w:rPr>
        <w:t>(Whetton et al. 2019)</w:t>
      </w:r>
      <w:r>
        <w:t xml:space="preserve">. </w:t>
      </w:r>
      <w:r>
        <w:rPr>
          <w:lang w:val="en-US" w:eastAsia="en-AU"/>
        </w:rPr>
        <w:t>The benefits of the card for players who chose to use it were substantial and Victoria has subsequently announced that they will introduce a mandatory pre</w:t>
      </w:r>
      <w:r>
        <w:rPr>
          <w:lang w:val="en-US" w:eastAsia="en-AU"/>
        </w:rPr>
        <w:noBreakHyphen/>
        <w:t xml:space="preserve">commitment card </w:t>
      </w:r>
      <w:r>
        <w:rPr>
          <w:noProof/>
          <w:lang w:val="en-US" w:eastAsia="en-AU"/>
        </w:rPr>
        <w:t>(Whetton et al. 2019)</w:t>
      </w:r>
      <w:r>
        <w:rPr>
          <w:lang w:val="en-US" w:eastAsia="en-AU"/>
        </w:rPr>
        <w:t xml:space="preserve">. </w:t>
      </w:r>
    </w:p>
    <w:p w14:paraId="1C0CAAE9" w14:textId="4CB7690C" w:rsidR="00D056A8" w:rsidRDefault="00D056A8" w:rsidP="00242FA3">
      <w:pPr>
        <w:rPr>
          <w:lang w:val="en-US" w:eastAsia="en-AU"/>
        </w:rPr>
      </w:pPr>
      <w:r>
        <w:rPr>
          <w:lang w:val="en-US" w:eastAsia="en-AU"/>
        </w:rPr>
        <w:t>Introduction of a voluntary card with pre-commitment features could be justified in order to test and refine a mandatory card prior to its introduction.</w:t>
      </w:r>
      <w:r w:rsidR="00242FA3">
        <w:rPr>
          <w:lang w:val="en-US" w:eastAsia="en-AU"/>
        </w:rPr>
        <w:t xml:space="preserve"> </w:t>
      </w:r>
    </w:p>
    <w:p w14:paraId="2D056E6F" w14:textId="77777777" w:rsidR="00D056A8" w:rsidRDefault="00D056A8" w:rsidP="003E10D2">
      <w:pPr>
        <w:pStyle w:val="BodyText"/>
        <w:rPr>
          <w:lang w:val="en-US" w:eastAsia="en-AU"/>
        </w:rPr>
        <w:sectPr w:rsidR="00D056A8" w:rsidSect="003E10D2">
          <w:pgSz w:w="11910" w:h="16840"/>
          <w:pgMar w:top="1540" w:right="1000" w:bottom="280" w:left="960" w:header="720" w:footer="720" w:gutter="0"/>
          <w:cols w:space="720"/>
          <w:docGrid w:linePitch="326"/>
        </w:sectPr>
      </w:pPr>
    </w:p>
    <w:p w14:paraId="446A5E3B" w14:textId="77777777" w:rsidR="00D056A8" w:rsidRDefault="00D056A8" w:rsidP="003E10D2">
      <w:pPr>
        <w:pStyle w:val="Heading1"/>
      </w:pPr>
      <w:bookmarkStart w:id="28" w:name="_Toc184302771"/>
      <w:r>
        <w:lastRenderedPageBreak/>
        <w:t>References</w:t>
      </w:r>
      <w:bookmarkEnd w:id="28"/>
    </w:p>
    <w:p w14:paraId="3FADE955" w14:textId="77777777" w:rsidR="00D056A8" w:rsidRPr="00D91C4C" w:rsidRDefault="00D056A8" w:rsidP="003E10D2">
      <w:pPr>
        <w:pStyle w:val="EndNoteBibliography"/>
        <w:spacing w:after="0"/>
      </w:pPr>
      <w:r w:rsidRPr="00D91C4C">
        <w:t xml:space="preserve">Badji S, Black N and Johnston D (2021) </w:t>
      </w:r>
      <w:r w:rsidRPr="00D91C4C">
        <w:rPr>
          <w:i/>
        </w:rPr>
        <w:t>Proximity to gambling venues, gambling behaviours and related harms</w:t>
      </w:r>
      <w:r w:rsidRPr="00D91C4C">
        <w:t>, Victorian Responsible Gambling Foundation, Melbourne.</w:t>
      </w:r>
    </w:p>
    <w:p w14:paraId="0DDD2AF0" w14:textId="77777777" w:rsidR="00D056A8" w:rsidRPr="00D91C4C" w:rsidRDefault="00D056A8" w:rsidP="003E10D2">
      <w:pPr>
        <w:pStyle w:val="EndNoteBibliography"/>
        <w:spacing w:after="0"/>
      </w:pPr>
      <w:r w:rsidRPr="00D91C4C">
        <w:t>Barnett G, Jaensch R and Howlett J (19 November 2024) 'Government progressing with election commitment to harm minimisation' [media release], Tasmanian Government.</w:t>
      </w:r>
    </w:p>
    <w:p w14:paraId="78C4F07B" w14:textId="77777777" w:rsidR="00D056A8" w:rsidRPr="00D91C4C" w:rsidRDefault="00D056A8" w:rsidP="003E10D2">
      <w:pPr>
        <w:pStyle w:val="EndNoteBibliography"/>
        <w:spacing w:after="0"/>
      </w:pPr>
      <w:r w:rsidRPr="00D91C4C">
        <w:t xml:space="preserve">Greer N, Jenkinson R, Vandenburg B and Sakata K (2023) </w:t>
      </w:r>
      <w:r w:rsidRPr="00D91C4C">
        <w:rPr>
          <w:i/>
        </w:rPr>
        <w:t>Regular pokies gambling in Australia, 2022: National Gambling Trends Study</w:t>
      </w:r>
      <w:r w:rsidRPr="00D91C4C">
        <w:t>, Australian Gambling Research Centre, Australian Institute of Family Studies, Melbourne.</w:t>
      </w:r>
    </w:p>
    <w:p w14:paraId="364AA0D6" w14:textId="77777777" w:rsidR="00D056A8" w:rsidRPr="00D91C4C" w:rsidRDefault="00D056A8" w:rsidP="003E10D2">
      <w:pPr>
        <w:pStyle w:val="EndNoteBibliography"/>
        <w:spacing w:after="0"/>
      </w:pPr>
      <w:r w:rsidRPr="00D91C4C">
        <w:t xml:space="preserve">Hing N, Russell AMT, Browne M, Rockloff M, Tulloch C, Rawat V, Greer N, Dowling NA, Merkouris SS, King D, Stevens M, Salonen AH, Breen H and Woo L (2022) 'Gambling-related harms to concerned significant others: A national Australian prevalence study', </w:t>
      </w:r>
      <w:r w:rsidRPr="00D91C4C">
        <w:rPr>
          <w:i/>
        </w:rPr>
        <w:t>Journal of Behavioral Addictions</w:t>
      </w:r>
      <w:r w:rsidRPr="00D91C4C">
        <w:t>, 11(2):361-372, doi: 10.1556/2006.2022.00045.</w:t>
      </w:r>
    </w:p>
    <w:p w14:paraId="6808F8D9" w14:textId="77777777" w:rsidR="00D056A8" w:rsidRPr="00D91C4C" w:rsidRDefault="00D056A8" w:rsidP="003E10D2">
      <w:pPr>
        <w:pStyle w:val="EndNoteBibliography"/>
        <w:spacing w:after="0"/>
      </w:pPr>
      <w:r w:rsidRPr="00D91C4C">
        <w:t xml:space="preserve">New Zealand Government (2022) </w:t>
      </w:r>
      <w:r w:rsidRPr="00D91C4C">
        <w:rPr>
          <w:i/>
        </w:rPr>
        <w:t>New Zealand Class 4 Gaming Machine Appendix to the Australia New Zealand Gaming Machine National Standard 2022</w:t>
      </w:r>
      <w:r w:rsidRPr="00D91C4C">
        <w:t>, Department of Internal Affairs.</w:t>
      </w:r>
    </w:p>
    <w:p w14:paraId="3B3F8522" w14:textId="77777777" w:rsidR="00D056A8" w:rsidRPr="00D91C4C" w:rsidRDefault="00D056A8" w:rsidP="003E10D2">
      <w:pPr>
        <w:pStyle w:val="EndNoteBibliography"/>
        <w:spacing w:after="0"/>
      </w:pPr>
      <w:r w:rsidRPr="00D91C4C">
        <w:t xml:space="preserve">Newall P and Swanton TB (2024) 'Beyond ‘single customer view’: player tracking's potential role in understanding and reducing gambling-related harm', </w:t>
      </w:r>
      <w:r w:rsidRPr="00D91C4C">
        <w:rPr>
          <w:i/>
        </w:rPr>
        <w:t>Addiction</w:t>
      </w:r>
      <w:r w:rsidRPr="00D91C4C">
        <w:t>, 119(7):1156-1163, doi: 10.1111/add.16438.</w:t>
      </w:r>
    </w:p>
    <w:p w14:paraId="0EE33D33" w14:textId="77777777" w:rsidR="00D056A8" w:rsidRPr="00D91C4C" w:rsidRDefault="00D056A8" w:rsidP="003E10D2">
      <w:pPr>
        <w:pStyle w:val="EndNoteBibliography"/>
        <w:spacing w:after="0"/>
      </w:pPr>
      <w:r w:rsidRPr="00D91C4C">
        <w:t xml:space="preserve">O'Neil M, Whetton S, Delfabbro P, Sproston K, Brook K, Hughes P and Tran K (2021) </w:t>
      </w:r>
      <w:r w:rsidRPr="00D91C4C">
        <w:rPr>
          <w:i/>
        </w:rPr>
        <w:t>Fifth Social and Economic Impact Study of Gambling in Tasmania 2021: Prevalence Survey Report</w:t>
      </w:r>
      <w:r w:rsidRPr="00D91C4C">
        <w:t>, South Australian Centre for Economic Studies, Adelaide.</w:t>
      </w:r>
    </w:p>
    <w:p w14:paraId="3EAF8AD2" w14:textId="77777777" w:rsidR="00D056A8" w:rsidRPr="00D91C4C" w:rsidRDefault="00D056A8" w:rsidP="003E10D2">
      <w:pPr>
        <w:pStyle w:val="EndNoteBibliography"/>
        <w:spacing w:after="0"/>
      </w:pPr>
      <w:r w:rsidRPr="00D91C4C">
        <w:t xml:space="preserve">Sathanapally A, Griffiths K and Baldwin E (2024) </w:t>
      </w:r>
      <w:r w:rsidRPr="00D91C4C">
        <w:rPr>
          <w:i/>
        </w:rPr>
        <w:t>A better bet: How Australia should prevent gambling harm</w:t>
      </w:r>
      <w:r w:rsidRPr="00D91C4C">
        <w:t>, Grattan Institute.</w:t>
      </w:r>
    </w:p>
    <w:p w14:paraId="6F6D6417" w14:textId="77777777" w:rsidR="00D056A8" w:rsidRPr="00D91C4C" w:rsidRDefault="00D056A8" w:rsidP="003E10D2">
      <w:pPr>
        <w:pStyle w:val="EndNoteBibliography"/>
        <w:spacing w:after="0"/>
      </w:pPr>
      <w:r w:rsidRPr="00D91C4C">
        <w:t>Selwyn N, Smith G, Andrejevic M, Gu X and O'Neill C (2024) 'Facing up to problem gambling: tracing the emergence of facial recognition technology as a means of enforcing voluntary self</w:t>
      </w:r>
      <w:r w:rsidRPr="00D91C4C">
        <w:rPr>
          <w:rFonts w:ascii="Cambria Math" w:hAnsi="Cambria Math" w:cs="Cambria Math"/>
        </w:rPr>
        <w:t>‑</w:t>
      </w:r>
      <w:r w:rsidRPr="00D91C4C">
        <w:t xml:space="preserve">exclusion', </w:t>
      </w:r>
      <w:r w:rsidRPr="00D91C4C">
        <w:rPr>
          <w:i/>
        </w:rPr>
        <w:t>Journal of Gambling Studies</w:t>
      </w:r>
      <w:r w:rsidRPr="00D91C4C">
        <w:t>, 40:1839-1855, doi: 10.1007/s10899-024-10308-4.</w:t>
      </w:r>
    </w:p>
    <w:p w14:paraId="52A5C356" w14:textId="77777777" w:rsidR="00D056A8" w:rsidRPr="00D91C4C" w:rsidRDefault="00D056A8" w:rsidP="003E10D2">
      <w:pPr>
        <w:pStyle w:val="EndNoteBibliography"/>
        <w:spacing w:after="0"/>
      </w:pPr>
      <w:r w:rsidRPr="00D91C4C">
        <w:t xml:space="preserve">Tasmania House of Assembly (19 November 2024) </w:t>
      </w:r>
      <w:r w:rsidRPr="00D91C4C">
        <w:rPr>
          <w:i/>
        </w:rPr>
        <w:t>Hansard</w:t>
      </w:r>
      <w:r w:rsidRPr="00D91C4C">
        <w:t>,</w:t>
      </w:r>
      <w:r w:rsidRPr="00D91C4C">
        <w:rPr>
          <w:i/>
        </w:rPr>
        <w:t xml:space="preserve"> </w:t>
      </w:r>
      <w:r w:rsidRPr="00D91C4C">
        <w:t>Jeremy Rockliff, p. 83.</w:t>
      </w:r>
    </w:p>
    <w:p w14:paraId="3C43932F" w14:textId="77777777" w:rsidR="00D056A8" w:rsidRPr="00D91C4C" w:rsidRDefault="00D056A8" w:rsidP="003E10D2">
      <w:pPr>
        <w:pStyle w:val="EndNoteBibliography"/>
        <w:spacing w:after="0"/>
      </w:pPr>
      <w:r w:rsidRPr="00D91C4C">
        <w:t xml:space="preserve">TLGC (Tasmanian Liquor and Gaming Commission) (2022) </w:t>
      </w:r>
      <w:r w:rsidRPr="00D91C4C">
        <w:rPr>
          <w:i/>
        </w:rPr>
        <w:t>Investigation of harm minimisation technologies: facial recognition and player card gaming</w:t>
      </w:r>
      <w:r w:rsidRPr="00D91C4C">
        <w:t>, Tasmanian Liquor and Gaming Commission.</w:t>
      </w:r>
    </w:p>
    <w:p w14:paraId="07723CDB" w14:textId="77777777" w:rsidR="00D056A8" w:rsidRPr="00D91C4C" w:rsidRDefault="00D056A8" w:rsidP="003E10D2">
      <w:pPr>
        <w:pStyle w:val="EndNoteBibliography"/>
        <w:spacing w:after="0"/>
      </w:pPr>
      <w:r w:rsidRPr="00D91C4C">
        <w:t xml:space="preserve">Wardle H, Degenhardt L, Marionneau V, Reith G, Livingstone C, Sparrow M, Tran LT, Biggar B, Bunn C, Farrell M, Kesaite V, Poznyak V, Quan J, Rehm J, Rintoul A, Sharma M, Shiffman J, Siste K, Ukhova D, Volberg R, Salifu Yendork J and Saxena S (2024) 'The Lancet Public Health Commission on gambling', </w:t>
      </w:r>
      <w:r w:rsidRPr="00D91C4C">
        <w:rPr>
          <w:i/>
        </w:rPr>
        <w:t>The Lancet Public Health</w:t>
      </w:r>
      <w:r w:rsidRPr="00D91C4C">
        <w:t>, 9(11):e950-e994, doi: 10.1016/S2468-2667(24)00167-1.</w:t>
      </w:r>
    </w:p>
    <w:p w14:paraId="44955BAD" w14:textId="77777777" w:rsidR="00D056A8" w:rsidRPr="00D91C4C" w:rsidRDefault="00D056A8" w:rsidP="003E10D2">
      <w:pPr>
        <w:pStyle w:val="EndNoteBibliography"/>
      </w:pPr>
      <w:r w:rsidRPr="00D91C4C">
        <w:t xml:space="preserve">Whetton S, O'Neil M, Delfabbro P, Sproston K, Abdul Halim S, Dey T, Hanley C, Kay L, Kosturjak A, Tran K and Wood A (2019) </w:t>
      </w:r>
      <w:r w:rsidRPr="00D91C4C">
        <w:rPr>
          <w:i/>
        </w:rPr>
        <w:t>Evaluation of YourPlay final report</w:t>
      </w:r>
      <w:r w:rsidRPr="00D91C4C">
        <w:t>, South Australian Centre for Economic Studies for Victorian Department of Justice and Community Safety, University of Adelaide.</w:t>
      </w:r>
    </w:p>
    <w:p w14:paraId="30EAC594" w14:textId="77777777" w:rsidR="00D056A8" w:rsidRDefault="00D056A8" w:rsidP="003E10D2">
      <w:pPr>
        <w:pStyle w:val="BodyText"/>
        <w:rPr>
          <w:lang w:val="en-US" w:eastAsia="en-AU"/>
        </w:rPr>
      </w:pPr>
    </w:p>
    <w:p w14:paraId="39AA8E6A" w14:textId="77777777" w:rsidR="00D056A8" w:rsidRDefault="00D056A8">
      <w:pPr>
        <w:spacing w:before="0" w:after="0"/>
        <w:rPr>
          <w:rFonts w:ascii="Avenir Next Demi Bold" w:eastAsia="AvenirNextLTPro-Demi" w:hAnsi="Avenir Next Demi Bold" w:cs="AvenirNextLTPro-Demi"/>
          <w:b/>
          <w:color w:val="248EB9"/>
          <w:spacing w:val="-6"/>
          <w:sz w:val="36"/>
          <w:szCs w:val="36"/>
          <w:lang w:val="en-US" w:eastAsia="en-AU"/>
        </w:rPr>
      </w:pPr>
      <w:r>
        <w:br w:type="page"/>
      </w:r>
    </w:p>
    <w:p w14:paraId="5F265591" w14:textId="77777777" w:rsidR="00D056A8" w:rsidRDefault="00D056A8" w:rsidP="003E10D2">
      <w:pPr>
        <w:pStyle w:val="Heading1"/>
      </w:pPr>
      <w:bookmarkStart w:id="29" w:name="_Toc184302772"/>
      <w:r>
        <w:lastRenderedPageBreak/>
        <w:t>About Anglicare Tasmania</w:t>
      </w:r>
      <w:bookmarkEnd w:id="29"/>
    </w:p>
    <w:p w14:paraId="5CAD8C71" w14:textId="77777777" w:rsidR="00D056A8" w:rsidRDefault="00D056A8" w:rsidP="003E10D2">
      <w:r w:rsidRPr="00FB6889">
        <w:t xml:space="preserve">Anglicare, in response to the Christian faith, strives to achieve social justice and to provide the opportunity for people in need to reach fullness of life. </w:t>
      </w:r>
    </w:p>
    <w:p w14:paraId="08F1B30E" w14:textId="77777777" w:rsidR="00D056A8" w:rsidRPr="00FB6889" w:rsidRDefault="00D056A8" w:rsidP="003E10D2">
      <w:r w:rsidRPr="00C5237D">
        <w:t xml:space="preserve">Anglicare Tasmania </w:t>
      </w:r>
      <w:r>
        <w:t>is a state-wide provider of a wide range of community services, including government funded financial counselling and gambling support services.</w:t>
      </w:r>
    </w:p>
    <w:p w14:paraId="3B6ED80F" w14:textId="77777777" w:rsidR="00D056A8" w:rsidRPr="00FB6889" w:rsidRDefault="00D056A8" w:rsidP="003E10D2">
      <w:r w:rsidRPr="00FB6889">
        <w:t xml:space="preserve">Our values: </w:t>
      </w:r>
    </w:p>
    <w:p w14:paraId="2663853A" w14:textId="77777777" w:rsidR="00D056A8" w:rsidRPr="00FB6889" w:rsidRDefault="00D056A8" w:rsidP="003E10D2">
      <w:r w:rsidRPr="00FB6889">
        <w:rPr>
          <w:b/>
        </w:rPr>
        <w:t>Hope</w:t>
      </w:r>
      <w:r w:rsidRPr="00FB6889">
        <w:t xml:space="preserve">: Confidently reaching for fullness of life. </w:t>
      </w:r>
    </w:p>
    <w:p w14:paraId="52FACA60" w14:textId="77777777" w:rsidR="00D056A8" w:rsidRPr="00FB6889" w:rsidRDefault="00D056A8" w:rsidP="003E10D2">
      <w:r w:rsidRPr="00FB6889">
        <w:rPr>
          <w:b/>
        </w:rPr>
        <w:t>Compassion</w:t>
      </w:r>
      <w:r w:rsidRPr="00FB6889">
        <w:t xml:space="preserve">: Showing empathy and care for those in need. </w:t>
      </w:r>
    </w:p>
    <w:p w14:paraId="7A32A993" w14:textId="77777777" w:rsidR="00D056A8" w:rsidRPr="00FB6889" w:rsidRDefault="00D056A8" w:rsidP="003E10D2">
      <w:r w:rsidRPr="00FB6889">
        <w:rPr>
          <w:b/>
        </w:rPr>
        <w:t>Justice</w:t>
      </w:r>
      <w:r w:rsidRPr="00FB6889">
        <w:t xml:space="preserve">: Promoting the fair distribution of resources and opportunities. </w:t>
      </w:r>
    </w:p>
    <w:p w14:paraId="04A07167" w14:textId="77777777" w:rsidR="00D056A8" w:rsidRDefault="00D056A8" w:rsidP="003E10D2">
      <w:r w:rsidRPr="00FB6889">
        <w:rPr>
          <w:b/>
        </w:rPr>
        <w:t>Respect</w:t>
      </w:r>
      <w:r w:rsidRPr="00FB6889">
        <w:t>: Recognising the inherent value and dignity of every person.</w:t>
      </w:r>
    </w:p>
    <w:p w14:paraId="1A2B3FC8" w14:textId="77777777" w:rsidR="00D056A8" w:rsidRPr="00FB6889" w:rsidRDefault="00D056A8" w:rsidP="003E10D2"/>
    <w:p w14:paraId="083A9A73" w14:textId="77777777" w:rsidR="00D056A8" w:rsidRPr="00ED3B50" w:rsidRDefault="00D056A8" w:rsidP="003E10D2">
      <w:pPr>
        <w:pStyle w:val="Heading2"/>
      </w:pPr>
      <w:bookmarkStart w:id="30" w:name="_Toc184302773"/>
      <w:r w:rsidRPr="0089528B">
        <w:t>Anglicare Tasmania’s Social Action and Research Centre</w:t>
      </w:r>
      <w:bookmarkEnd w:id="30"/>
      <w:r w:rsidRPr="0089528B">
        <w:t xml:space="preserve"> </w:t>
      </w:r>
    </w:p>
    <w:p w14:paraId="4B43E97F" w14:textId="77777777" w:rsidR="00D056A8" w:rsidRPr="00FB6889" w:rsidRDefault="00D056A8" w:rsidP="003E10D2">
      <w:r w:rsidRPr="00FB6889">
        <w:t xml:space="preserve">The Social Action and Research Centre investigates how and why Tasmanians are affected by poverty and inequality. We use what we learn to advocate for changes that improve people’s lives. </w:t>
      </w:r>
    </w:p>
    <w:p w14:paraId="07617E10" w14:textId="77777777" w:rsidR="00D056A8" w:rsidRPr="00FB6889" w:rsidRDefault="00D056A8" w:rsidP="003E10D2">
      <w:r w:rsidRPr="00FB6889">
        <w:t xml:space="preserve">Our qualitative research centres on the lived experience of Tasmanians. It often features the voices of people who use Anglicare services and our frontline workers. </w:t>
      </w:r>
    </w:p>
    <w:p w14:paraId="422DE5E2" w14:textId="77777777" w:rsidR="00D056A8" w:rsidRPr="00FB6889" w:rsidRDefault="00D056A8" w:rsidP="003E10D2">
      <w:r w:rsidRPr="00FB6889">
        <w:t xml:space="preserve">Our quantitative research uses data to demonstrate social trends. </w:t>
      </w:r>
    </w:p>
    <w:p w14:paraId="75D8E02C" w14:textId="77777777" w:rsidR="00D056A8" w:rsidRDefault="00D056A8" w:rsidP="003E10D2">
      <w:r w:rsidRPr="00FB6889">
        <w:t>We brief government and stakeholders on our research and create opportunities for networking and collaboration.</w:t>
      </w:r>
    </w:p>
    <w:p w14:paraId="1C1CE65B" w14:textId="77777777" w:rsidR="00D056A8" w:rsidRPr="006F68F2" w:rsidRDefault="00D056A8" w:rsidP="003E10D2">
      <w:pPr>
        <w:pStyle w:val="BodyText"/>
        <w:spacing w:before="1560" w:after="0"/>
        <w:rPr>
          <w:color w:val="auto"/>
        </w:rPr>
      </w:pPr>
      <w:r>
        <w:rPr>
          <w:noProof/>
        </w:rPr>
        <mc:AlternateContent>
          <mc:Choice Requires="wps">
            <w:drawing>
              <wp:anchor distT="0" distB="0" distL="114300" distR="114300" simplePos="0" relativeHeight="251680768" behindDoc="1" locked="0" layoutInCell="1" allowOverlap="1" wp14:anchorId="66C4F51F" wp14:editId="0509B9CA">
                <wp:simplePos x="0" y="0"/>
                <wp:positionH relativeFrom="page">
                  <wp:posOffset>9525</wp:posOffset>
                </wp:positionH>
                <wp:positionV relativeFrom="paragraph">
                  <wp:posOffset>650875</wp:posOffset>
                </wp:positionV>
                <wp:extent cx="7543800" cy="5194300"/>
                <wp:effectExtent l="0" t="0" r="0" b="63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1943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1D1D76" id="Rectangle 4" o:spid="_x0000_s1026" style="position:absolute;margin-left:.75pt;margin-top:51.25pt;width:594pt;height:409pt;z-index:-2516357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" fillcolor="#e6e3d9" stroked="f" strokeweight="1pt">
                <w10:wrap anchorx="page"/>
              </v:rect>
            </w:pict>
          </mc:Fallback>
        </mc:AlternateContent>
      </w:r>
      <w:r w:rsidRPr="006F68F2">
        <w:rPr>
          <w:color w:val="auto"/>
        </w:rPr>
        <w:t xml:space="preserve">For further information about this </w:t>
      </w:r>
      <w:r>
        <w:rPr>
          <w:color w:val="auto"/>
        </w:rPr>
        <w:t>document</w:t>
      </w:r>
      <w:r w:rsidRPr="006F68F2">
        <w:rPr>
          <w:color w:val="auto"/>
        </w:rPr>
        <w:t xml:space="preserve"> please contact:</w:t>
      </w:r>
    </w:p>
    <w:p w14:paraId="1BBDF9F7" w14:textId="77777777" w:rsidR="00D056A8" w:rsidRPr="006F68F2" w:rsidRDefault="00D056A8" w:rsidP="003E10D2">
      <w:pPr>
        <w:pStyle w:val="BodyText"/>
        <w:spacing w:before="360" w:after="0"/>
        <w:rPr>
          <w:color w:val="auto"/>
        </w:rPr>
      </w:pPr>
      <w:r w:rsidRPr="006F68F2">
        <w:rPr>
          <w:color w:val="auto"/>
        </w:rPr>
        <w:t>Rev. Dr Chris Jones</w:t>
      </w:r>
    </w:p>
    <w:p w14:paraId="622B4874" w14:textId="77777777" w:rsidR="00D056A8" w:rsidRPr="006F68F2" w:rsidRDefault="00D056A8" w:rsidP="003E10D2">
      <w:pPr>
        <w:pStyle w:val="BodyText"/>
        <w:spacing w:before="0" w:after="0"/>
        <w:rPr>
          <w:color w:val="auto"/>
        </w:rPr>
      </w:pPr>
      <w:r w:rsidRPr="006F68F2">
        <w:rPr>
          <w:color w:val="auto"/>
        </w:rPr>
        <w:t>CEO Anglicare Tasmania</w:t>
      </w:r>
    </w:p>
    <w:p w14:paraId="31876E2C" w14:textId="77777777" w:rsidR="00D056A8" w:rsidRPr="006F68F2" w:rsidRDefault="00D056A8" w:rsidP="003E10D2">
      <w:pPr>
        <w:pStyle w:val="BodyText"/>
        <w:spacing w:before="0" w:after="0"/>
        <w:rPr>
          <w:color w:val="auto"/>
        </w:rPr>
      </w:pPr>
      <w:r w:rsidRPr="006F68F2">
        <w:rPr>
          <w:color w:val="auto"/>
        </w:rPr>
        <w:t xml:space="preserve">GPO Box 1620 </w:t>
      </w:r>
    </w:p>
    <w:p w14:paraId="339A5445" w14:textId="77777777" w:rsidR="00D056A8" w:rsidRPr="006F68F2" w:rsidRDefault="00D056A8" w:rsidP="003E10D2">
      <w:pPr>
        <w:pStyle w:val="BodyText"/>
        <w:spacing w:before="0" w:after="0"/>
        <w:rPr>
          <w:color w:val="auto"/>
        </w:rPr>
      </w:pPr>
      <w:r w:rsidRPr="006F68F2">
        <w:rPr>
          <w:color w:val="auto"/>
        </w:rPr>
        <w:t>HOBART TAS 7001</w:t>
      </w:r>
    </w:p>
    <w:p w14:paraId="429F9D14" w14:textId="77777777" w:rsidR="00D056A8" w:rsidRPr="006F68F2" w:rsidRDefault="00D056A8" w:rsidP="003E10D2">
      <w:pPr>
        <w:pStyle w:val="BodyText"/>
        <w:spacing w:before="360" w:after="0"/>
        <w:rPr>
          <w:color w:val="auto"/>
        </w:rPr>
      </w:pPr>
      <w:r w:rsidRPr="006F68F2">
        <w:rPr>
          <w:color w:val="auto"/>
        </w:rPr>
        <w:t>Phone: (03) 6213 3562</w:t>
      </w:r>
    </w:p>
    <w:p w14:paraId="0059E315" w14:textId="15E2089A" w:rsidR="00D056A8" w:rsidRDefault="00D056A8" w:rsidP="003E10D2">
      <w:pPr>
        <w:pStyle w:val="BodyText"/>
        <w:spacing w:before="0" w:after="0"/>
      </w:pPr>
      <w:r w:rsidRPr="006F68F2">
        <w:rPr>
          <w:color w:val="auto"/>
        </w:rPr>
        <w:t xml:space="preserve">Email: </w:t>
      </w:r>
      <w:hyperlink r:id="rId24" w:history="1">
        <w:r w:rsidRPr="002650BD">
          <w:rPr>
            <w:rStyle w:val="Hyperlink"/>
          </w:rPr>
          <w:t>c.jones@anglicare-tas.org.au</w:t>
        </w:r>
      </w:hyperlink>
      <w:r>
        <w:t xml:space="preserve"> </w:t>
      </w:r>
    </w:p>
    <w:p w14:paraId="44E0E2C2" w14:textId="4D9C0D2E" w:rsidR="00D056A8" w:rsidRPr="00903BC8" w:rsidRDefault="00D056A8" w:rsidP="00242FA3">
      <w:pPr>
        <w:pStyle w:val="BodyText"/>
        <w:spacing w:before="0" w:after="0"/>
        <w:rPr>
          <w:lang w:val="en-US" w:eastAsia="en-AU"/>
        </w:rPr>
      </w:pPr>
      <w:r w:rsidRPr="006F68F2">
        <w:rPr>
          <w:color w:val="auto"/>
        </w:rPr>
        <w:t xml:space="preserve">Website: </w:t>
      </w:r>
      <w:hyperlink r:id="rId25" w:history="1">
        <w:r w:rsidRPr="002650BD">
          <w:rPr>
            <w:rStyle w:val="Hyperlink"/>
          </w:rPr>
          <w:t>www.anglicare-tas.org.au</w:t>
        </w:r>
      </w:hyperlink>
    </w:p>
    <w:p w14:paraId="02680A4A" w14:textId="77777777" w:rsidR="003E10D2" w:rsidRDefault="003E10D2"/>
    <w:sectPr w:rsidR="003E10D2" w:rsidSect="003E10D2">
      <w:pgSz w:w="11910" w:h="16840"/>
      <w:pgMar w:top="1540" w:right="1000" w:bottom="280" w:left="9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2F6B" w14:textId="77777777" w:rsidR="003E10D2" w:rsidRDefault="003E10D2" w:rsidP="00D056A8">
      <w:pPr>
        <w:spacing w:before="0" w:after="0"/>
      </w:pPr>
      <w:r>
        <w:separator/>
      </w:r>
    </w:p>
  </w:endnote>
  <w:endnote w:type="continuationSeparator" w:id="0">
    <w:p w14:paraId="02A61BC9" w14:textId="77777777" w:rsidR="003E10D2" w:rsidRDefault="003E10D2" w:rsidP="00D056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Content>
      <w:p w14:paraId="2E17EF20" w14:textId="77777777" w:rsidR="003E10D2" w:rsidRDefault="003E10D2" w:rsidP="003E1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3D7025" w14:textId="77777777" w:rsidR="003E10D2" w:rsidRDefault="003E10D2" w:rsidP="003E1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1372" w14:textId="77777777" w:rsidR="003E10D2" w:rsidRPr="00C61F11" w:rsidRDefault="003E10D2" w:rsidP="003E10D2">
    <w:pPr>
      <w:pStyle w:val="Footer"/>
      <w:jc w:val="right"/>
      <w:rPr>
        <w:sz w:val="18"/>
        <w:szCs w:val="18"/>
      </w:rPr>
    </w:pPr>
    <w:r>
      <w:rPr>
        <w:sz w:val="18"/>
        <w:szCs w:val="18"/>
      </w:rPr>
      <w:t xml:space="preserve">DOCUMENT TITLE XXXXX </w:t>
    </w:r>
    <w:r w:rsidRPr="00C61F11">
      <w:rPr>
        <w:sz w:val="18"/>
        <w:szCs w:val="18"/>
      </w:rPr>
      <w:t xml:space="preserve">| </w:t>
    </w:r>
    <w:r w:rsidRPr="00C61F11">
      <w:rPr>
        <w:rFonts w:cs="Times New Roman"/>
        <w:sz w:val="18"/>
        <w:szCs w:val="18"/>
      </w:rPr>
      <w:fldChar w:fldCharType="begin"/>
    </w:r>
    <w:r w:rsidRPr="00C61F11">
      <w:rPr>
        <w:rFonts w:cs="Times New Roman"/>
        <w:sz w:val="18"/>
        <w:szCs w:val="18"/>
      </w:rPr>
      <w:instrText xml:space="preserve"> PAGE </w:instrText>
    </w:r>
    <w:r w:rsidRPr="00C61F11">
      <w:rPr>
        <w:rFonts w:cs="Times New Roman"/>
        <w:sz w:val="18"/>
        <w:szCs w:val="18"/>
      </w:rPr>
      <w:fldChar w:fldCharType="separate"/>
    </w:r>
    <w:r w:rsidRPr="00C61F11">
      <w:rPr>
        <w:rFonts w:cs="Times New Roman"/>
        <w:noProof/>
        <w:sz w:val="18"/>
        <w:szCs w:val="18"/>
      </w:rPr>
      <w:t>2</w:t>
    </w:r>
    <w:r w:rsidRPr="00C61F11">
      <w:rPr>
        <w:rFonts w:cs="Times New Roman"/>
        <w:sz w:val="18"/>
        <w:szCs w:val="18"/>
      </w:rPr>
      <w:fldChar w:fldCharType="end"/>
    </w:r>
    <w:r w:rsidRPr="00C61F11">
      <w:rPr>
        <w:rFonts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A1C0" w14:textId="77777777" w:rsidR="003E10D2" w:rsidRDefault="003E10D2" w:rsidP="00D056A8">
      <w:pPr>
        <w:spacing w:before="0" w:after="0"/>
      </w:pPr>
      <w:r>
        <w:separator/>
      </w:r>
    </w:p>
  </w:footnote>
  <w:footnote w:type="continuationSeparator" w:id="0">
    <w:p w14:paraId="2699E4FF" w14:textId="77777777" w:rsidR="003E10D2" w:rsidRDefault="003E10D2" w:rsidP="00D056A8">
      <w:pPr>
        <w:spacing w:before="0" w:after="0"/>
      </w:pPr>
      <w:r>
        <w:continuationSeparator/>
      </w:r>
    </w:p>
  </w:footnote>
  <w:footnote w:id="1">
    <w:p w14:paraId="08DBCDB5" w14:textId="1E2D654C" w:rsidR="003E10D2" w:rsidRPr="00500963" w:rsidRDefault="003E10D2" w:rsidP="003E10D2">
      <w:pPr>
        <w:pStyle w:val="FootnoteText"/>
        <w:rPr>
          <w:lang w:val="en-AU"/>
        </w:rPr>
      </w:pPr>
      <w:r>
        <w:rPr>
          <w:rStyle w:val="FootnoteReference"/>
        </w:rPr>
        <w:footnoteRef/>
      </w:r>
      <w:r>
        <w:t xml:space="preserve"> </w:t>
      </w:r>
      <w:r>
        <w:rPr>
          <w:lang w:val="en-AU"/>
        </w:rPr>
        <w:t xml:space="preserve">Likely to be an overestimate as this assumes that exclusion breaches drop from 30% of people excluded to less than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26E4" w14:textId="77777777" w:rsidR="003E10D2" w:rsidRPr="008E0A60" w:rsidRDefault="003E10D2" w:rsidP="003E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04C332"/>
    <w:multiLevelType w:val="hybridMultilevel"/>
    <w:tmpl w:val="6D458C99"/>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2" w15:restartNumberingAfterBreak="0">
    <w:nsid w:val="08294887"/>
    <w:multiLevelType w:val="hybridMultilevel"/>
    <w:tmpl w:val="416660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62BAC"/>
    <w:multiLevelType w:val="hybridMultilevel"/>
    <w:tmpl w:val="5D7A933E"/>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4" w15:restartNumberingAfterBreak="0">
    <w:nsid w:val="12796414"/>
    <w:multiLevelType w:val="hybridMultilevel"/>
    <w:tmpl w:val="364204A6"/>
    <w:lvl w:ilvl="0" w:tplc="C6AAF63E">
      <w:start w:val="1"/>
      <w:numFmt w:val="bullet"/>
      <w:pStyle w:val="Bullets"/>
      <w:lvlText w:val=""/>
      <w:lvlJc w:val="left"/>
      <w:pPr>
        <w:ind w:left="360" w:hanging="360"/>
      </w:pPr>
      <w:rPr>
        <w:rFonts w:ascii="Symbol" w:hAnsi="Symbol" w:hint="default"/>
        <w:color w:val="FFC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8D3A9C"/>
    <w:multiLevelType w:val="hybridMultilevel"/>
    <w:tmpl w:val="4176D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11371"/>
    <w:multiLevelType w:val="hybridMultilevel"/>
    <w:tmpl w:val="0EC4DBE6"/>
    <w:lvl w:ilvl="0" w:tplc="B3DC942E">
      <w:start w:val="1"/>
      <w:numFmt w:val="bullet"/>
      <w:lvlText w:val=""/>
      <w:lvlJc w:val="left"/>
      <w:pPr>
        <w:ind w:left="720" w:hanging="360"/>
      </w:pPr>
      <w:rPr>
        <w:rFonts w:ascii="Symbol" w:hAnsi="Symbol" w:hint="default"/>
        <w:color w:val="FFC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44CA5"/>
    <w:multiLevelType w:val="hybridMultilevel"/>
    <w:tmpl w:val="546E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46642D"/>
    <w:multiLevelType w:val="hybridMultilevel"/>
    <w:tmpl w:val="72633A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11601C"/>
    <w:multiLevelType w:val="hybridMultilevel"/>
    <w:tmpl w:val="58D4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50010D"/>
    <w:multiLevelType w:val="hybridMultilevel"/>
    <w:tmpl w:val="416660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0E2C0E"/>
    <w:multiLevelType w:val="hybridMultilevel"/>
    <w:tmpl w:val="8204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E645BB"/>
    <w:multiLevelType w:val="hybridMultilevel"/>
    <w:tmpl w:val="F54ADC78"/>
    <w:lvl w:ilvl="0" w:tplc="88FA616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4692C"/>
    <w:multiLevelType w:val="hybridMultilevel"/>
    <w:tmpl w:val="BD944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605D90"/>
    <w:multiLevelType w:val="hybridMultilevel"/>
    <w:tmpl w:val="2D429670"/>
    <w:lvl w:ilvl="0" w:tplc="B66A9D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D40356"/>
    <w:multiLevelType w:val="hybridMultilevel"/>
    <w:tmpl w:val="616CD2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80F07C7"/>
    <w:multiLevelType w:val="multilevel"/>
    <w:tmpl w:val="0C09001D"/>
    <w:styleLink w:val="Numberedpoints"/>
    <w:lvl w:ilvl="0">
      <w:start w:val="1"/>
      <w:numFmt w:val="decimal"/>
      <w:lvlText w:val="%1)"/>
      <w:lvlJc w:val="left"/>
      <w:pPr>
        <w:ind w:left="360" w:hanging="360"/>
      </w:pPr>
      <w:rPr>
        <w:rFonts w:ascii="Avenir Next LT Pro" w:hAnsi="Avenir Next LT Pr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E55B58"/>
    <w:multiLevelType w:val="hybridMultilevel"/>
    <w:tmpl w:val="2F007794"/>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5B0E76"/>
    <w:multiLevelType w:val="hybridMultilevel"/>
    <w:tmpl w:val="416660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6"/>
  </w:num>
  <w:num w:numId="5">
    <w:abstractNumId w:val="12"/>
  </w:num>
  <w:num w:numId="6">
    <w:abstractNumId w:val="17"/>
  </w:num>
  <w:num w:numId="7">
    <w:abstractNumId w:val="8"/>
  </w:num>
  <w:num w:numId="8">
    <w:abstractNumId w:val="3"/>
  </w:num>
  <w:num w:numId="9">
    <w:abstractNumId w:val="1"/>
  </w:num>
  <w:num w:numId="10">
    <w:abstractNumId w:val="9"/>
  </w:num>
  <w:num w:numId="11">
    <w:abstractNumId w:val="5"/>
  </w:num>
  <w:num w:numId="12">
    <w:abstractNumId w:val="10"/>
  </w:num>
  <w:num w:numId="13">
    <w:abstractNumId w:val="0"/>
  </w:num>
  <w:num w:numId="14">
    <w:abstractNumId w:val="11"/>
  </w:num>
  <w:num w:numId="15">
    <w:abstractNumId w:val="18"/>
  </w:num>
  <w:num w:numId="16">
    <w:abstractNumId w:val="4"/>
  </w:num>
  <w:num w:numId="17">
    <w:abstractNumId w:val="2"/>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056A8"/>
    <w:rsid w:val="000073AE"/>
    <w:rsid w:val="001C65DC"/>
    <w:rsid w:val="00242FA3"/>
    <w:rsid w:val="00263EB4"/>
    <w:rsid w:val="003E10D2"/>
    <w:rsid w:val="005F7AD3"/>
    <w:rsid w:val="00803146"/>
    <w:rsid w:val="008263E5"/>
    <w:rsid w:val="00A237C0"/>
    <w:rsid w:val="00AB5163"/>
    <w:rsid w:val="00D05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2B2E"/>
  <w15:chartTrackingRefBased/>
  <w15:docId w15:val="{908509ED-B100-4A6D-9D30-B2708013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6A8"/>
    <w:pPr>
      <w:widowControl w:val="0"/>
      <w:autoSpaceDE w:val="0"/>
      <w:autoSpaceDN w:val="0"/>
      <w:spacing w:before="120" w:after="120" w:line="240" w:lineRule="auto"/>
    </w:pPr>
    <w:rPr>
      <w:rFonts w:ascii="Avenir Next" w:eastAsia="AvenirNext LT Pro Bold" w:hAnsi="Avenir Next" w:cs="AvenirNext LT Pro Bold"/>
      <w:color w:val="575F61"/>
      <w:sz w:val="24"/>
      <w:lang w:val="en-GB"/>
    </w:rPr>
  </w:style>
  <w:style w:type="paragraph" w:styleId="Heading1">
    <w:name w:val="heading 1"/>
    <w:next w:val="BodyText"/>
    <w:link w:val="Heading1Char"/>
    <w:autoRedefine/>
    <w:uiPriority w:val="9"/>
    <w:qFormat/>
    <w:rsid w:val="00D056A8"/>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BodyText"/>
    <w:link w:val="Heading2Char"/>
    <w:autoRedefine/>
    <w:uiPriority w:val="9"/>
    <w:unhideWhenUsed/>
    <w:qFormat/>
    <w:rsid w:val="00D056A8"/>
    <w:pPr>
      <w:spacing w:before="600"/>
      <w:outlineLvl w:val="1"/>
    </w:pPr>
    <w:rPr>
      <w:bCs w:val="0"/>
      <w:color w:val="248EB9"/>
      <w:spacing w:val="-6"/>
      <w:sz w:val="36"/>
      <w:szCs w:val="36"/>
      <w:lang w:eastAsia="en-AU"/>
    </w:rPr>
  </w:style>
  <w:style w:type="paragraph" w:styleId="Heading3">
    <w:name w:val="heading 3"/>
    <w:basedOn w:val="Normal"/>
    <w:next w:val="Normal"/>
    <w:link w:val="Heading3Char"/>
    <w:autoRedefine/>
    <w:uiPriority w:val="9"/>
    <w:unhideWhenUsed/>
    <w:qFormat/>
    <w:rsid w:val="008263E5"/>
    <w:pPr>
      <w:spacing w:after="0"/>
      <w:outlineLvl w:val="2"/>
    </w:pPr>
    <w:rPr>
      <w:rFonts w:ascii="Avenir Next Demi Bold" w:hAnsi="Avenir Next Demi Bold"/>
      <w:b/>
      <w:sz w:val="32"/>
      <w:szCs w:val="32"/>
      <w:lang w:val="en-US" w:eastAsia="en-AU"/>
    </w:rPr>
  </w:style>
  <w:style w:type="paragraph" w:styleId="Heading4">
    <w:name w:val="heading 4"/>
    <w:basedOn w:val="Heading3"/>
    <w:next w:val="Normal"/>
    <w:link w:val="Heading4Char"/>
    <w:uiPriority w:val="9"/>
    <w:unhideWhenUsed/>
    <w:qFormat/>
    <w:rsid w:val="008263E5"/>
    <w:pPr>
      <w:outlineLvl w:val="3"/>
    </w:pPr>
    <w:rPr>
      <w:sz w:val="28"/>
    </w:rPr>
  </w:style>
  <w:style w:type="paragraph" w:styleId="Heading5">
    <w:name w:val="heading 5"/>
    <w:basedOn w:val="Heading4"/>
    <w:next w:val="Normal"/>
    <w:link w:val="Heading5Char"/>
    <w:uiPriority w:val="9"/>
    <w:unhideWhenUsed/>
    <w:qFormat/>
    <w:rsid w:val="008263E5"/>
    <w:pPr>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A8"/>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D056A8"/>
    <w:rPr>
      <w:rFonts w:ascii="Avenir Next Demi Bold" w:eastAsia="AvenirNextLTPro-Demi" w:hAnsi="Avenir Next Demi Bold" w:cs="AvenirNextLTPro-Demi"/>
      <w:b/>
      <w:color w:val="248EB9"/>
      <w:spacing w:val="-6"/>
      <w:sz w:val="36"/>
      <w:szCs w:val="36"/>
      <w:lang w:val="en-US" w:eastAsia="en-AU"/>
    </w:rPr>
  </w:style>
  <w:style w:type="character" w:customStyle="1" w:styleId="Heading3Char">
    <w:name w:val="Heading 3 Char"/>
    <w:basedOn w:val="DefaultParagraphFont"/>
    <w:link w:val="Heading3"/>
    <w:uiPriority w:val="9"/>
    <w:rsid w:val="008263E5"/>
    <w:rPr>
      <w:rFonts w:ascii="Avenir Next Demi Bold" w:eastAsia="AvenirNext LT Pro Bold" w:hAnsi="Avenir Next Demi Bold" w:cs="AvenirNext LT Pro Bold"/>
      <w:b/>
      <w:color w:val="575F61"/>
      <w:sz w:val="32"/>
      <w:szCs w:val="32"/>
      <w:lang w:val="en-US" w:eastAsia="en-AU"/>
    </w:rPr>
  </w:style>
  <w:style w:type="paragraph" w:styleId="TOC1">
    <w:name w:val="toc 1"/>
    <w:basedOn w:val="Normal"/>
    <w:uiPriority w:val="39"/>
    <w:qFormat/>
    <w:rsid w:val="00D056A8"/>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D056A8"/>
    <w:rPr>
      <w:szCs w:val="24"/>
    </w:rPr>
  </w:style>
  <w:style w:type="character" w:customStyle="1" w:styleId="BodyTextChar">
    <w:name w:val="Body Text Char"/>
    <w:basedOn w:val="DefaultParagraphFont"/>
    <w:link w:val="BodyText"/>
    <w:uiPriority w:val="1"/>
    <w:rsid w:val="00D056A8"/>
    <w:rPr>
      <w:rFonts w:ascii="Avenir Next" w:eastAsia="AvenirNext LT Pro Bold" w:hAnsi="Avenir Next" w:cs="AvenirNext LT Pro Bold"/>
      <w:color w:val="575F61"/>
      <w:sz w:val="24"/>
      <w:szCs w:val="24"/>
      <w:lang w:val="en-GB"/>
    </w:rPr>
  </w:style>
  <w:style w:type="paragraph" w:styleId="Title">
    <w:name w:val="Title"/>
    <w:basedOn w:val="Normal"/>
    <w:link w:val="TitleChar"/>
    <w:uiPriority w:val="10"/>
    <w:qFormat/>
    <w:rsid w:val="00D056A8"/>
    <w:pPr>
      <w:spacing w:before="75"/>
      <w:ind w:left="1127" w:right="1085"/>
      <w:jc w:val="center"/>
    </w:pPr>
    <w:rPr>
      <w:rFonts w:ascii="AvenirNextLTPro-Demi" w:eastAsia="AvenirNextLTPro-Demi" w:hAnsi="AvenirNextLTPro-Demi" w:cs="AvenirNextLTPro-Demi"/>
      <w:b/>
      <w:bCs/>
      <w:sz w:val="56"/>
      <w:szCs w:val="56"/>
    </w:rPr>
  </w:style>
  <w:style w:type="character" w:customStyle="1" w:styleId="TitleChar">
    <w:name w:val="Title Char"/>
    <w:basedOn w:val="DefaultParagraphFont"/>
    <w:link w:val="Title"/>
    <w:uiPriority w:val="10"/>
    <w:rsid w:val="00D056A8"/>
    <w:rPr>
      <w:rFonts w:ascii="AvenirNextLTPro-Demi" w:eastAsia="AvenirNextLTPro-Demi" w:hAnsi="AvenirNextLTPro-Demi" w:cs="AvenirNextLTPro-Demi"/>
      <w:b/>
      <w:bCs/>
      <w:color w:val="575F61"/>
      <w:sz w:val="56"/>
      <w:szCs w:val="56"/>
      <w:lang w:val="en-GB"/>
    </w:rPr>
  </w:style>
  <w:style w:type="paragraph" w:styleId="ListParagraph">
    <w:name w:val="List Paragraph"/>
    <w:aliases w:val="Bullets 2"/>
    <w:basedOn w:val="Normal"/>
    <w:next w:val="Normal"/>
    <w:link w:val="ListParagraphChar"/>
    <w:autoRedefine/>
    <w:uiPriority w:val="1"/>
    <w:qFormat/>
    <w:rsid w:val="00D056A8"/>
    <w:pPr>
      <w:numPr>
        <w:numId w:val="5"/>
      </w:numPr>
      <w:spacing w:before="24"/>
    </w:pPr>
    <w:rPr>
      <w:szCs w:val="24"/>
      <w:lang w:val="en-US" w:eastAsia="en-AU"/>
    </w:rPr>
  </w:style>
  <w:style w:type="paragraph" w:customStyle="1" w:styleId="TableParagraph">
    <w:name w:val="Table Paragraph"/>
    <w:basedOn w:val="Normal"/>
    <w:uiPriority w:val="1"/>
    <w:qFormat/>
    <w:rsid w:val="00D056A8"/>
    <w:rPr>
      <w:rFonts w:eastAsia="AvenirNextLTPro-Demi" w:cs="AvenirNextLTPro-Demi"/>
      <w:sz w:val="22"/>
    </w:rPr>
  </w:style>
  <w:style w:type="paragraph" w:customStyle="1" w:styleId="Bullets">
    <w:name w:val="Bullets"/>
    <w:basedOn w:val="BodyText"/>
    <w:next w:val="BodyText"/>
    <w:link w:val="BulletsChar"/>
    <w:autoRedefine/>
    <w:qFormat/>
    <w:rsid w:val="00D056A8"/>
    <w:pPr>
      <w:numPr>
        <w:numId w:val="16"/>
      </w:numPr>
      <w:spacing w:before="0"/>
    </w:pPr>
    <w:rPr>
      <w:rFonts w:ascii="Avenir Next LT Pro" w:hAnsi="Avenir Next LT Pro"/>
      <w:lang w:val="en-US" w:eastAsia="en-AU"/>
    </w:rPr>
  </w:style>
  <w:style w:type="paragraph" w:customStyle="1" w:styleId="Breakout">
    <w:name w:val="Breakout"/>
    <w:basedOn w:val="BodyText"/>
    <w:next w:val="BodyText"/>
    <w:autoRedefine/>
    <w:qFormat/>
    <w:rsid w:val="00D056A8"/>
    <w:pPr>
      <w:spacing w:after="240" w:line="440" w:lineRule="exact"/>
      <w:jc w:val="center"/>
    </w:pPr>
    <w:rPr>
      <w:color w:val="FFFFFF" w:themeColor="background1"/>
      <w:spacing w:val="-2"/>
      <w:sz w:val="36"/>
      <w:szCs w:val="36"/>
      <w:lang w:val="en-US" w:eastAsia="en-AU"/>
    </w:rPr>
  </w:style>
  <w:style w:type="paragraph" w:styleId="TOCHeading">
    <w:name w:val="TOC Heading"/>
    <w:basedOn w:val="Heading1"/>
    <w:next w:val="Normal"/>
    <w:uiPriority w:val="39"/>
    <w:unhideWhenUsed/>
    <w:qFormat/>
    <w:rsid w:val="00D056A8"/>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D056A8"/>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D056A8"/>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D056A8"/>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D056A8"/>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056A8"/>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056A8"/>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056A8"/>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056A8"/>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056A8"/>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D056A8"/>
    <w:pPr>
      <w:tabs>
        <w:tab w:val="center" w:pos="4513"/>
        <w:tab w:val="right" w:pos="9026"/>
      </w:tabs>
      <w:spacing w:before="0" w:after="0"/>
    </w:pPr>
  </w:style>
  <w:style w:type="character" w:customStyle="1" w:styleId="FooterChar">
    <w:name w:val="Footer Char"/>
    <w:basedOn w:val="DefaultParagraphFont"/>
    <w:link w:val="Footer"/>
    <w:uiPriority w:val="99"/>
    <w:rsid w:val="00D056A8"/>
    <w:rPr>
      <w:rFonts w:ascii="Avenir Next" w:eastAsia="AvenirNext LT Pro Bold" w:hAnsi="Avenir Next" w:cs="AvenirNext LT Pro Bold"/>
      <w:color w:val="575F61"/>
      <w:sz w:val="24"/>
      <w:lang w:val="en-GB"/>
    </w:rPr>
  </w:style>
  <w:style w:type="character" w:styleId="PageNumber">
    <w:name w:val="page number"/>
    <w:basedOn w:val="DefaultParagraphFont"/>
    <w:uiPriority w:val="99"/>
    <w:semiHidden/>
    <w:unhideWhenUsed/>
    <w:rsid w:val="00D056A8"/>
    <w:rPr>
      <w:rFonts w:ascii="AvenirNext LT Pro Regular" w:hAnsi="AvenirNext LT Pro Regular"/>
    </w:rPr>
  </w:style>
  <w:style w:type="paragraph" w:styleId="Header">
    <w:name w:val="header"/>
    <w:basedOn w:val="Normal"/>
    <w:link w:val="HeaderChar"/>
    <w:uiPriority w:val="99"/>
    <w:unhideWhenUsed/>
    <w:rsid w:val="00D056A8"/>
    <w:pPr>
      <w:tabs>
        <w:tab w:val="center" w:pos="4513"/>
        <w:tab w:val="right" w:pos="9026"/>
      </w:tabs>
      <w:spacing w:before="0" w:after="0"/>
    </w:pPr>
  </w:style>
  <w:style w:type="character" w:customStyle="1" w:styleId="HeaderChar">
    <w:name w:val="Header Char"/>
    <w:basedOn w:val="DefaultParagraphFont"/>
    <w:link w:val="Header"/>
    <w:uiPriority w:val="99"/>
    <w:rsid w:val="00D056A8"/>
    <w:rPr>
      <w:rFonts w:ascii="Avenir Next" w:eastAsia="AvenirNext LT Pro Bold" w:hAnsi="Avenir Next" w:cs="AvenirNext LT Pro Bold"/>
      <w:color w:val="575F61"/>
      <w:sz w:val="24"/>
      <w:lang w:val="en-GB"/>
    </w:rPr>
  </w:style>
  <w:style w:type="table" w:customStyle="1" w:styleId="Table">
    <w:name w:val="Table"/>
    <w:basedOn w:val="TableNormal"/>
    <w:uiPriority w:val="99"/>
    <w:rsid w:val="00D056A8"/>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D056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D056A8"/>
    <w:pPr>
      <w:spacing w:after="0"/>
    </w:pPr>
    <w:rPr>
      <w:rFonts w:ascii="Avenir Next Demi Bold" w:hAnsi="Avenir Next Demi Bold"/>
      <w:b/>
      <w:bCs/>
    </w:rPr>
  </w:style>
  <w:style w:type="paragraph" w:styleId="IntenseQuote">
    <w:name w:val="Intense Quote"/>
    <w:basedOn w:val="Normal"/>
    <w:next w:val="Normal"/>
    <w:link w:val="IntenseQuoteChar"/>
    <w:uiPriority w:val="30"/>
    <w:qFormat/>
    <w:rsid w:val="00D056A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56A8"/>
    <w:rPr>
      <w:rFonts w:ascii="Avenir Next" w:eastAsia="AvenirNext LT Pro Bold" w:hAnsi="Avenir Next" w:cs="AvenirNext LT Pro Bold"/>
      <w:i/>
      <w:iCs/>
      <w:color w:val="4472C4" w:themeColor="accent1"/>
      <w:sz w:val="24"/>
      <w:lang w:val="en-GB"/>
    </w:rPr>
  </w:style>
  <w:style w:type="character" w:styleId="Emphasis">
    <w:name w:val="Emphasis"/>
    <w:basedOn w:val="DefaultParagraphFont"/>
    <w:uiPriority w:val="20"/>
    <w:qFormat/>
    <w:rsid w:val="00D056A8"/>
    <w:rPr>
      <w:i/>
      <w:iCs/>
    </w:rPr>
  </w:style>
  <w:style w:type="character" w:styleId="Strong">
    <w:name w:val="Strong"/>
    <w:basedOn w:val="DefaultParagraphFont"/>
    <w:uiPriority w:val="22"/>
    <w:qFormat/>
    <w:rsid w:val="00D056A8"/>
    <w:rPr>
      <w:b/>
      <w:bCs/>
    </w:rPr>
  </w:style>
  <w:style w:type="paragraph" w:customStyle="1" w:styleId="Style1">
    <w:name w:val="Style1"/>
    <w:basedOn w:val="Normal"/>
    <w:link w:val="Style1Char"/>
    <w:qFormat/>
    <w:rsid w:val="00D056A8"/>
    <w:pPr>
      <w:widowControl/>
      <w:autoSpaceDE/>
      <w:autoSpaceDN/>
      <w:spacing w:before="0" w:after="160" w:line="259" w:lineRule="auto"/>
    </w:pPr>
    <w:rPr>
      <w:rFonts w:ascii="Avenir Next LT Pro" w:eastAsiaTheme="minorHAnsi" w:hAnsi="Avenir Next LT Pro" w:cstheme="minorBidi"/>
      <w:color w:val="auto"/>
      <w:sz w:val="22"/>
      <w:lang w:val="en-AU"/>
    </w:rPr>
  </w:style>
  <w:style w:type="table" w:styleId="GridTable1Light-Accent5">
    <w:name w:val="Grid Table 1 Light Accent 5"/>
    <w:basedOn w:val="TableNormal"/>
    <w:uiPriority w:val="46"/>
    <w:rsid w:val="00D056A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D056A8"/>
    <w:pPr>
      <w:widowControl w:val="0"/>
      <w:autoSpaceDE w:val="0"/>
      <w:autoSpaceDN w:val="0"/>
      <w:spacing w:after="0" w:line="240" w:lineRule="auto"/>
    </w:pPr>
    <w:rPr>
      <w:color w:val="2F5496" w:themeColor="accent1" w:themeShade="BF"/>
      <w:lang w:val="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D056A8"/>
    <w:pPr>
      <w:spacing w:after="0"/>
      <w:jc w:val="center"/>
    </w:pPr>
    <w:rPr>
      <w:noProof/>
      <w:szCs w:val="24"/>
      <w:lang w:val="en-US" w:eastAsia="en-AU"/>
    </w:rPr>
  </w:style>
  <w:style w:type="character" w:customStyle="1" w:styleId="ListParagraphChar">
    <w:name w:val="List Paragraph Char"/>
    <w:aliases w:val="Bullets 2 Char"/>
    <w:basedOn w:val="DefaultParagraphFont"/>
    <w:link w:val="ListParagraph"/>
    <w:uiPriority w:val="1"/>
    <w:rsid w:val="00D056A8"/>
    <w:rPr>
      <w:rFonts w:ascii="Avenir Next" w:eastAsia="AvenirNext LT Pro Bold" w:hAnsi="Avenir Next" w:cs="AvenirNext LT Pro Bold"/>
      <w:color w:val="575F61"/>
      <w:sz w:val="24"/>
      <w:szCs w:val="24"/>
      <w:lang w:val="en-US" w:eastAsia="en-AU"/>
    </w:rPr>
  </w:style>
  <w:style w:type="character" w:customStyle="1" w:styleId="EndNoteBibliographyTitleChar">
    <w:name w:val="EndNote Bibliography Title Char"/>
    <w:basedOn w:val="ListParagraphChar"/>
    <w:link w:val="EndNoteBibliographyTitle"/>
    <w:rsid w:val="00D056A8"/>
    <w:rPr>
      <w:rFonts w:ascii="Avenir Next" w:eastAsia="AvenirNext LT Pro Bold" w:hAnsi="Avenir Next" w:cs="AvenirNext LT Pro Bold"/>
      <w:noProof/>
      <w:color w:val="575F61"/>
      <w:sz w:val="24"/>
      <w:szCs w:val="24"/>
      <w:lang w:val="en-US" w:eastAsia="en-AU"/>
    </w:rPr>
  </w:style>
  <w:style w:type="paragraph" w:customStyle="1" w:styleId="EndNoteBibliography">
    <w:name w:val="EndNote Bibliography"/>
    <w:basedOn w:val="Normal"/>
    <w:link w:val="EndNoteBibliographyChar"/>
    <w:rsid w:val="00D056A8"/>
    <w:rPr>
      <w:noProof/>
      <w:szCs w:val="24"/>
      <w:lang w:val="en-US" w:eastAsia="en-AU"/>
    </w:rPr>
  </w:style>
  <w:style w:type="character" w:customStyle="1" w:styleId="EndNoteBibliographyChar">
    <w:name w:val="EndNote Bibliography Char"/>
    <w:basedOn w:val="ListParagraphChar"/>
    <w:link w:val="EndNoteBibliography"/>
    <w:rsid w:val="00D056A8"/>
    <w:rPr>
      <w:rFonts w:ascii="Avenir Next" w:eastAsia="AvenirNext LT Pro Bold" w:hAnsi="Avenir Next" w:cs="AvenirNext LT Pro Bold"/>
      <w:noProof/>
      <w:color w:val="575F61"/>
      <w:sz w:val="24"/>
      <w:szCs w:val="24"/>
      <w:lang w:val="en-US" w:eastAsia="en-AU"/>
    </w:rPr>
  </w:style>
  <w:style w:type="character" w:styleId="UnresolvedMention">
    <w:name w:val="Unresolved Mention"/>
    <w:basedOn w:val="DefaultParagraphFont"/>
    <w:uiPriority w:val="99"/>
    <w:semiHidden/>
    <w:unhideWhenUsed/>
    <w:rsid w:val="00D056A8"/>
    <w:rPr>
      <w:color w:val="605E5C"/>
      <w:shd w:val="clear" w:color="auto" w:fill="E1DFDD"/>
    </w:rPr>
  </w:style>
  <w:style w:type="paragraph" w:styleId="FootnoteText">
    <w:name w:val="footnote text"/>
    <w:basedOn w:val="Normal"/>
    <w:link w:val="FootnoteTextChar"/>
    <w:uiPriority w:val="99"/>
    <w:semiHidden/>
    <w:unhideWhenUsed/>
    <w:rsid w:val="00D056A8"/>
    <w:pPr>
      <w:spacing w:before="0" w:after="0"/>
    </w:pPr>
    <w:rPr>
      <w:sz w:val="20"/>
      <w:szCs w:val="20"/>
    </w:rPr>
  </w:style>
  <w:style w:type="character" w:customStyle="1" w:styleId="FootnoteTextChar">
    <w:name w:val="Footnote Text Char"/>
    <w:basedOn w:val="DefaultParagraphFont"/>
    <w:link w:val="FootnoteText"/>
    <w:uiPriority w:val="99"/>
    <w:semiHidden/>
    <w:rsid w:val="00D056A8"/>
    <w:rPr>
      <w:rFonts w:ascii="Avenir Next" w:eastAsia="AvenirNext LT Pro Bold" w:hAnsi="Avenir Next" w:cs="AvenirNext LT Pro Bold"/>
      <w:color w:val="575F61"/>
      <w:sz w:val="20"/>
      <w:szCs w:val="20"/>
      <w:lang w:val="en-GB"/>
    </w:rPr>
  </w:style>
  <w:style w:type="character" w:styleId="FootnoteReference">
    <w:name w:val="footnote reference"/>
    <w:basedOn w:val="DefaultParagraphFont"/>
    <w:uiPriority w:val="99"/>
    <w:semiHidden/>
    <w:unhideWhenUsed/>
    <w:rsid w:val="00D056A8"/>
    <w:rPr>
      <w:vertAlign w:val="superscript"/>
    </w:rPr>
  </w:style>
  <w:style w:type="paragraph" w:styleId="NormalWeb">
    <w:name w:val="Normal (Web)"/>
    <w:basedOn w:val="Normal"/>
    <w:uiPriority w:val="99"/>
    <w:semiHidden/>
    <w:unhideWhenUsed/>
    <w:rsid w:val="00D056A8"/>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CommentReference">
    <w:name w:val="annotation reference"/>
    <w:basedOn w:val="DefaultParagraphFont"/>
    <w:uiPriority w:val="99"/>
    <w:semiHidden/>
    <w:unhideWhenUsed/>
    <w:rsid w:val="00D056A8"/>
    <w:rPr>
      <w:sz w:val="16"/>
      <w:szCs w:val="16"/>
    </w:rPr>
  </w:style>
  <w:style w:type="paragraph" w:styleId="CommentText">
    <w:name w:val="annotation text"/>
    <w:basedOn w:val="Normal"/>
    <w:link w:val="CommentTextChar"/>
    <w:uiPriority w:val="99"/>
    <w:semiHidden/>
    <w:unhideWhenUsed/>
    <w:rsid w:val="00D056A8"/>
    <w:rPr>
      <w:sz w:val="20"/>
      <w:szCs w:val="20"/>
    </w:rPr>
  </w:style>
  <w:style w:type="character" w:customStyle="1" w:styleId="CommentTextChar">
    <w:name w:val="Comment Text Char"/>
    <w:basedOn w:val="DefaultParagraphFont"/>
    <w:link w:val="CommentText"/>
    <w:uiPriority w:val="99"/>
    <w:semiHidden/>
    <w:rsid w:val="00D056A8"/>
    <w:rPr>
      <w:rFonts w:ascii="Avenir Next" w:eastAsia="AvenirNext LT Pro Bold" w:hAnsi="Avenir Next" w:cs="AvenirNext LT Pro Bold"/>
      <w:color w:val="575F61"/>
      <w:sz w:val="20"/>
      <w:szCs w:val="20"/>
      <w:lang w:val="en-GB"/>
    </w:rPr>
  </w:style>
  <w:style w:type="paragraph" w:styleId="CommentSubject">
    <w:name w:val="annotation subject"/>
    <w:basedOn w:val="CommentText"/>
    <w:next w:val="CommentText"/>
    <w:link w:val="CommentSubjectChar"/>
    <w:uiPriority w:val="99"/>
    <w:semiHidden/>
    <w:unhideWhenUsed/>
    <w:rsid w:val="00D056A8"/>
    <w:rPr>
      <w:b/>
      <w:bCs/>
    </w:rPr>
  </w:style>
  <w:style w:type="character" w:customStyle="1" w:styleId="CommentSubjectChar">
    <w:name w:val="Comment Subject Char"/>
    <w:basedOn w:val="CommentTextChar"/>
    <w:link w:val="CommentSubject"/>
    <w:uiPriority w:val="99"/>
    <w:semiHidden/>
    <w:rsid w:val="00D056A8"/>
    <w:rPr>
      <w:rFonts w:ascii="Avenir Next" w:eastAsia="AvenirNext LT Pro Bold" w:hAnsi="Avenir Next" w:cs="AvenirNext LT Pro Bold"/>
      <w:b/>
      <w:bCs/>
      <w:color w:val="575F61"/>
      <w:sz w:val="20"/>
      <w:szCs w:val="20"/>
      <w:lang w:val="en-GB"/>
    </w:rPr>
  </w:style>
  <w:style w:type="paragraph" w:styleId="BalloonText">
    <w:name w:val="Balloon Text"/>
    <w:basedOn w:val="Normal"/>
    <w:link w:val="BalloonTextChar"/>
    <w:uiPriority w:val="99"/>
    <w:semiHidden/>
    <w:unhideWhenUsed/>
    <w:rsid w:val="00D056A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A8"/>
    <w:rPr>
      <w:rFonts w:ascii="Segoe UI" w:eastAsia="AvenirNext LT Pro Bold" w:hAnsi="Segoe UI" w:cs="Segoe UI"/>
      <w:color w:val="575F61"/>
      <w:sz w:val="18"/>
      <w:szCs w:val="18"/>
      <w:lang w:val="en-GB"/>
    </w:rPr>
  </w:style>
  <w:style w:type="character" w:styleId="FollowedHyperlink">
    <w:name w:val="FollowedHyperlink"/>
    <w:basedOn w:val="DefaultParagraphFont"/>
    <w:uiPriority w:val="99"/>
    <w:semiHidden/>
    <w:unhideWhenUsed/>
    <w:rsid w:val="00D056A8"/>
    <w:rPr>
      <w:color w:val="954F72" w:themeColor="followedHyperlink"/>
      <w:u w:val="single"/>
    </w:rPr>
  </w:style>
  <w:style w:type="character" w:styleId="SubtleEmphasis">
    <w:name w:val="Subtle Emphasis"/>
    <w:basedOn w:val="DefaultParagraphFont"/>
    <w:uiPriority w:val="19"/>
    <w:qFormat/>
    <w:rsid w:val="00D056A8"/>
    <w:rPr>
      <w:i/>
      <w:iCs/>
      <w:color w:val="404040" w:themeColor="text1" w:themeTint="BF"/>
    </w:rPr>
  </w:style>
  <w:style w:type="paragraph" w:styleId="Revision">
    <w:name w:val="Revision"/>
    <w:hidden/>
    <w:uiPriority w:val="99"/>
    <w:semiHidden/>
    <w:rsid w:val="00D056A8"/>
    <w:pPr>
      <w:spacing w:after="0" w:line="240" w:lineRule="auto"/>
    </w:pPr>
    <w:rPr>
      <w:rFonts w:ascii="Avenir Next" w:eastAsia="AvenirNext LT Pro Bold" w:hAnsi="Avenir Next" w:cs="AvenirNext LT Pro Bold"/>
      <w:color w:val="575F61"/>
      <w:sz w:val="24"/>
      <w:lang w:val="en-GB"/>
    </w:rPr>
  </w:style>
  <w:style w:type="numbering" w:customStyle="1" w:styleId="Numberedpoints">
    <w:name w:val="Numbered points"/>
    <w:basedOn w:val="NoList"/>
    <w:uiPriority w:val="99"/>
    <w:rsid w:val="00D056A8"/>
    <w:pPr>
      <w:numPr>
        <w:numId w:val="4"/>
      </w:numPr>
    </w:pPr>
  </w:style>
  <w:style w:type="paragraph" w:customStyle="1" w:styleId="Style2">
    <w:name w:val="Style2"/>
    <w:basedOn w:val="Style1"/>
    <w:link w:val="Style2Char"/>
    <w:qFormat/>
    <w:rsid w:val="00D056A8"/>
  </w:style>
  <w:style w:type="paragraph" w:customStyle="1" w:styleId="Style3">
    <w:name w:val="Style3"/>
    <w:basedOn w:val="Bullets"/>
    <w:link w:val="Style3Char"/>
    <w:rsid w:val="00D056A8"/>
  </w:style>
  <w:style w:type="character" w:customStyle="1" w:styleId="Style1Char">
    <w:name w:val="Style1 Char"/>
    <w:basedOn w:val="DefaultParagraphFont"/>
    <w:link w:val="Style1"/>
    <w:rsid w:val="00D056A8"/>
    <w:rPr>
      <w:rFonts w:ascii="Avenir Next LT Pro" w:hAnsi="Avenir Next LT Pro"/>
    </w:rPr>
  </w:style>
  <w:style w:type="character" w:customStyle="1" w:styleId="Style2Char">
    <w:name w:val="Style2 Char"/>
    <w:basedOn w:val="Style1Char"/>
    <w:link w:val="Style2"/>
    <w:rsid w:val="00D056A8"/>
    <w:rPr>
      <w:rFonts w:ascii="Avenir Next LT Pro" w:hAnsi="Avenir Next LT Pro"/>
    </w:rPr>
  </w:style>
  <w:style w:type="paragraph" w:customStyle="1" w:styleId="Bullets3">
    <w:name w:val="Bullets 3"/>
    <w:basedOn w:val="Bullets"/>
    <w:link w:val="Bullets3Char"/>
    <w:rsid w:val="00D056A8"/>
  </w:style>
  <w:style w:type="character" w:customStyle="1" w:styleId="BulletsChar">
    <w:name w:val="Bullets Char"/>
    <w:basedOn w:val="BodyTextChar"/>
    <w:link w:val="Bullets"/>
    <w:rsid w:val="00D056A8"/>
    <w:rPr>
      <w:rFonts w:ascii="Avenir Next LT Pro" w:eastAsia="AvenirNext LT Pro Bold" w:hAnsi="Avenir Next LT Pro" w:cs="AvenirNext LT Pro Bold"/>
      <w:color w:val="575F61"/>
      <w:sz w:val="24"/>
      <w:szCs w:val="24"/>
      <w:lang w:val="en-US" w:eastAsia="en-AU"/>
    </w:rPr>
  </w:style>
  <w:style w:type="character" w:customStyle="1" w:styleId="Style3Char">
    <w:name w:val="Style3 Char"/>
    <w:basedOn w:val="BulletsChar"/>
    <w:link w:val="Style3"/>
    <w:rsid w:val="00D056A8"/>
    <w:rPr>
      <w:rFonts w:ascii="Avenir Next LT Pro" w:eastAsia="AvenirNext LT Pro Bold" w:hAnsi="Avenir Next LT Pro" w:cs="AvenirNext LT Pro Bold"/>
      <w:color w:val="575F61"/>
      <w:sz w:val="24"/>
      <w:szCs w:val="24"/>
      <w:lang w:val="en-US" w:eastAsia="en-AU"/>
    </w:rPr>
  </w:style>
  <w:style w:type="character" w:customStyle="1" w:styleId="Bullets3Char">
    <w:name w:val="Bullets 3 Char"/>
    <w:basedOn w:val="BulletsChar"/>
    <w:link w:val="Bullets3"/>
    <w:rsid w:val="00D056A8"/>
    <w:rPr>
      <w:rFonts w:ascii="Avenir Next LT Pro" w:eastAsia="AvenirNext LT Pro Bold" w:hAnsi="Avenir Next LT Pro" w:cs="AvenirNext LT Pro Bold"/>
      <w:color w:val="575F61"/>
      <w:sz w:val="24"/>
      <w:szCs w:val="24"/>
      <w:lang w:val="en-US" w:eastAsia="en-AU"/>
    </w:rPr>
  </w:style>
  <w:style w:type="character" w:styleId="IntenseEmphasis">
    <w:name w:val="Intense Emphasis"/>
    <w:basedOn w:val="DefaultParagraphFont"/>
    <w:uiPriority w:val="21"/>
    <w:qFormat/>
    <w:rsid w:val="00D056A8"/>
    <w:rPr>
      <w:i/>
      <w:iCs/>
      <w:color w:val="4472C4" w:themeColor="accent1"/>
    </w:rPr>
  </w:style>
  <w:style w:type="paragraph" w:styleId="Quote">
    <w:name w:val="Quote"/>
    <w:basedOn w:val="Normal"/>
    <w:next w:val="Normal"/>
    <w:link w:val="QuoteChar"/>
    <w:uiPriority w:val="29"/>
    <w:qFormat/>
    <w:rsid w:val="00D056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56A8"/>
    <w:rPr>
      <w:rFonts w:ascii="Avenir Next" w:eastAsia="AvenirNext LT Pro Bold" w:hAnsi="Avenir Next" w:cs="AvenirNext LT Pro Bold"/>
      <w:i/>
      <w:iCs/>
      <w:color w:val="404040" w:themeColor="text1" w:themeTint="BF"/>
      <w:sz w:val="24"/>
      <w:lang w:val="en-GB"/>
    </w:rPr>
  </w:style>
  <w:style w:type="character" w:styleId="IntenseReference">
    <w:name w:val="Intense Reference"/>
    <w:basedOn w:val="DefaultParagraphFont"/>
    <w:uiPriority w:val="32"/>
    <w:qFormat/>
    <w:rsid w:val="00D056A8"/>
    <w:rPr>
      <w:b/>
      <w:bCs/>
      <w:smallCaps/>
      <w:color w:val="4472C4" w:themeColor="accent1"/>
      <w:spacing w:val="5"/>
    </w:rPr>
  </w:style>
  <w:style w:type="paragraph" w:customStyle="1" w:styleId="Default">
    <w:name w:val="Default"/>
    <w:rsid w:val="00D056A8"/>
    <w:pPr>
      <w:autoSpaceDE w:val="0"/>
      <w:autoSpaceDN w:val="0"/>
      <w:adjustRightInd w:val="0"/>
      <w:spacing w:after="0" w:line="240" w:lineRule="auto"/>
    </w:pPr>
    <w:rPr>
      <w:rFonts w:ascii="Gill Sans MT" w:hAnsi="Gill Sans MT" w:cs="Gill Sans MT"/>
      <w:color w:val="000000"/>
      <w:sz w:val="24"/>
      <w:szCs w:val="24"/>
    </w:rPr>
  </w:style>
  <w:style w:type="paragraph" w:styleId="Subtitle">
    <w:name w:val="Subtitle"/>
    <w:basedOn w:val="Normal"/>
    <w:next w:val="Normal"/>
    <w:link w:val="SubtitleChar"/>
    <w:uiPriority w:val="11"/>
    <w:qFormat/>
    <w:rsid w:val="00D056A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056A8"/>
    <w:rPr>
      <w:rFonts w:eastAsiaTheme="minorEastAsia"/>
      <w:color w:val="5A5A5A" w:themeColor="text1" w:themeTint="A5"/>
      <w:spacing w:val="15"/>
      <w:lang w:val="en-GB"/>
    </w:rPr>
  </w:style>
  <w:style w:type="paragraph" w:customStyle="1" w:styleId="TableBodyText">
    <w:name w:val="Table Body Text"/>
    <w:basedOn w:val="BodyText"/>
    <w:rsid w:val="00D056A8"/>
    <w:pPr>
      <w:keepNext/>
      <w:keepLines/>
      <w:widowControl/>
      <w:autoSpaceDE/>
      <w:autoSpaceDN/>
      <w:spacing w:before="0" w:after="40" w:line="220" w:lineRule="atLeast"/>
      <w:ind w:left="6" w:right="113"/>
      <w:jc w:val="right"/>
    </w:pPr>
    <w:rPr>
      <w:rFonts w:ascii="Arial" w:eastAsia="Times New Roman" w:hAnsi="Arial" w:cs="Times New Roman"/>
      <w:color w:val="auto"/>
      <w:sz w:val="20"/>
      <w:szCs w:val="20"/>
      <w:lang w:val="en-AU" w:eastAsia="en-AU"/>
    </w:rPr>
  </w:style>
  <w:style w:type="paragraph" w:customStyle="1" w:styleId="BoxListBullet2">
    <w:name w:val="Box List Bullet 2"/>
    <w:basedOn w:val="BodyText"/>
    <w:rsid w:val="00D056A8"/>
    <w:pPr>
      <w:keepNext/>
      <w:widowControl/>
      <w:numPr>
        <w:numId w:val="9"/>
      </w:numPr>
      <w:tabs>
        <w:tab w:val="clear" w:pos="567"/>
        <w:tab w:val="left" w:pos="284"/>
        <w:tab w:val="num" w:pos="360"/>
      </w:tabs>
      <w:autoSpaceDE/>
      <w:autoSpaceDN/>
      <w:spacing w:before="60" w:after="0" w:line="280" w:lineRule="atLeast"/>
      <w:ind w:left="0" w:firstLine="0"/>
      <w:jc w:val="both"/>
    </w:pPr>
    <w:rPr>
      <w:rFonts w:ascii="Arial" w:eastAsia="Times New Roman" w:hAnsi="Arial" w:cs="Times New Roman"/>
      <w:color w:val="auto"/>
      <w:sz w:val="22"/>
      <w:szCs w:val="20"/>
      <w:lang w:val="en-AU" w:eastAsia="en-AU"/>
    </w:rPr>
  </w:style>
  <w:style w:type="paragraph" w:customStyle="1" w:styleId="TableColumnHeading">
    <w:name w:val="Table Column Heading"/>
    <w:basedOn w:val="TableBodyText"/>
    <w:rsid w:val="00D056A8"/>
    <w:pPr>
      <w:spacing w:before="80" w:after="80"/>
    </w:pPr>
    <w:rPr>
      <w:i/>
    </w:rPr>
  </w:style>
  <w:style w:type="paragraph" w:customStyle="1" w:styleId="TableUnitsRow">
    <w:name w:val="Table Units Row"/>
    <w:basedOn w:val="TableBodyText"/>
    <w:rsid w:val="00D056A8"/>
    <w:pPr>
      <w:spacing w:before="80" w:after="80"/>
    </w:pPr>
  </w:style>
  <w:style w:type="character" w:customStyle="1" w:styleId="NoteLabel">
    <w:name w:val="Note Label"/>
    <w:basedOn w:val="DefaultParagraphFont"/>
    <w:rsid w:val="00D056A8"/>
    <w:rPr>
      <w:rFonts w:ascii="Arial" w:hAnsi="Arial" w:cs="Arial" w:hint="default"/>
      <w:b/>
      <w:bCs w:val="0"/>
      <w:position w:val="6"/>
      <w:sz w:val="18"/>
    </w:rPr>
  </w:style>
  <w:style w:type="character" w:customStyle="1" w:styleId="Heading4Char">
    <w:name w:val="Heading 4 Char"/>
    <w:basedOn w:val="DefaultParagraphFont"/>
    <w:link w:val="Heading4"/>
    <w:uiPriority w:val="9"/>
    <w:rsid w:val="008263E5"/>
    <w:rPr>
      <w:rFonts w:ascii="Avenir Next Demi Bold" w:eastAsia="AvenirNext LT Pro Bold" w:hAnsi="Avenir Next Demi Bold" w:cs="AvenirNext LT Pro Bold"/>
      <w:b/>
      <w:color w:val="575F61"/>
      <w:sz w:val="28"/>
      <w:szCs w:val="32"/>
      <w:lang w:val="en-US" w:eastAsia="en-AU"/>
    </w:rPr>
  </w:style>
  <w:style w:type="character" w:customStyle="1" w:styleId="Heading5Char">
    <w:name w:val="Heading 5 Char"/>
    <w:basedOn w:val="DefaultParagraphFont"/>
    <w:link w:val="Heading5"/>
    <w:uiPriority w:val="9"/>
    <w:rsid w:val="008263E5"/>
    <w:rPr>
      <w:rFonts w:ascii="Avenir Next Demi Bold" w:eastAsia="AvenirNext LT Pro Bold" w:hAnsi="Avenir Next Demi Bold" w:cs="AvenirNext LT Pro Bold"/>
      <w:b/>
      <w:i/>
      <w:color w:val="575F61"/>
      <w:sz w:val="24"/>
      <w:szCs w:val="3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glicare-tas.org.au/clued-i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hyperlink" Target="http://www.anglicare-tas.org.a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treasury.tas.gov.au/Documents/Responsible%20Conduct%20of%20Gambling%20Workbook%20(SITHGAM022)%20-%20Version%205.7%20-%2024%20August%20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jones@anglicare-tas.org.au" TargetMode="Externa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hyperlink" Target="https://tascoss.org.au/wp-content/uploads/2024/03/2024-Tasmanian-State-Election-Joint-Statement-on-Poker-Machines-in-Tasmania-FINAL-v1.pdf" TargetMode="External"/><Relationship Id="rId10" Type="http://schemas.openxmlformats.org/officeDocument/2006/relationships/footer" Target="footer1.xml"/><Relationship Id="rId19" Type="http://schemas.openxmlformats.org/officeDocument/2006/relationships/hyperlink" Target="https://knowyourodds.net.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gamblinghelponline.org.au"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4D9B-42B5-9151-660FC8428059}"/>
              </c:ext>
            </c:extLst>
          </c:dPt>
          <c:cat>
            <c:strRef>
              <c:f>Sheet2!$A$11:$A$12</c:f>
              <c:strCache>
                <c:ptCount val="2"/>
                <c:pt idx="0">
                  <c:v>EGMs in hotels and clubs - no precommitment card</c:v>
                </c:pt>
                <c:pt idx="1">
                  <c:v>EGMs in casinos - precommitment card</c:v>
                </c:pt>
              </c:strCache>
            </c:strRef>
          </c:cat>
          <c:val>
            <c:numRef>
              <c:f>Sheet2!$B$11:$B$12</c:f>
              <c:numCache>
                <c:formatCode>0.0</c:formatCode>
                <c:ptCount val="2"/>
                <c:pt idx="0">
                  <c:v>14.751038393429079</c:v>
                </c:pt>
                <c:pt idx="1">
                  <c:v>4.7072340367331362</c:v>
                </c:pt>
              </c:numCache>
            </c:numRef>
          </c:val>
          <c:extLst>
            <c:ext xmlns:c16="http://schemas.microsoft.com/office/drawing/2014/chart" uri="{C3380CC4-5D6E-409C-BE32-E72D297353CC}">
              <c16:uniqueId val="{00000002-4D9B-42B5-9151-660FC8428059}"/>
            </c:ext>
          </c:extLst>
        </c:ser>
        <c:dLbls>
          <c:showLegendKey val="0"/>
          <c:showVal val="0"/>
          <c:showCatName val="0"/>
          <c:showSerName val="0"/>
          <c:showPercent val="0"/>
          <c:showBubbleSize val="0"/>
        </c:dLbls>
        <c:gapWidth val="182"/>
        <c:axId val="1666900143"/>
        <c:axId val="1571147775"/>
      </c:barChart>
      <c:catAx>
        <c:axId val="16669001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571147775"/>
        <c:crosses val="autoZero"/>
        <c:auto val="1"/>
        <c:lblAlgn val="ctr"/>
        <c:lblOffset val="100"/>
        <c:noMultiLvlLbl val="0"/>
      </c:catAx>
      <c:valAx>
        <c:axId val="1571147775"/>
        <c:scaling>
          <c:orientation val="minMax"/>
          <c:max val="1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6900143"/>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2037B-81C4-4707-89EC-FC87F8DB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3</cp:revision>
  <dcterms:created xsi:type="dcterms:W3CDTF">2024-12-05T03:02:00Z</dcterms:created>
  <dcterms:modified xsi:type="dcterms:W3CDTF">2024-12-05T03:53:00Z</dcterms:modified>
</cp:coreProperties>
</file>