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9DBFD" w14:textId="4617CA9B" w:rsidR="00F643D3" w:rsidRPr="00425028" w:rsidRDefault="00F643D3" w:rsidP="00B71E6B">
      <w:pPr>
        <w:pStyle w:val="Title"/>
        <w:rPr>
          <w:rFonts w:ascii="Avenir Next LT Pro" w:hAnsi="Avenir Next LT Pro"/>
        </w:rPr>
      </w:pPr>
      <w:bookmarkStart w:id="0" w:name="_Toc195101851"/>
      <w:bookmarkStart w:id="1" w:name="_GoBack"/>
      <w:bookmarkEnd w:id="1"/>
      <w:r w:rsidRPr="00425028">
        <w:rPr>
          <w:rFonts w:ascii="Avenir Next LT Pro" w:hAnsi="Avenir Next LT Pro"/>
        </w:rPr>
        <w:t>Rental Affordability Snapshot 2025</w:t>
      </w:r>
      <w:bookmarkEnd w:id="0"/>
    </w:p>
    <w:p w14:paraId="73EFA12A" w14:textId="77777777" w:rsidR="00423492" w:rsidRPr="00425028" w:rsidRDefault="00423492" w:rsidP="00B71E6B"/>
    <w:p w14:paraId="5C623E57" w14:textId="77777777" w:rsidR="00423492" w:rsidRPr="00425028" w:rsidRDefault="00423492" w:rsidP="00B71E6B"/>
    <w:p w14:paraId="6F53D5F4" w14:textId="25AE2305" w:rsidR="001017EE" w:rsidRPr="00425028" w:rsidRDefault="00C67BF0" w:rsidP="00B71E6B">
      <w:r w:rsidRPr="00425028">
        <w:t>By Selina Claxton,</w:t>
      </w:r>
      <w:r w:rsidR="008F0C5B" w:rsidRPr="00425028">
        <w:t xml:space="preserve"> Mary Bennett and</w:t>
      </w:r>
      <w:r w:rsidRPr="00425028">
        <w:t xml:space="preserve"> Ginny To</w:t>
      </w:r>
      <w:r w:rsidR="00081E33" w:rsidRPr="00425028">
        <w:t>o</w:t>
      </w:r>
      <w:r w:rsidRPr="00425028">
        <w:t>mbs</w:t>
      </w:r>
    </w:p>
    <w:p w14:paraId="7312FC7D" w14:textId="77777777" w:rsidR="00B369AC" w:rsidRPr="00425028" w:rsidRDefault="00B369AC" w:rsidP="00B71E6B"/>
    <w:p w14:paraId="0AAA8F34" w14:textId="6F1C2150" w:rsidR="00B369AC" w:rsidRPr="00425028" w:rsidRDefault="001A7D31" w:rsidP="00B71E6B">
      <w:r w:rsidRPr="00425028">
        <w:t>Social Action and Research Centre</w:t>
      </w:r>
    </w:p>
    <w:p w14:paraId="6F30CEE6" w14:textId="7B550A20" w:rsidR="001A7D31" w:rsidRPr="00425028" w:rsidRDefault="00EA7029" w:rsidP="00B71E6B">
      <w:r w:rsidRPr="00425028">
        <w:t>Anglicare Tasmania</w:t>
      </w:r>
    </w:p>
    <w:p w14:paraId="35A6796E" w14:textId="77777777" w:rsidR="00EA7029" w:rsidRPr="00425028" w:rsidRDefault="00EA7029" w:rsidP="00B71E6B"/>
    <w:p w14:paraId="205A62A6" w14:textId="77777777" w:rsidR="00EA7029" w:rsidRPr="00425028" w:rsidRDefault="00EA7029" w:rsidP="00B71E6B"/>
    <w:p w14:paraId="70847CAD" w14:textId="11FAA64E" w:rsidR="00EA7029" w:rsidRPr="00425028" w:rsidRDefault="00EA7029" w:rsidP="00B71E6B">
      <w:r w:rsidRPr="00425028">
        <w:t>April 2025</w:t>
      </w:r>
    </w:p>
    <w:p w14:paraId="49C35D2A" w14:textId="66D9EACC" w:rsidR="00423492" w:rsidRPr="00425028" w:rsidRDefault="00423492" w:rsidP="00B71E6B">
      <w:r w:rsidRPr="00425028">
        <w:br w:type="page"/>
      </w:r>
    </w:p>
    <w:bookmarkStart w:id="2" w:name="_Toc195101852" w:displacedByCustomXml="next"/>
    <w:sdt>
      <w:sdtPr>
        <w:rPr>
          <w:rFonts w:ascii="Avenir Next LT Pro" w:eastAsiaTheme="minorEastAsia" w:hAnsi="Avenir Next LT Pro" w:cstheme="minorBidi"/>
          <w:color w:val="auto"/>
          <w:kern w:val="2"/>
          <w:sz w:val="22"/>
          <w:szCs w:val="22"/>
          <w:lang w:val="en-AU"/>
          <w14:ligatures w14:val="standardContextual"/>
        </w:rPr>
        <w:id w:val="659347648"/>
        <w:docPartObj>
          <w:docPartGallery w:val="Table of Contents"/>
          <w:docPartUnique/>
        </w:docPartObj>
      </w:sdtPr>
      <w:sdtEndPr>
        <w:rPr>
          <w:sz w:val="24"/>
        </w:rPr>
      </w:sdtEndPr>
      <w:sdtContent>
        <w:p w14:paraId="7BCA162F" w14:textId="77777777" w:rsidR="00E027B8" w:rsidRPr="00425028" w:rsidRDefault="00E027B8" w:rsidP="00E027B8">
          <w:pPr>
            <w:pStyle w:val="TOCHeading"/>
            <w:rPr>
              <w:rFonts w:ascii="Avenir Next LT Pro" w:hAnsi="Avenir Next LT Pro"/>
            </w:rPr>
          </w:pPr>
          <w:r w:rsidRPr="00425028">
            <w:rPr>
              <w:rFonts w:ascii="Avenir Next LT Pro" w:hAnsi="Avenir Next LT Pro"/>
            </w:rPr>
            <w:t>Contents</w:t>
          </w:r>
        </w:p>
        <w:p w14:paraId="4E596A6F" w14:textId="4EA5988E" w:rsidR="007016BB" w:rsidRDefault="00E027B8">
          <w:pPr>
            <w:pStyle w:val="TOC1"/>
            <w:rPr>
              <w:rFonts w:asciiTheme="minorHAnsi" w:eastAsiaTheme="minorEastAsia" w:hAnsiTheme="minorHAnsi"/>
              <w:szCs w:val="24"/>
              <w:lang w:eastAsia="en-AU"/>
            </w:rPr>
          </w:pPr>
          <w:r w:rsidRPr="00425028">
            <w:rPr>
              <w:noProof w:val="0"/>
            </w:rPr>
            <w:fldChar w:fldCharType="begin"/>
          </w:r>
          <w:r w:rsidRPr="00425028">
            <w:instrText xml:space="preserve"> TOC \o "1-3" \h \z </w:instrText>
          </w:r>
          <w:r w:rsidRPr="00425028">
            <w:rPr>
              <w:noProof w:val="0"/>
            </w:rPr>
            <w:fldChar w:fldCharType="separate"/>
          </w:r>
          <w:hyperlink w:anchor="_Toc196228971" w:history="1">
            <w:r w:rsidR="007016BB" w:rsidRPr="00652244">
              <w:rPr>
                <w:rStyle w:val="Hyperlink"/>
              </w:rPr>
              <w:t>Anglicare’s experience in housing services and advocacy</w:t>
            </w:r>
            <w:r w:rsidR="007016BB">
              <w:rPr>
                <w:webHidden/>
              </w:rPr>
              <w:tab/>
            </w:r>
            <w:r w:rsidR="007016BB">
              <w:rPr>
                <w:webHidden/>
              </w:rPr>
              <w:fldChar w:fldCharType="begin"/>
            </w:r>
            <w:r w:rsidR="007016BB">
              <w:rPr>
                <w:webHidden/>
              </w:rPr>
              <w:instrText xml:space="preserve"> PAGEREF _Toc196228971 \h </w:instrText>
            </w:r>
            <w:r w:rsidR="007016BB">
              <w:rPr>
                <w:webHidden/>
              </w:rPr>
            </w:r>
            <w:r w:rsidR="007016BB">
              <w:rPr>
                <w:webHidden/>
              </w:rPr>
              <w:fldChar w:fldCharType="separate"/>
            </w:r>
            <w:r w:rsidR="007016BB">
              <w:rPr>
                <w:webHidden/>
              </w:rPr>
              <w:t>5</w:t>
            </w:r>
            <w:r w:rsidR="007016BB">
              <w:rPr>
                <w:webHidden/>
              </w:rPr>
              <w:fldChar w:fldCharType="end"/>
            </w:r>
          </w:hyperlink>
        </w:p>
        <w:p w14:paraId="5755091A" w14:textId="23830945" w:rsidR="007016BB" w:rsidRDefault="00274668">
          <w:pPr>
            <w:pStyle w:val="TOC1"/>
            <w:rPr>
              <w:rFonts w:asciiTheme="minorHAnsi" w:eastAsiaTheme="minorEastAsia" w:hAnsiTheme="minorHAnsi"/>
              <w:szCs w:val="24"/>
              <w:lang w:eastAsia="en-AU"/>
            </w:rPr>
          </w:pPr>
          <w:hyperlink w:anchor="_Toc196228972" w:history="1">
            <w:r w:rsidR="007016BB" w:rsidRPr="00652244">
              <w:rPr>
                <w:rStyle w:val="Hyperlink"/>
              </w:rPr>
              <w:t>Key findings</w:t>
            </w:r>
            <w:r w:rsidR="007016BB">
              <w:rPr>
                <w:webHidden/>
              </w:rPr>
              <w:tab/>
            </w:r>
            <w:r w:rsidR="007016BB">
              <w:rPr>
                <w:webHidden/>
              </w:rPr>
              <w:fldChar w:fldCharType="begin"/>
            </w:r>
            <w:r w:rsidR="007016BB">
              <w:rPr>
                <w:webHidden/>
              </w:rPr>
              <w:instrText xml:space="preserve"> PAGEREF _Toc196228972 \h </w:instrText>
            </w:r>
            <w:r w:rsidR="007016BB">
              <w:rPr>
                <w:webHidden/>
              </w:rPr>
            </w:r>
            <w:r w:rsidR="007016BB">
              <w:rPr>
                <w:webHidden/>
              </w:rPr>
              <w:fldChar w:fldCharType="separate"/>
            </w:r>
            <w:r w:rsidR="007016BB">
              <w:rPr>
                <w:webHidden/>
              </w:rPr>
              <w:t>6</w:t>
            </w:r>
            <w:r w:rsidR="007016BB">
              <w:rPr>
                <w:webHidden/>
              </w:rPr>
              <w:fldChar w:fldCharType="end"/>
            </w:r>
          </w:hyperlink>
        </w:p>
        <w:p w14:paraId="744B100C" w14:textId="1FF5B4ED" w:rsidR="007016BB" w:rsidRDefault="00274668">
          <w:pPr>
            <w:pStyle w:val="TOC2"/>
            <w:tabs>
              <w:tab w:val="right" w:leader="dot" w:pos="9016"/>
            </w:tabs>
            <w:rPr>
              <w:rFonts w:asciiTheme="minorHAnsi" w:eastAsiaTheme="minorEastAsia" w:hAnsiTheme="minorHAnsi"/>
              <w:noProof/>
              <w:szCs w:val="24"/>
              <w:lang w:eastAsia="en-AU"/>
            </w:rPr>
          </w:pPr>
          <w:hyperlink w:anchor="_Toc196228973" w:history="1">
            <w:r w:rsidR="007016BB" w:rsidRPr="00652244">
              <w:rPr>
                <w:rStyle w:val="Hyperlink"/>
                <w:noProof/>
              </w:rPr>
              <w:t>Availability</w:t>
            </w:r>
            <w:r w:rsidR="007016BB">
              <w:rPr>
                <w:noProof/>
                <w:webHidden/>
              </w:rPr>
              <w:tab/>
            </w:r>
            <w:r w:rsidR="007016BB">
              <w:rPr>
                <w:noProof/>
                <w:webHidden/>
              </w:rPr>
              <w:fldChar w:fldCharType="begin"/>
            </w:r>
            <w:r w:rsidR="007016BB">
              <w:rPr>
                <w:noProof/>
                <w:webHidden/>
              </w:rPr>
              <w:instrText xml:space="preserve"> PAGEREF _Toc196228973 \h </w:instrText>
            </w:r>
            <w:r w:rsidR="007016BB">
              <w:rPr>
                <w:noProof/>
                <w:webHidden/>
              </w:rPr>
            </w:r>
            <w:r w:rsidR="007016BB">
              <w:rPr>
                <w:noProof/>
                <w:webHidden/>
              </w:rPr>
              <w:fldChar w:fldCharType="separate"/>
            </w:r>
            <w:r w:rsidR="007016BB">
              <w:rPr>
                <w:noProof/>
                <w:webHidden/>
              </w:rPr>
              <w:t>8</w:t>
            </w:r>
            <w:r w:rsidR="007016BB">
              <w:rPr>
                <w:noProof/>
                <w:webHidden/>
              </w:rPr>
              <w:fldChar w:fldCharType="end"/>
            </w:r>
          </w:hyperlink>
        </w:p>
        <w:p w14:paraId="7EB381E2" w14:textId="7624BDC6" w:rsidR="007016BB" w:rsidRDefault="00274668">
          <w:pPr>
            <w:pStyle w:val="TOC2"/>
            <w:tabs>
              <w:tab w:val="right" w:leader="dot" w:pos="9016"/>
            </w:tabs>
            <w:rPr>
              <w:rFonts w:asciiTheme="minorHAnsi" w:eastAsiaTheme="minorEastAsia" w:hAnsiTheme="minorHAnsi"/>
              <w:noProof/>
              <w:szCs w:val="24"/>
              <w:lang w:eastAsia="en-AU"/>
            </w:rPr>
          </w:pPr>
          <w:hyperlink w:anchor="_Toc196228974" w:history="1">
            <w:r w:rsidR="007016BB" w:rsidRPr="00652244">
              <w:rPr>
                <w:rStyle w:val="Hyperlink"/>
                <w:noProof/>
              </w:rPr>
              <w:t>There are virtually no rentals available at any price</w:t>
            </w:r>
            <w:r w:rsidR="007016BB">
              <w:rPr>
                <w:noProof/>
                <w:webHidden/>
              </w:rPr>
              <w:tab/>
            </w:r>
            <w:r w:rsidR="007016BB">
              <w:rPr>
                <w:noProof/>
                <w:webHidden/>
              </w:rPr>
              <w:fldChar w:fldCharType="begin"/>
            </w:r>
            <w:r w:rsidR="007016BB">
              <w:rPr>
                <w:noProof/>
                <w:webHidden/>
              </w:rPr>
              <w:instrText xml:space="preserve"> PAGEREF _Toc196228974 \h </w:instrText>
            </w:r>
            <w:r w:rsidR="007016BB">
              <w:rPr>
                <w:noProof/>
                <w:webHidden/>
              </w:rPr>
            </w:r>
            <w:r w:rsidR="007016BB">
              <w:rPr>
                <w:noProof/>
                <w:webHidden/>
              </w:rPr>
              <w:fldChar w:fldCharType="separate"/>
            </w:r>
            <w:r w:rsidR="007016BB">
              <w:rPr>
                <w:noProof/>
                <w:webHidden/>
              </w:rPr>
              <w:t>9</w:t>
            </w:r>
            <w:r w:rsidR="007016BB">
              <w:rPr>
                <w:noProof/>
                <w:webHidden/>
              </w:rPr>
              <w:fldChar w:fldCharType="end"/>
            </w:r>
          </w:hyperlink>
        </w:p>
        <w:p w14:paraId="478AC019" w14:textId="512AD2E3" w:rsidR="007016BB" w:rsidRDefault="00274668">
          <w:pPr>
            <w:pStyle w:val="TOC2"/>
            <w:tabs>
              <w:tab w:val="right" w:leader="dot" w:pos="9016"/>
            </w:tabs>
            <w:rPr>
              <w:rFonts w:asciiTheme="minorHAnsi" w:eastAsiaTheme="minorEastAsia" w:hAnsiTheme="minorHAnsi"/>
              <w:noProof/>
              <w:szCs w:val="24"/>
              <w:lang w:eastAsia="en-AU"/>
            </w:rPr>
          </w:pPr>
          <w:hyperlink w:anchor="_Toc196228975" w:history="1">
            <w:r w:rsidR="007016BB" w:rsidRPr="00652244">
              <w:rPr>
                <w:rStyle w:val="Hyperlink"/>
                <w:noProof/>
              </w:rPr>
              <w:t>Affordability</w:t>
            </w:r>
            <w:r w:rsidR="007016BB">
              <w:rPr>
                <w:noProof/>
                <w:webHidden/>
              </w:rPr>
              <w:tab/>
            </w:r>
            <w:r w:rsidR="007016BB">
              <w:rPr>
                <w:noProof/>
                <w:webHidden/>
              </w:rPr>
              <w:fldChar w:fldCharType="begin"/>
            </w:r>
            <w:r w:rsidR="007016BB">
              <w:rPr>
                <w:noProof/>
                <w:webHidden/>
              </w:rPr>
              <w:instrText xml:space="preserve"> PAGEREF _Toc196228975 \h </w:instrText>
            </w:r>
            <w:r w:rsidR="007016BB">
              <w:rPr>
                <w:noProof/>
                <w:webHidden/>
              </w:rPr>
            </w:r>
            <w:r w:rsidR="007016BB">
              <w:rPr>
                <w:noProof/>
                <w:webHidden/>
              </w:rPr>
              <w:fldChar w:fldCharType="separate"/>
            </w:r>
            <w:r w:rsidR="007016BB">
              <w:rPr>
                <w:noProof/>
                <w:webHidden/>
              </w:rPr>
              <w:t>11</w:t>
            </w:r>
            <w:r w:rsidR="007016BB">
              <w:rPr>
                <w:noProof/>
                <w:webHidden/>
              </w:rPr>
              <w:fldChar w:fldCharType="end"/>
            </w:r>
          </w:hyperlink>
        </w:p>
        <w:p w14:paraId="30F868CF" w14:textId="497B70DF" w:rsidR="007016BB" w:rsidRDefault="00274668">
          <w:pPr>
            <w:pStyle w:val="TOC3"/>
            <w:tabs>
              <w:tab w:val="right" w:leader="dot" w:pos="9016"/>
            </w:tabs>
            <w:rPr>
              <w:rFonts w:asciiTheme="minorHAnsi" w:eastAsiaTheme="minorEastAsia" w:hAnsiTheme="minorHAnsi"/>
              <w:noProof/>
              <w:szCs w:val="24"/>
              <w:lang w:eastAsia="en-AU"/>
            </w:rPr>
          </w:pPr>
          <w:hyperlink w:anchor="_Toc196228976" w:history="1">
            <w:r w:rsidR="007016BB" w:rsidRPr="00652244">
              <w:rPr>
                <w:rStyle w:val="Hyperlink"/>
                <w:noProof/>
              </w:rPr>
              <w:t>For 7 of the 14 household types there are still no affordable private rentals</w:t>
            </w:r>
            <w:r w:rsidR="007016BB">
              <w:rPr>
                <w:noProof/>
                <w:webHidden/>
              </w:rPr>
              <w:tab/>
            </w:r>
            <w:r w:rsidR="007016BB">
              <w:rPr>
                <w:noProof/>
                <w:webHidden/>
              </w:rPr>
              <w:fldChar w:fldCharType="begin"/>
            </w:r>
            <w:r w:rsidR="007016BB">
              <w:rPr>
                <w:noProof/>
                <w:webHidden/>
              </w:rPr>
              <w:instrText xml:space="preserve"> PAGEREF _Toc196228976 \h </w:instrText>
            </w:r>
            <w:r w:rsidR="007016BB">
              <w:rPr>
                <w:noProof/>
                <w:webHidden/>
              </w:rPr>
            </w:r>
            <w:r w:rsidR="007016BB">
              <w:rPr>
                <w:noProof/>
                <w:webHidden/>
              </w:rPr>
              <w:fldChar w:fldCharType="separate"/>
            </w:r>
            <w:r w:rsidR="007016BB">
              <w:rPr>
                <w:noProof/>
                <w:webHidden/>
              </w:rPr>
              <w:t>11</w:t>
            </w:r>
            <w:r w:rsidR="007016BB">
              <w:rPr>
                <w:noProof/>
                <w:webHidden/>
              </w:rPr>
              <w:fldChar w:fldCharType="end"/>
            </w:r>
          </w:hyperlink>
        </w:p>
        <w:p w14:paraId="44D98BFD" w14:textId="434B3E11" w:rsidR="007016BB" w:rsidRDefault="00274668">
          <w:pPr>
            <w:pStyle w:val="TOC3"/>
            <w:tabs>
              <w:tab w:val="right" w:leader="dot" w:pos="9016"/>
            </w:tabs>
            <w:rPr>
              <w:rFonts w:asciiTheme="minorHAnsi" w:eastAsiaTheme="minorEastAsia" w:hAnsiTheme="minorHAnsi"/>
              <w:noProof/>
              <w:szCs w:val="24"/>
              <w:lang w:eastAsia="en-AU"/>
            </w:rPr>
          </w:pPr>
          <w:hyperlink w:anchor="_Toc196228977" w:history="1">
            <w:r w:rsidR="007016BB" w:rsidRPr="00652244">
              <w:rPr>
                <w:rStyle w:val="Hyperlink"/>
                <w:noProof/>
              </w:rPr>
              <w:t>Some groups will find properties they can afford but they will be choosing from far fewer than last year</w:t>
            </w:r>
            <w:r w:rsidR="007016BB">
              <w:rPr>
                <w:noProof/>
                <w:webHidden/>
              </w:rPr>
              <w:tab/>
            </w:r>
            <w:r w:rsidR="007016BB">
              <w:rPr>
                <w:noProof/>
                <w:webHidden/>
              </w:rPr>
              <w:fldChar w:fldCharType="begin"/>
            </w:r>
            <w:r w:rsidR="007016BB">
              <w:rPr>
                <w:noProof/>
                <w:webHidden/>
              </w:rPr>
              <w:instrText xml:space="preserve"> PAGEREF _Toc196228977 \h </w:instrText>
            </w:r>
            <w:r w:rsidR="007016BB">
              <w:rPr>
                <w:noProof/>
                <w:webHidden/>
              </w:rPr>
            </w:r>
            <w:r w:rsidR="007016BB">
              <w:rPr>
                <w:noProof/>
                <w:webHidden/>
              </w:rPr>
              <w:fldChar w:fldCharType="separate"/>
            </w:r>
            <w:r w:rsidR="007016BB">
              <w:rPr>
                <w:noProof/>
                <w:webHidden/>
              </w:rPr>
              <w:t>11</w:t>
            </w:r>
            <w:r w:rsidR="007016BB">
              <w:rPr>
                <w:noProof/>
                <w:webHidden/>
              </w:rPr>
              <w:fldChar w:fldCharType="end"/>
            </w:r>
          </w:hyperlink>
        </w:p>
        <w:p w14:paraId="68DC4AFD" w14:textId="340AFB1E" w:rsidR="007016BB" w:rsidRDefault="00274668">
          <w:pPr>
            <w:pStyle w:val="TOC1"/>
            <w:rPr>
              <w:rFonts w:asciiTheme="minorHAnsi" w:eastAsiaTheme="minorEastAsia" w:hAnsiTheme="minorHAnsi"/>
              <w:szCs w:val="24"/>
              <w:lang w:eastAsia="en-AU"/>
            </w:rPr>
          </w:pPr>
          <w:hyperlink w:anchor="_Toc196228978" w:history="1">
            <w:r w:rsidR="007016BB" w:rsidRPr="00652244">
              <w:rPr>
                <w:rStyle w:val="Hyperlink"/>
              </w:rPr>
              <w:t>Regional analysis</w:t>
            </w:r>
            <w:r w:rsidR="007016BB">
              <w:rPr>
                <w:webHidden/>
              </w:rPr>
              <w:tab/>
            </w:r>
            <w:r w:rsidR="007016BB">
              <w:rPr>
                <w:webHidden/>
              </w:rPr>
              <w:fldChar w:fldCharType="begin"/>
            </w:r>
            <w:r w:rsidR="007016BB">
              <w:rPr>
                <w:webHidden/>
              </w:rPr>
              <w:instrText xml:space="preserve"> PAGEREF _Toc196228978 \h </w:instrText>
            </w:r>
            <w:r w:rsidR="007016BB">
              <w:rPr>
                <w:webHidden/>
              </w:rPr>
            </w:r>
            <w:r w:rsidR="007016BB">
              <w:rPr>
                <w:webHidden/>
              </w:rPr>
              <w:fldChar w:fldCharType="separate"/>
            </w:r>
            <w:r w:rsidR="007016BB">
              <w:rPr>
                <w:webHidden/>
              </w:rPr>
              <w:t>14</w:t>
            </w:r>
            <w:r w:rsidR="007016BB">
              <w:rPr>
                <w:webHidden/>
              </w:rPr>
              <w:fldChar w:fldCharType="end"/>
            </w:r>
          </w:hyperlink>
        </w:p>
        <w:p w14:paraId="6635C332" w14:textId="69E0F3C3" w:rsidR="007016BB" w:rsidRDefault="00274668">
          <w:pPr>
            <w:pStyle w:val="TOC2"/>
            <w:tabs>
              <w:tab w:val="right" w:leader="dot" w:pos="9016"/>
            </w:tabs>
            <w:rPr>
              <w:rFonts w:asciiTheme="minorHAnsi" w:eastAsiaTheme="minorEastAsia" w:hAnsiTheme="minorHAnsi"/>
              <w:noProof/>
              <w:szCs w:val="24"/>
              <w:lang w:eastAsia="en-AU"/>
            </w:rPr>
          </w:pPr>
          <w:hyperlink w:anchor="_Toc196228979" w:history="1">
            <w:r w:rsidR="007016BB" w:rsidRPr="00652244">
              <w:rPr>
                <w:rStyle w:val="Hyperlink"/>
                <w:noProof/>
              </w:rPr>
              <w:t>South</w:t>
            </w:r>
            <w:r w:rsidR="007016BB">
              <w:rPr>
                <w:noProof/>
                <w:webHidden/>
              </w:rPr>
              <w:tab/>
            </w:r>
            <w:r w:rsidR="007016BB">
              <w:rPr>
                <w:noProof/>
                <w:webHidden/>
              </w:rPr>
              <w:fldChar w:fldCharType="begin"/>
            </w:r>
            <w:r w:rsidR="007016BB">
              <w:rPr>
                <w:noProof/>
                <w:webHidden/>
              </w:rPr>
              <w:instrText xml:space="preserve"> PAGEREF _Toc196228979 \h </w:instrText>
            </w:r>
            <w:r w:rsidR="007016BB">
              <w:rPr>
                <w:noProof/>
                <w:webHidden/>
              </w:rPr>
            </w:r>
            <w:r w:rsidR="007016BB">
              <w:rPr>
                <w:noProof/>
                <w:webHidden/>
              </w:rPr>
              <w:fldChar w:fldCharType="separate"/>
            </w:r>
            <w:r w:rsidR="007016BB">
              <w:rPr>
                <w:noProof/>
                <w:webHidden/>
              </w:rPr>
              <w:t>14</w:t>
            </w:r>
            <w:r w:rsidR="007016BB">
              <w:rPr>
                <w:noProof/>
                <w:webHidden/>
              </w:rPr>
              <w:fldChar w:fldCharType="end"/>
            </w:r>
          </w:hyperlink>
        </w:p>
        <w:p w14:paraId="378E3599" w14:textId="38B55409" w:rsidR="007016BB" w:rsidRDefault="00274668">
          <w:pPr>
            <w:pStyle w:val="TOC3"/>
            <w:tabs>
              <w:tab w:val="right" w:leader="dot" w:pos="9016"/>
            </w:tabs>
            <w:rPr>
              <w:rFonts w:asciiTheme="minorHAnsi" w:eastAsiaTheme="minorEastAsia" w:hAnsiTheme="minorHAnsi"/>
              <w:noProof/>
              <w:szCs w:val="24"/>
              <w:lang w:eastAsia="en-AU"/>
            </w:rPr>
          </w:pPr>
          <w:hyperlink w:anchor="_Toc196228980" w:history="1">
            <w:r w:rsidR="007016BB" w:rsidRPr="00652244">
              <w:rPr>
                <w:rStyle w:val="Hyperlink"/>
                <w:noProof/>
              </w:rPr>
              <w:t>Singles</w:t>
            </w:r>
            <w:r w:rsidR="007016BB">
              <w:rPr>
                <w:noProof/>
                <w:webHidden/>
              </w:rPr>
              <w:tab/>
            </w:r>
            <w:r w:rsidR="007016BB">
              <w:rPr>
                <w:noProof/>
                <w:webHidden/>
              </w:rPr>
              <w:fldChar w:fldCharType="begin"/>
            </w:r>
            <w:r w:rsidR="007016BB">
              <w:rPr>
                <w:noProof/>
                <w:webHidden/>
              </w:rPr>
              <w:instrText xml:space="preserve"> PAGEREF _Toc196228980 \h </w:instrText>
            </w:r>
            <w:r w:rsidR="007016BB">
              <w:rPr>
                <w:noProof/>
                <w:webHidden/>
              </w:rPr>
            </w:r>
            <w:r w:rsidR="007016BB">
              <w:rPr>
                <w:noProof/>
                <w:webHidden/>
              </w:rPr>
              <w:fldChar w:fldCharType="separate"/>
            </w:r>
            <w:r w:rsidR="007016BB">
              <w:rPr>
                <w:noProof/>
                <w:webHidden/>
              </w:rPr>
              <w:t>14</w:t>
            </w:r>
            <w:r w:rsidR="007016BB">
              <w:rPr>
                <w:noProof/>
                <w:webHidden/>
              </w:rPr>
              <w:fldChar w:fldCharType="end"/>
            </w:r>
          </w:hyperlink>
        </w:p>
        <w:p w14:paraId="65AAFFA7" w14:textId="2B62BDE6" w:rsidR="007016BB" w:rsidRDefault="00274668">
          <w:pPr>
            <w:pStyle w:val="TOC3"/>
            <w:tabs>
              <w:tab w:val="right" w:leader="dot" w:pos="9016"/>
            </w:tabs>
            <w:rPr>
              <w:rFonts w:asciiTheme="minorHAnsi" w:eastAsiaTheme="minorEastAsia" w:hAnsiTheme="minorHAnsi"/>
              <w:noProof/>
              <w:szCs w:val="24"/>
              <w:lang w:eastAsia="en-AU"/>
            </w:rPr>
          </w:pPr>
          <w:hyperlink w:anchor="_Toc196228981" w:history="1">
            <w:r w:rsidR="007016BB" w:rsidRPr="00652244">
              <w:rPr>
                <w:rStyle w:val="Hyperlink"/>
                <w:noProof/>
              </w:rPr>
              <w:t>Older people</w:t>
            </w:r>
            <w:r w:rsidR="007016BB">
              <w:rPr>
                <w:noProof/>
                <w:webHidden/>
              </w:rPr>
              <w:tab/>
            </w:r>
            <w:r w:rsidR="007016BB">
              <w:rPr>
                <w:noProof/>
                <w:webHidden/>
              </w:rPr>
              <w:fldChar w:fldCharType="begin"/>
            </w:r>
            <w:r w:rsidR="007016BB">
              <w:rPr>
                <w:noProof/>
                <w:webHidden/>
              </w:rPr>
              <w:instrText xml:space="preserve"> PAGEREF _Toc196228981 \h </w:instrText>
            </w:r>
            <w:r w:rsidR="007016BB">
              <w:rPr>
                <w:noProof/>
                <w:webHidden/>
              </w:rPr>
            </w:r>
            <w:r w:rsidR="007016BB">
              <w:rPr>
                <w:noProof/>
                <w:webHidden/>
              </w:rPr>
              <w:fldChar w:fldCharType="separate"/>
            </w:r>
            <w:r w:rsidR="007016BB">
              <w:rPr>
                <w:noProof/>
                <w:webHidden/>
              </w:rPr>
              <w:t>15</w:t>
            </w:r>
            <w:r w:rsidR="007016BB">
              <w:rPr>
                <w:noProof/>
                <w:webHidden/>
              </w:rPr>
              <w:fldChar w:fldCharType="end"/>
            </w:r>
          </w:hyperlink>
        </w:p>
        <w:p w14:paraId="6C1E9809" w14:textId="081DEA5E" w:rsidR="007016BB" w:rsidRDefault="00274668">
          <w:pPr>
            <w:pStyle w:val="TOC3"/>
            <w:tabs>
              <w:tab w:val="right" w:leader="dot" w:pos="9016"/>
            </w:tabs>
            <w:rPr>
              <w:rFonts w:asciiTheme="minorHAnsi" w:eastAsiaTheme="minorEastAsia" w:hAnsiTheme="minorHAnsi"/>
              <w:noProof/>
              <w:szCs w:val="24"/>
              <w:lang w:eastAsia="en-AU"/>
            </w:rPr>
          </w:pPr>
          <w:hyperlink w:anchor="_Toc196228982" w:history="1">
            <w:r w:rsidR="007016BB" w:rsidRPr="00652244">
              <w:rPr>
                <w:rStyle w:val="Hyperlink"/>
                <w:noProof/>
              </w:rPr>
              <w:t>Single parent families</w:t>
            </w:r>
            <w:r w:rsidR="007016BB">
              <w:rPr>
                <w:noProof/>
                <w:webHidden/>
              </w:rPr>
              <w:tab/>
            </w:r>
            <w:r w:rsidR="007016BB">
              <w:rPr>
                <w:noProof/>
                <w:webHidden/>
              </w:rPr>
              <w:fldChar w:fldCharType="begin"/>
            </w:r>
            <w:r w:rsidR="007016BB">
              <w:rPr>
                <w:noProof/>
                <w:webHidden/>
              </w:rPr>
              <w:instrText xml:space="preserve"> PAGEREF _Toc196228982 \h </w:instrText>
            </w:r>
            <w:r w:rsidR="007016BB">
              <w:rPr>
                <w:noProof/>
                <w:webHidden/>
              </w:rPr>
            </w:r>
            <w:r w:rsidR="007016BB">
              <w:rPr>
                <w:noProof/>
                <w:webHidden/>
              </w:rPr>
              <w:fldChar w:fldCharType="separate"/>
            </w:r>
            <w:r w:rsidR="007016BB">
              <w:rPr>
                <w:noProof/>
                <w:webHidden/>
              </w:rPr>
              <w:t>15</w:t>
            </w:r>
            <w:r w:rsidR="007016BB">
              <w:rPr>
                <w:noProof/>
                <w:webHidden/>
              </w:rPr>
              <w:fldChar w:fldCharType="end"/>
            </w:r>
          </w:hyperlink>
        </w:p>
        <w:p w14:paraId="6CBB8076" w14:textId="46A4DA48" w:rsidR="007016BB" w:rsidRDefault="00274668">
          <w:pPr>
            <w:pStyle w:val="TOC3"/>
            <w:tabs>
              <w:tab w:val="right" w:leader="dot" w:pos="9016"/>
            </w:tabs>
            <w:rPr>
              <w:rFonts w:asciiTheme="minorHAnsi" w:eastAsiaTheme="minorEastAsia" w:hAnsiTheme="minorHAnsi"/>
              <w:noProof/>
              <w:szCs w:val="24"/>
              <w:lang w:eastAsia="en-AU"/>
            </w:rPr>
          </w:pPr>
          <w:hyperlink w:anchor="_Toc196228983" w:history="1">
            <w:r w:rsidR="007016BB" w:rsidRPr="00652244">
              <w:rPr>
                <w:rStyle w:val="Hyperlink"/>
                <w:noProof/>
              </w:rPr>
              <w:t>Couple families</w:t>
            </w:r>
            <w:r w:rsidR="007016BB">
              <w:rPr>
                <w:noProof/>
                <w:webHidden/>
              </w:rPr>
              <w:tab/>
            </w:r>
            <w:r w:rsidR="007016BB">
              <w:rPr>
                <w:noProof/>
                <w:webHidden/>
              </w:rPr>
              <w:fldChar w:fldCharType="begin"/>
            </w:r>
            <w:r w:rsidR="007016BB">
              <w:rPr>
                <w:noProof/>
                <w:webHidden/>
              </w:rPr>
              <w:instrText xml:space="preserve"> PAGEREF _Toc196228983 \h </w:instrText>
            </w:r>
            <w:r w:rsidR="007016BB">
              <w:rPr>
                <w:noProof/>
                <w:webHidden/>
              </w:rPr>
            </w:r>
            <w:r w:rsidR="007016BB">
              <w:rPr>
                <w:noProof/>
                <w:webHidden/>
              </w:rPr>
              <w:fldChar w:fldCharType="separate"/>
            </w:r>
            <w:r w:rsidR="007016BB">
              <w:rPr>
                <w:noProof/>
                <w:webHidden/>
              </w:rPr>
              <w:t>15</w:t>
            </w:r>
            <w:r w:rsidR="007016BB">
              <w:rPr>
                <w:noProof/>
                <w:webHidden/>
              </w:rPr>
              <w:fldChar w:fldCharType="end"/>
            </w:r>
          </w:hyperlink>
        </w:p>
        <w:p w14:paraId="703C1DFC" w14:textId="0FA9A1D9" w:rsidR="007016BB" w:rsidRDefault="00274668">
          <w:pPr>
            <w:pStyle w:val="TOC2"/>
            <w:tabs>
              <w:tab w:val="right" w:leader="dot" w:pos="9016"/>
            </w:tabs>
            <w:rPr>
              <w:rFonts w:asciiTheme="minorHAnsi" w:eastAsiaTheme="minorEastAsia" w:hAnsiTheme="minorHAnsi"/>
              <w:noProof/>
              <w:szCs w:val="24"/>
              <w:lang w:eastAsia="en-AU"/>
            </w:rPr>
          </w:pPr>
          <w:hyperlink w:anchor="_Toc196228984" w:history="1">
            <w:r w:rsidR="007016BB" w:rsidRPr="00652244">
              <w:rPr>
                <w:rStyle w:val="Hyperlink"/>
                <w:noProof/>
              </w:rPr>
              <w:t>North</w:t>
            </w:r>
            <w:r w:rsidR="007016BB">
              <w:rPr>
                <w:noProof/>
                <w:webHidden/>
              </w:rPr>
              <w:tab/>
            </w:r>
            <w:r w:rsidR="007016BB">
              <w:rPr>
                <w:noProof/>
                <w:webHidden/>
              </w:rPr>
              <w:fldChar w:fldCharType="begin"/>
            </w:r>
            <w:r w:rsidR="007016BB">
              <w:rPr>
                <w:noProof/>
                <w:webHidden/>
              </w:rPr>
              <w:instrText xml:space="preserve"> PAGEREF _Toc196228984 \h </w:instrText>
            </w:r>
            <w:r w:rsidR="007016BB">
              <w:rPr>
                <w:noProof/>
                <w:webHidden/>
              </w:rPr>
            </w:r>
            <w:r w:rsidR="007016BB">
              <w:rPr>
                <w:noProof/>
                <w:webHidden/>
              </w:rPr>
              <w:fldChar w:fldCharType="separate"/>
            </w:r>
            <w:r w:rsidR="007016BB">
              <w:rPr>
                <w:noProof/>
                <w:webHidden/>
              </w:rPr>
              <w:t>16</w:t>
            </w:r>
            <w:r w:rsidR="007016BB">
              <w:rPr>
                <w:noProof/>
                <w:webHidden/>
              </w:rPr>
              <w:fldChar w:fldCharType="end"/>
            </w:r>
          </w:hyperlink>
        </w:p>
        <w:p w14:paraId="4D5734C6" w14:textId="648755AF" w:rsidR="007016BB" w:rsidRDefault="00274668">
          <w:pPr>
            <w:pStyle w:val="TOC3"/>
            <w:tabs>
              <w:tab w:val="right" w:leader="dot" w:pos="9016"/>
            </w:tabs>
            <w:rPr>
              <w:rFonts w:asciiTheme="minorHAnsi" w:eastAsiaTheme="minorEastAsia" w:hAnsiTheme="minorHAnsi"/>
              <w:noProof/>
              <w:szCs w:val="24"/>
              <w:lang w:eastAsia="en-AU"/>
            </w:rPr>
          </w:pPr>
          <w:hyperlink w:anchor="_Toc196228985" w:history="1">
            <w:r w:rsidR="007016BB" w:rsidRPr="00652244">
              <w:rPr>
                <w:rStyle w:val="Hyperlink"/>
                <w:noProof/>
              </w:rPr>
              <w:t>Singles</w:t>
            </w:r>
            <w:r w:rsidR="007016BB">
              <w:rPr>
                <w:noProof/>
                <w:webHidden/>
              </w:rPr>
              <w:tab/>
            </w:r>
            <w:r w:rsidR="007016BB">
              <w:rPr>
                <w:noProof/>
                <w:webHidden/>
              </w:rPr>
              <w:fldChar w:fldCharType="begin"/>
            </w:r>
            <w:r w:rsidR="007016BB">
              <w:rPr>
                <w:noProof/>
                <w:webHidden/>
              </w:rPr>
              <w:instrText xml:space="preserve"> PAGEREF _Toc196228985 \h </w:instrText>
            </w:r>
            <w:r w:rsidR="007016BB">
              <w:rPr>
                <w:noProof/>
                <w:webHidden/>
              </w:rPr>
            </w:r>
            <w:r w:rsidR="007016BB">
              <w:rPr>
                <w:noProof/>
                <w:webHidden/>
              </w:rPr>
              <w:fldChar w:fldCharType="separate"/>
            </w:r>
            <w:r w:rsidR="007016BB">
              <w:rPr>
                <w:noProof/>
                <w:webHidden/>
              </w:rPr>
              <w:t>16</w:t>
            </w:r>
            <w:r w:rsidR="007016BB">
              <w:rPr>
                <w:noProof/>
                <w:webHidden/>
              </w:rPr>
              <w:fldChar w:fldCharType="end"/>
            </w:r>
          </w:hyperlink>
        </w:p>
        <w:p w14:paraId="25905CE2" w14:textId="5007CE6A" w:rsidR="007016BB" w:rsidRDefault="00274668">
          <w:pPr>
            <w:pStyle w:val="TOC3"/>
            <w:tabs>
              <w:tab w:val="right" w:leader="dot" w:pos="9016"/>
            </w:tabs>
            <w:rPr>
              <w:rFonts w:asciiTheme="minorHAnsi" w:eastAsiaTheme="minorEastAsia" w:hAnsiTheme="minorHAnsi"/>
              <w:noProof/>
              <w:szCs w:val="24"/>
              <w:lang w:eastAsia="en-AU"/>
            </w:rPr>
          </w:pPr>
          <w:hyperlink w:anchor="_Toc196228986" w:history="1">
            <w:r w:rsidR="007016BB" w:rsidRPr="00652244">
              <w:rPr>
                <w:rStyle w:val="Hyperlink"/>
                <w:noProof/>
              </w:rPr>
              <w:t>Older people</w:t>
            </w:r>
            <w:r w:rsidR="007016BB">
              <w:rPr>
                <w:noProof/>
                <w:webHidden/>
              </w:rPr>
              <w:tab/>
            </w:r>
            <w:r w:rsidR="007016BB">
              <w:rPr>
                <w:noProof/>
                <w:webHidden/>
              </w:rPr>
              <w:fldChar w:fldCharType="begin"/>
            </w:r>
            <w:r w:rsidR="007016BB">
              <w:rPr>
                <w:noProof/>
                <w:webHidden/>
              </w:rPr>
              <w:instrText xml:space="preserve"> PAGEREF _Toc196228986 \h </w:instrText>
            </w:r>
            <w:r w:rsidR="007016BB">
              <w:rPr>
                <w:noProof/>
                <w:webHidden/>
              </w:rPr>
            </w:r>
            <w:r w:rsidR="007016BB">
              <w:rPr>
                <w:noProof/>
                <w:webHidden/>
              </w:rPr>
              <w:fldChar w:fldCharType="separate"/>
            </w:r>
            <w:r w:rsidR="007016BB">
              <w:rPr>
                <w:noProof/>
                <w:webHidden/>
              </w:rPr>
              <w:t>16</w:t>
            </w:r>
            <w:r w:rsidR="007016BB">
              <w:rPr>
                <w:noProof/>
                <w:webHidden/>
              </w:rPr>
              <w:fldChar w:fldCharType="end"/>
            </w:r>
          </w:hyperlink>
        </w:p>
        <w:p w14:paraId="2E48127C" w14:textId="1A406634" w:rsidR="007016BB" w:rsidRDefault="00274668">
          <w:pPr>
            <w:pStyle w:val="TOC3"/>
            <w:tabs>
              <w:tab w:val="right" w:leader="dot" w:pos="9016"/>
            </w:tabs>
            <w:rPr>
              <w:rFonts w:asciiTheme="minorHAnsi" w:eastAsiaTheme="minorEastAsia" w:hAnsiTheme="minorHAnsi"/>
              <w:noProof/>
              <w:szCs w:val="24"/>
              <w:lang w:eastAsia="en-AU"/>
            </w:rPr>
          </w:pPr>
          <w:hyperlink w:anchor="_Toc196228987" w:history="1">
            <w:r w:rsidR="007016BB" w:rsidRPr="00652244">
              <w:rPr>
                <w:rStyle w:val="Hyperlink"/>
                <w:noProof/>
              </w:rPr>
              <w:t>Single parent families</w:t>
            </w:r>
            <w:r w:rsidR="007016BB">
              <w:rPr>
                <w:noProof/>
                <w:webHidden/>
              </w:rPr>
              <w:tab/>
            </w:r>
            <w:r w:rsidR="007016BB">
              <w:rPr>
                <w:noProof/>
                <w:webHidden/>
              </w:rPr>
              <w:fldChar w:fldCharType="begin"/>
            </w:r>
            <w:r w:rsidR="007016BB">
              <w:rPr>
                <w:noProof/>
                <w:webHidden/>
              </w:rPr>
              <w:instrText xml:space="preserve"> PAGEREF _Toc196228987 \h </w:instrText>
            </w:r>
            <w:r w:rsidR="007016BB">
              <w:rPr>
                <w:noProof/>
                <w:webHidden/>
              </w:rPr>
            </w:r>
            <w:r w:rsidR="007016BB">
              <w:rPr>
                <w:noProof/>
                <w:webHidden/>
              </w:rPr>
              <w:fldChar w:fldCharType="separate"/>
            </w:r>
            <w:r w:rsidR="007016BB">
              <w:rPr>
                <w:noProof/>
                <w:webHidden/>
              </w:rPr>
              <w:t>16</w:t>
            </w:r>
            <w:r w:rsidR="007016BB">
              <w:rPr>
                <w:noProof/>
                <w:webHidden/>
              </w:rPr>
              <w:fldChar w:fldCharType="end"/>
            </w:r>
          </w:hyperlink>
        </w:p>
        <w:p w14:paraId="1DF9E45C" w14:textId="2192A9D3" w:rsidR="007016BB" w:rsidRDefault="00274668">
          <w:pPr>
            <w:pStyle w:val="TOC3"/>
            <w:tabs>
              <w:tab w:val="right" w:leader="dot" w:pos="9016"/>
            </w:tabs>
            <w:rPr>
              <w:rFonts w:asciiTheme="minorHAnsi" w:eastAsiaTheme="minorEastAsia" w:hAnsiTheme="minorHAnsi"/>
              <w:noProof/>
              <w:szCs w:val="24"/>
              <w:lang w:eastAsia="en-AU"/>
            </w:rPr>
          </w:pPr>
          <w:hyperlink w:anchor="_Toc196228988" w:history="1">
            <w:r w:rsidR="007016BB" w:rsidRPr="00652244">
              <w:rPr>
                <w:rStyle w:val="Hyperlink"/>
                <w:noProof/>
              </w:rPr>
              <w:t>Couple families</w:t>
            </w:r>
            <w:r w:rsidR="007016BB">
              <w:rPr>
                <w:noProof/>
                <w:webHidden/>
              </w:rPr>
              <w:tab/>
            </w:r>
            <w:r w:rsidR="007016BB">
              <w:rPr>
                <w:noProof/>
                <w:webHidden/>
              </w:rPr>
              <w:fldChar w:fldCharType="begin"/>
            </w:r>
            <w:r w:rsidR="007016BB">
              <w:rPr>
                <w:noProof/>
                <w:webHidden/>
              </w:rPr>
              <w:instrText xml:space="preserve"> PAGEREF _Toc196228988 \h </w:instrText>
            </w:r>
            <w:r w:rsidR="007016BB">
              <w:rPr>
                <w:noProof/>
                <w:webHidden/>
              </w:rPr>
            </w:r>
            <w:r w:rsidR="007016BB">
              <w:rPr>
                <w:noProof/>
                <w:webHidden/>
              </w:rPr>
              <w:fldChar w:fldCharType="separate"/>
            </w:r>
            <w:r w:rsidR="007016BB">
              <w:rPr>
                <w:noProof/>
                <w:webHidden/>
              </w:rPr>
              <w:t>17</w:t>
            </w:r>
            <w:r w:rsidR="007016BB">
              <w:rPr>
                <w:noProof/>
                <w:webHidden/>
              </w:rPr>
              <w:fldChar w:fldCharType="end"/>
            </w:r>
          </w:hyperlink>
        </w:p>
        <w:p w14:paraId="16BA5193" w14:textId="078B1B74" w:rsidR="007016BB" w:rsidRDefault="00274668">
          <w:pPr>
            <w:pStyle w:val="TOC2"/>
            <w:tabs>
              <w:tab w:val="right" w:leader="dot" w:pos="9016"/>
            </w:tabs>
            <w:rPr>
              <w:rFonts w:asciiTheme="minorHAnsi" w:eastAsiaTheme="minorEastAsia" w:hAnsiTheme="minorHAnsi"/>
              <w:noProof/>
              <w:szCs w:val="24"/>
              <w:lang w:eastAsia="en-AU"/>
            </w:rPr>
          </w:pPr>
          <w:hyperlink w:anchor="_Toc196228989" w:history="1">
            <w:r w:rsidR="007016BB" w:rsidRPr="00652244">
              <w:rPr>
                <w:rStyle w:val="Hyperlink"/>
                <w:noProof/>
              </w:rPr>
              <w:t>North West</w:t>
            </w:r>
            <w:r w:rsidR="007016BB">
              <w:rPr>
                <w:noProof/>
                <w:webHidden/>
              </w:rPr>
              <w:tab/>
            </w:r>
            <w:r w:rsidR="007016BB">
              <w:rPr>
                <w:noProof/>
                <w:webHidden/>
              </w:rPr>
              <w:fldChar w:fldCharType="begin"/>
            </w:r>
            <w:r w:rsidR="007016BB">
              <w:rPr>
                <w:noProof/>
                <w:webHidden/>
              </w:rPr>
              <w:instrText xml:space="preserve"> PAGEREF _Toc196228989 \h </w:instrText>
            </w:r>
            <w:r w:rsidR="007016BB">
              <w:rPr>
                <w:noProof/>
                <w:webHidden/>
              </w:rPr>
            </w:r>
            <w:r w:rsidR="007016BB">
              <w:rPr>
                <w:noProof/>
                <w:webHidden/>
              </w:rPr>
              <w:fldChar w:fldCharType="separate"/>
            </w:r>
            <w:r w:rsidR="007016BB">
              <w:rPr>
                <w:noProof/>
                <w:webHidden/>
              </w:rPr>
              <w:t>18</w:t>
            </w:r>
            <w:r w:rsidR="007016BB">
              <w:rPr>
                <w:noProof/>
                <w:webHidden/>
              </w:rPr>
              <w:fldChar w:fldCharType="end"/>
            </w:r>
          </w:hyperlink>
        </w:p>
        <w:p w14:paraId="04D83811" w14:textId="36A2113E" w:rsidR="007016BB" w:rsidRDefault="00274668">
          <w:pPr>
            <w:pStyle w:val="TOC3"/>
            <w:tabs>
              <w:tab w:val="right" w:leader="dot" w:pos="9016"/>
            </w:tabs>
            <w:rPr>
              <w:rFonts w:asciiTheme="minorHAnsi" w:eastAsiaTheme="minorEastAsia" w:hAnsiTheme="minorHAnsi"/>
              <w:noProof/>
              <w:szCs w:val="24"/>
              <w:lang w:eastAsia="en-AU"/>
            </w:rPr>
          </w:pPr>
          <w:hyperlink w:anchor="_Toc196228990" w:history="1">
            <w:r w:rsidR="007016BB" w:rsidRPr="00652244">
              <w:rPr>
                <w:rStyle w:val="Hyperlink"/>
                <w:noProof/>
              </w:rPr>
              <w:t>Singles</w:t>
            </w:r>
            <w:r w:rsidR="007016BB">
              <w:rPr>
                <w:noProof/>
                <w:webHidden/>
              </w:rPr>
              <w:tab/>
            </w:r>
            <w:r w:rsidR="007016BB">
              <w:rPr>
                <w:noProof/>
                <w:webHidden/>
              </w:rPr>
              <w:fldChar w:fldCharType="begin"/>
            </w:r>
            <w:r w:rsidR="007016BB">
              <w:rPr>
                <w:noProof/>
                <w:webHidden/>
              </w:rPr>
              <w:instrText xml:space="preserve"> PAGEREF _Toc196228990 \h </w:instrText>
            </w:r>
            <w:r w:rsidR="007016BB">
              <w:rPr>
                <w:noProof/>
                <w:webHidden/>
              </w:rPr>
            </w:r>
            <w:r w:rsidR="007016BB">
              <w:rPr>
                <w:noProof/>
                <w:webHidden/>
              </w:rPr>
              <w:fldChar w:fldCharType="separate"/>
            </w:r>
            <w:r w:rsidR="007016BB">
              <w:rPr>
                <w:noProof/>
                <w:webHidden/>
              </w:rPr>
              <w:t>18</w:t>
            </w:r>
            <w:r w:rsidR="007016BB">
              <w:rPr>
                <w:noProof/>
                <w:webHidden/>
              </w:rPr>
              <w:fldChar w:fldCharType="end"/>
            </w:r>
          </w:hyperlink>
        </w:p>
        <w:p w14:paraId="75EB9879" w14:textId="40A881D7" w:rsidR="007016BB" w:rsidRDefault="00274668">
          <w:pPr>
            <w:pStyle w:val="TOC3"/>
            <w:tabs>
              <w:tab w:val="right" w:leader="dot" w:pos="9016"/>
            </w:tabs>
            <w:rPr>
              <w:rFonts w:asciiTheme="minorHAnsi" w:eastAsiaTheme="minorEastAsia" w:hAnsiTheme="minorHAnsi"/>
              <w:noProof/>
              <w:szCs w:val="24"/>
              <w:lang w:eastAsia="en-AU"/>
            </w:rPr>
          </w:pPr>
          <w:hyperlink w:anchor="_Toc196228991" w:history="1">
            <w:r w:rsidR="007016BB" w:rsidRPr="00652244">
              <w:rPr>
                <w:rStyle w:val="Hyperlink"/>
                <w:noProof/>
              </w:rPr>
              <w:t>Older people</w:t>
            </w:r>
            <w:r w:rsidR="007016BB">
              <w:rPr>
                <w:noProof/>
                <w:webHidden/>
              </w:rPr>
              <w:tab/>
            </w:r>
            <w:r w:rsidR="007016BB">
              <w:rPr>
                <w:noProof/>
                <w:webHidden/>
              </w:rPr>
              <w:fldChar w:fldCharType="begin"/>
            </w:r>
            <w:r w:rsidR="007016BB">
              <w:rPr>
                <w:noProof/>
                <w:webHidden/>
              </w:rPr>
              <w:instrText xml:space="preserve"> PAGEREF _Toc196228991 \h </w:instrText>
            </w:r>
            <w:r w:rsidR="007016BB">
              <w:rPr>
                <w:noProof/>
                <w:webHidden/>
              </w:rPr>
            </w:r>
            <w:r w:rsidR="007016BB">
              <w:rPr>
                <w:noProof/>
                <w:webHidden/>
              </w:rPr>
              <w:fldChar w:fldCharType="separate"/>
            </w:r>
            <w:r w:rsidR="007016BB">
              <w:rPr>
                <w:noProof/>
                <w:webHidden/>
              </w:rPr>
              <w:t>19</w:t>
            </w:r>
            <w:r w:rsidR="007016BB">
              <w:rPr>
                <w:noProof/>
                <w:webHidden/>
              </w:rPr>
              <w:fldChar w:fldCharType="end"/>
            </w:r>
          </w:hyperlink>
        </w:p>
        <w:p w14:paraId="6A4551EA" w14:textId="1DA5BDEB" w:rsidR="007016BB" w:rsidRDefault="00274668">
          <w:pPr>
            <w:pStyle w:val="TOC3"/>
            <w:tabs>
              <w:tab w:val="right" w:leader="dot" w:pos="9016"/>
            </w:tabs>
            <w:rPr>
              <w:rFonts w:asciiTheme="minorHAnsi" w:eastAsiaTheme="minorEastAsia" w:hAnsiTheme="minorHAnsi"/>
              <w:noProof/>
              <w:szCs w:val="24"/>
              <w:lang w:eastAsia="en-AU"/>
            </w:rPr>
          </w:pPr>
          <w:hyperlink w:anchor="_Toc196228992" w:history="1">
            <w:r w:rsidR="007016BB" w:rsidRPr="00652244">
              <w:rPr>
                <w:rStyle w:val="Hyperlink"/>
                <w:noProof/>
              </w:rPr>
              <w:t>Single parent families</w:t>
            </w:r>
            <w:r w:rsidR="007016BB">
              <w:rPr>
                <w:noProof/>
                <w:webHidden/>
              </w:rPr>
              <w:tab/>
            </w:r>
            <w:r w:rsidR="007016BB">
              <w:rPr>
                <w:noProof/>
                <w:webHidden/>
              </w:rPr>
              <w:fldChar w:fldCharType="begin"/>
            </w:r>
            <w:r w:rsidR="007016BB">
              <w:rPr>
                <w:noProof/>
                <w:webHidden/>
              </w:rPr>
              <w:instrText xml:space="preserve"> PAGEREF _Toc196228992 \h </w:instrText>
            </w:r>
            <w:r w:rsidR="007016BB">
              <w:rPr>
                <w:noProof/>
                <w:webHidden/>
              </w:rPr>
            </w:r>
            <w:r w:rsidR="007016BB">
              <w:rPr>
                <w:noProof/>
                <w:webHidden/>
              </w:rPr>
              <w:fldChar w:fldCharType="separate"/>
            </w:r>
            <w:r w:rsidR="007016BB">
              <w:rPr>
                <w:noProof/>
                <w:webHidden/>
              </w:rPr>
              <w:t>19</w:t>
            </w:r>
            <w:r w:rsidR="007016BB">
              <w:rPr>
                <w:noProof/>
                <w:webHidden/>
              </w:rPr>
              <w:fldChar w:fldCharType="end"/>
            </w:r>
          </w:hyperlink>
        </w:p>
        <w:p w14:paraId="006476DF" w14:textId="32C55173" w:rsidR="007016BB" w:rsidRDefault="00274668">
          <w:pPr>
            <w:pStyle w:val="TOC3"/>
            <w:tabs>
              <w:tab w:val="right" w:leader="dot" w:pos="9016"/>
            </w:tabs>
            <w:rPr>
              <w:rFonts w:asciiTheme="minorHAnsi" w:eastAsiaTheme="minorEastAsia" w:hAnsiTheme="minorHAnsi"/>
              <w:noProof/>
              <w:szCs w:val="24"/>
              <w:lang w:eastAsia="en-AU"/>
            </w:rPr>
          </w:pPr>
          <w:hyperlink w:anchor="_Toc196228993" w:history="1">
            <w:r w:rsidR="007016BB" w:rsidRPr="00652244">
              <w:rPr>
                <w:rStyle w:val="Hyperlink"/>
                <w:noProof/>
              </w:rPr>
              <w:t>Couple families</w:t>
            </w:r>
            <w:r w:rsidR="007016BB">
              <w:rPr>
                <w:noProof/>
                <w:webHidden/>
              </w:rPr>
              <w:tab/>
            </w:r>
            <w:r w:rsidR="007016BB">
              <w:rPr>
                <w:noProof/>
                <w:webHidden/>
              </w:rPr>
              <w:fldChar w:fldCharType="begin"/>
            </w:r>
            <w:r w:rsidR="007016BB">
              <w:rPr>
                <w:noProof/>
                <w:webHidden/>
              </w:rPr>
              <w:instrText xml:space="preserve"> PAGEREF _Toc196228993 \h </w:instrText>
            </w:r>
            <w:r w:rsidR="007016BB">
              <w:rPr>
                <w:noProof/>
                <w:webHidden/>
              </w:rPr>
            </w:r>
            <w:r w:rsidR="007016BB">
              <w:rPr>
                <w:noProof/>
                <w:webHidden/>
              </w:rPr>
              <w:fldChar w:fldCharType="separate"/>
            </w:r>
            <w:r w:rsidR="007016BB">
              <w:rPr>
                <w:noProof/>
                <w:webHidden/>
              </w:rPr>
              <w:t>19</w:t>
            </w:r>
            <w:r w:rsidR="007016BB">
              <w:rPr>
                <w:noProof/>
                <w:webHidden/>
              </w:rPr>
              <w:fldChar w:fldCharType="end"/>
            </w:r>
          </w:hyperlink>
        </w:p>
        <w:p w14:paraId="2930FBF7" w14:textId="5296263E" w:rsidR="007016BB" w:rsidRDefault="00274668">
          <w:pPr>
            <w:pStyle w:val="TOC1"/>
            <w:rPr>
              <w:rFonts w:asciiTheme="minorHAnsi" w:eastAsiaTheme="minorEastAsia" w:hAnsiTheme="minorHAnsi"/>
              <w:szCs w:val="24"/>
              <w:lang w:eastAsia="en-AU"/>
            </w:rPr>
          </w:pPr>
          <w:hyperlink w:anchor="_Toc196228994" w:history="1">
            <w:r w:rsidR="007016BB" w:rsidRPr="00652244">
              <w:rPr>
                <w:rStyle w:val="Hyperlink"/>
              </w:rPr>
              <w:t>Impacts on people and their lives</w:t>
            </w:r>
            <w:r w:rsidR="007016BB">
              <w:rPr>
                <w:webHidden/>
              </w:rPr>
              <w:tab/>
            </w:r>
            <w:r w:rsidR="007016BB">
              <w:rPr>
                <w:webHidden/>
              </w:rPr>
              <w:fldChar w:fldCharType="begin"/>
            </w:r>
            <w:r w:rsidR="007016BB">
              <w:rPr>
                <w:webHidden/>
              </w:rPr>
              <w:instrText xml:space="preserve"> PAGEREF _Toc196228994 \h </w:instrText>
            </w:r>
            <w:r w:rsidR="007016BB">
              <w:rPr>
                <w:webHidden/>
              </w:rPr>
            </w:r>
            <w:r w:rsidR="007016BB">
              <w:rPr>
                <w:webHidden/>
              </w:rPr>
              <w:fldChar w:fldCharType="separate"/>
            </w:r>
            <w:r w:rsidR="007016BB">
              <w:rPr>
                <w:webHidden/>
              </w:rPr>
              <w:t>20</w:t>
            </w:r>
            <w:r w:rsidR="007016BB">
              <w:rPr>
                <w:webHidden/>
              </w:rPr>
              <w:fldChar w:fldCharType="end"/>
            </w:r>
          </w:hyperlink>
        </w:p>
        <w:p w14:paraId="573EF9FD" w14:textId="62887E7F" w:rsidR="007016BB" w:rsidRDefault="00274668">
          <w:pPr>
            <w:pStyle w:val="TOC2"/>
            <w:tabs>
              <w:tab w:val="right" w:leader="dot" w:pos="9016"/>
            </w:tabs>
            <w:rPr>
              <w:rFonts w:asciiTheme="minorHAnsi" w:eastAsiaTheme="minorEastAsia" w:hAnsiTheme="minorHAnsi"/>
              <w:noProof/>
              <w:szCs w:val="24"/>
              <w:lang w:eastAsia="en-AU"/>
            </w:rPr>
          </w:pPr>
          <w:hyperlink w:anchor="_Toc196228995" w:history="1">
            <w:r w:rsidR="007016BB" w:rsidRPr="00652244">
              <w:rPr>
                <w:rStyle w:val="Hyperlink"/>
                <w:noProof/>
              </w:rPr>
              <w:t>Older people and people with a disability may find nowhere they can afford</w:t>
            </w:r>
            <w:r w:rsidR="007016BB">
              <w:rPr>
                <w:noProof/>
                <w:webHidden/>
              </w:rPr>
              <w:tab/>
            </w:r>
            <w:r w:rsidR="007016BB">
              <w:rPr>
                <w:noProof/>
                <w:webHidden/>
              </w:rPr>
              <w:fldChar w:fldCharType="begin"/>
            </w:r>
            <w:r w:rsidR="007016BB">
              <w:rPr>
                <w:noProof/>
                <w:webHidden/>
              </w:rPr>
              <w:instrText xml:space="preserve"> PAGEREF _Toc196228995 \h </w:instrText>
            </w:r>
            <w:r w:rsidR="007016BB">
              <w:rPr>
                <w:noProof/>
                <w:webHidden/>
              </w:rPr>
            </w:r>
            <w:r w:rsidR="007016BB">
              <w:rPr>
                <w:noProof/>
                <w:webHidden/>
              </w:rPr>
              <w:fldChar w:fldCharType="separate"/>
            </w:r>
            <w:r w:rsidR="007016BB">
              <w:rPr>
                <w:noProof/>
                <w:webHidden/>
              </w:rPr>
              <w:t>21</w:t>
            </w:r>
            <w:r w:rsidR="007016BB">
              <w:rPr>
                <w:noProof/>
                <w:webHidden/>
              </w:rPr>
              <w:fldChar w:fldCharType="end"/>
            </w:r>
          </w:hyperlink>
        </w:p>
        <w:p w14:paraId="26093D2C" w14:textId="745C4917" w:rsidR="007016BB" w:rsidRDefault="00274668">
          <w:pPr>
            <w:pStyle w:val="TOC2"/>
            <w:tabs>
              <w:tab w:val="right" w:leader="dot" w:pos="9016"/>
            </w:tabs>
            <w:rPr>
              <w:rFonts w:asciiTheme="minorHAnsi" w:eastAsiaTheme="minorEastAsia" w:hAnsiTheme="minorHAnsi"/>
              <w:noProof/>
              <w:szCs w:val="24"/>
              <w:lang w:eastAsia="en-AU"/>
            </w:rPr>
          </w:pPr>
          <w:hyperlink w:anchor="_Toc196228996" w:history="1">
            <w:r w:rsidR="007016BB" w:rsidRPr="00652244">
              <w:rPr>
                <w:rStyle w:val="Hyperlink"/>
                <w:noProof/>
              </w:rPr>
              <w:t>Families may have a wide range of needs</w:t>
            </w:r>
            <w:r w:rsidR="007016BB">
              <w:rPr>
                <w:noProof/>
                <w:webHidden/>
              </w:rPr>
              <w:tab/>
            </w:r>
            <w:r w:rsidR="007016BB">
              <w:rPr>
                <w:noProof/>
                <w:webHidden/>
              </w:rPr>
              <w:fldChar w:fldCharType="begin"/>
            </w:r>
            <w:r w:rsidR="007016BB">
              <w:rPr>
                <w:noProof/>
                <w:webHidden/>
              </w:rPr>
              <w:instrText xml:space="preserve"> PAGEREF _Toc196228996 \h </w:instrText>
            </w:r>
            <w:r w:rsidR="007016BB">
              <w:rPr>
                <w:noProof/>
                <w:webHidden/>
              </w:rPr>
            </w:r>
            <w:r w:rsidR="007016BB">
              <w:rPr>
                <w:noProof/>
                <w:webHidden/>
              </w:rPr>
              <w:fldChar w:fldCharType="separate"/>
            </w:r>
            <w:r w:rsidR="007016BB">
              <w:rPr>
                <w:noProof/>
                <w:webHidden/>
              </w:rPr>
              <w:t>22</w:t>
            </w:r>
            <w:r w:rsidR="007016BB">
              <w:rPr>
                <w:noProof/>
                <w:webHidden/>
              </w:rPr>
              <w:fldChar w:fldCharType="end"/>
            </w:r>
          </w:hyperlink>
        </w:p>
        <w:p w14:paraId="4B7C87CB" w14:textId="1DC01495" w:rsidR="007016BB" w:rsidRDefault="00274668">
          <w:pPr>
            <w:pStyle w:val="TOC1"/>
            <w:rPr>
              <w:rFonts w:asciiTheme="minorHAnsi" w:eastAsiaTheme="minorEastAsia" w:hAnsiTheme="minorHAnsi"/>
              <w:szCs w:val="24"/>
              <w:lang w:eastAsia="en-AU"/>
            </w:rPr>
          </w:pPr>
          <w:hyperlink w:anchor="_Toc196228997" w:history="1">
            <w:r w:rsidR="007016BB" w:rsidRPr="00652244">
              <w:rPr>
                <w:rStyle w:val="Hyperlink"/>
              </w:rPr>
              <w:t>Why housing is important in addressing domestic and family violence</w:t>
            </w:r>
            <w:r w:rsidR="007016BB">
              <w:rPr>
                <w:webHidden/>
              </w:rPr>
              <w:tab/>
            </w:r>
            <w:r w:rsidR="007016BB">
              <w:rPr>
                <w:webHidden/>
              </w:rPr>
              <w:fldChar w:fldCharType="begin"/>
            </w:r>
            <w:r w:rsidR="007016BB">
              <w:rPr>
                <w:webHidden/>
              </w:rPr>
              <w:instrText xml:space="preserve"> PAGEREF _Toc196228997 \h </w:instrText>
            </w:r>
            <w:r w:rsidR="007016BB">
              <w:rPr>
                <w:webHidden/>
              </w:rPr>
            </w:r>
            <w:r w:rsidR="007016BB">
              <w:rPr>
                <w:webHidden/>
              </w:rPr>
              <w:fldChar w:fldCharType="separate"/>
            </w:r>
            <w:r w:rsidR="007016BB">
              <w:rPr>
                <w:webHidden/>
              </w:rPr>
              <w:t>23</w:t>
            </w:r>
            <w:r w:rsidR="007016BB">
              <w:rPr>
                <w:webHidden/>
              </w:rPr>
              <w:fldChar w:fldCharType="end"/>
            </w:r>
          </w:hyperlink>
        </w:p>
        <w:p w14:paraId="0372432D" w14:textId="6654975C" w:rsidR="007016BB" w:rsidRDefault="00274668">
          <w:pPr>
            <w:pStyle w:val="TOC2"/>
            <w:tabs>
              <w:tab w:val="right" w:leader="dot" w:pos="9016"/>
            </w:tabs>
            <w:rPr>
              <w:rFonts w:asciiTheme="minorHAnsi" w:eastAsiaTheme="minorEastAsia" w:hAnsiTheme="minorHAnsi"/>
              <w:noProof/>
              <w:szCs w:val="24"/>
              <w:lang w:eastAsia="en-AU"/>
            </w:rPr>
          </w:pPr>
          <w:hyperlink w:anchor="_Toc196228998" w:history="1">
            <w:r w:rsidR="007016BB" w:rsidRPr="00652244">
              <w:rPr>
                <w:rStyle w:val="Hyperlink"/>
                <w:noProof/>
              </w:rPr>
              <w:t>Choosing between homelessness or returning to a violent partner</w:t>
            </w:r>
            <w:r w:rsidR="007016BB">
              <w:rPr>
                <w:noProof/>
                <w:webHidden/>
              </w:rPr>
              <w:tab/>
            </w:r>
            <w:r w:rsidR="007016BB">
              <w:rPr>
                <w:noProof/>
                <w:webHidden/>
              </w:rPr>
              <w:fldChar w:fldCharType="begin"/>
            </w:r>
            <w:r w:rsidR="007016BB">
              <w:rPr>
                <w:noProof/>
                <w:webHidden/>
              </w:rPr>
              <w:instrText xml:space="preserve"> PAGEREF _Toc196228998 \h </w:instrText>
            </w:r>
            <w:r w:rsidR="007016BB">
              <w:rPr>
                <w:noProof/>
                <w:webHidden/>
              </w:rPr>
            </w:r>
            <w:r w:rsidR="007016BB">
              <w:rPr>
                <w:noProof/>
                <w:webHidden/>
              </w:rPr>
              <w:fldChar w:fldCharType="separate"/>
            </w:r>
            <w:r w:rsidR="007016BB">
              <w:rPr>
                <w:noProof/>
                <w:webHidden/>
              </w:rPr>
              <w:t>25</w:t>
            </w:r>
            <w:r w:rsidR="007016BB">
              <w:rPr>
                <w:noProof/>
                <w:webHidden/>
              </w:rPr>
              <w:fldChar w:fldCharType="end"/>
            </w:r>
          </w:hyperlink>
        </w:p>
        <w:p w14:paraId="5187D350" w14:textId="763A7B59" w:rsidR="007016BB" w:rsidRDefault="00274668">
          <w:pPr>
            <w:pStyle w:val="TOC2"/>
            <w:tabs>
              <w:tab w:val="right" w:leader="dot" w:pos="9016"/>
            </w:tabs>
            <w:rPr>
              <w:rFonts w:asciiTheme="minorHAnsi" w:eastAsiaTheme="minorEastAsia" w:hAnsiTheme="minorHAnsi"/>
              <w:noProof/>
              <w:szCs w:val="24"/>
              <w:lang w:eastAsia="en-AU"/>
            </w:rPr>
          </w:pPr>
          <w:hyperlink w:anchor="_Toc196228999" w:history="1">
            <w:r w:rsidR="007016BB" w:rsidRPr="00652244">
              <w:rPr>
                <w:rStyle w:val="Hyperlink"/>
                <w:noProof/>
              </w:rPr>
              <w:t>Families with children need affordable stable housing to stay together</w:t>
            </w:r>
            <w:r w:rsidR="007016BB">
              <w:rPr>
                <w:noProof/>
                <w:webHidden/>
              </w:rPr>
              <w:tab/>
            </w:r>
            <w:r w:rsidR="007016BB">
              <w:rPr>
                <w:noProof/>
                <w:webHidden/>
              </w:rPr>
              <w:fldChar w:fldCharType="begin"/>
            </w:r>
            <w:r w:rsidR="007016BB">
              <w:rPr>
                <w:noProof/>
                <w:webHidden/>
              </w:rPr>
              <w:instrText xml:space="preserve"> PAGEREF _Toc196228999 \h </w:instrText>
            </w:r>
            <w:r w:rsidR="007016BB">
              <w:rPr>
                <w:noProof/>
                <w:webHidden/>
              </w:rPr>
            </w:r>
            <w:r w:rsidR="007016BB">
              <w:rPr>
                <w:noProof/>
                <w:webHidden/>
              </w:rPr>
              <w:fldChar w:fldCharType="separate"/>
            </w:r>
            <w:r w:rsidR="007016BB">
              <w:rPr>
                <w:noProof/>
                <w:webHidden/>
              </w:rPr>
              <w:t>27</w:t>
            </w:r>
            <w:r w:rsidR="007016BB">
              <w:rPr>
                <w:noProof/>
                <w:webHidden/>
              </w:rPr>
              <w:fldChar w:fldCharType="end"/>
            </w:r>
          </w:hyperlink>
        </w:p>
        <w:p w14:paraId="62C28637" w14:textId="5C731D8E" w:rsidR="007016BB" w:rsidRDefault="00274668">
          <w:pPr>
            <w:pStyle w:val="TOC2"/>
            <w:tabs>
              <w:tab w:val="right" w:leader="dot" w:pos="9016"/>
            </w:tabs>
            <w:rPr>
              <w:rFonts w:asciiTheme="minorHAnsi" w:eastAsiaTheme="minorEastAsia" w:hAnsiTheme="minorHAnsi"/>
              <w:noProof/>
              <w:szCs w:val="24"/>
              <w:lang w:eastAsia="en-AU"/>
            </w:rPr>
          </w:pPr>
          <w:hyperlink w:anchor="_Toc196229000" w:history="1">
            <w:r w:rsidR="007016BB" w:rsidRPr="00652244">
              <w:rPr>
                <w:rStyle w:val="Hyperlink"/>
                <w:noProof/>
              </w:rPr>
              <w:t>Children need safe and stable housing with room to grow</w:t>
            </w:r>
            <w:r w:rsidR="007016BB">
              <w:rPr>
                <w:noProof/>
                <w:webHidden/>
              </w:rPr>
              <w:tab/>
            </w:r>
            <w:r w:rsidR="007016BB">
              <w:rPr>
                <w:noProof/>
                <w:webHidden/>
              </w:rPr>
              <w:fldChar w:fldCharType="begin"/>
            </w:r>
            <w:r w:rsidR="007016BB">
              <w:rPr>
                <w:noProof/>
                <w:webHidden/>
              </w:rPr>
              <w:instrText xml:space="preserve"> PAGEREF _Toc196229000 \h </w:instrText>
            </w:r>
            <w:r w:rsidR="007016BB">
              <w:rPr>
                <w:noProof/>
                <w:webHidden/>
              </w:rPr>
            </w:r>
            <w:r w:rsidR="007016BB">
              <w:rPr>
                <w:noProof/>
                <w:webHidden/>
              </w:rPr>
              <w:fldChar w:fldCharType="separate"/>
            </w:r>
            <w:r w:rsidR="007016BB">
              <w:rPr>
                <w:noProof/>
                <w:webHidden/>
              </w:rPr>
              <w:t>28</w:t>
            </w:r>
            <w:r w:rsidR="007016BB">
              <w:rPr>
                <w:noProof/>
                <w:webHidden/>
              </w:rPr>
              <w:fldChar w:fldCharType="end"/>
            </w:r>
          </w:hyperlink>
        </w:p>
        <w:p w14:paraId="5BA3EA3C" w14:textId="1D6188AD" w:rsidR="007016BB" w:rsidRDefault="00274668">
          <w:pPr>
            <w:pStyle w:val="TOC2"/>
            <w:tabs>
              <w:tab w:val="right" w:leader="dot" w:pos="9016"/>
            </w:tabs>
            <w:rPr>
              <w:rFonts w:asciiTheme="minorHAnsi" w:eastAsiaTheme="minorEastAsia" w:hAnsiTheme="minorHAnsi"/>
              <w:noProof/>
              <w:szCs w:val="24"/>
              <w:lang w:eastAsia="en-AU"/>
            </w:rPr>
          </w:pPr>
          <w:hyperlink w:anchor="_Toc196229001" w:history="1">
            <w:r w:rsidR="007016BB" w:rsidRPr="00652244">
              <w:rPr>
                <w:rStyle w:val="Hyperlink"/>
                <w:noProof/>
              </w:rPr>
              <w:t>Children need access to safe caregivers</w:t>
            </w:r>
            <w:r w:rsidR="007016BB">
              <w:rPr>
                <w:noProof/>
                <w:webHidden/>
              </w:rPr>
              <w:tab/>
            </w:r>
            <w:r w:rsidR="007016BB">
              <w:rPr>
                <w:noProof/>
                <w:webHidden/>
              </w:rPr>
              <w:fldChar w:fldCharType="begin"/>
            </w:r>
            <w:r w:rsidR="007016BB">
              <w:rPr>
                <w:noProof/>
                <w:webHidden/>
              </w:rPr>
              <w:instrText xml:space="preserve"> PAGEREF _Toc196229001 \h </w:instrText>
            </w:r>
            <w:r w:rsidR="007016BB">
              <w:rPr>
                <w:noProof/>
                <w:webHidden/>
              </w:rPr>
            </w:r>
            <w:r w:rsidR="007016BB">
              <w:rPr>
                <w:noProof/>
                <w:webHidden/>
              </w:rPr>
              <w:fldChar w:fldCharType="separate"/>
            </w:r>
            <w:r w:rsidR="007016BB">
              <w:rPr>
                <w:noProof/>
                <w:webHidden/>
              </w:rPr>
              <w:t>29</w:t>
            </w:r>
            <w:r w:rsidR="007016BB">
              <w:rPr>
                <w:noProof/>
                <w:webHidden/>
              </w:rPr>
              <w:fldChar w:fldCharType="end"/>
            </w:r>
          </w:hyperlink>
        </w:p>
        <w:p w14:paraId="3A5DDC1C" w14:textId="67078816" w:rsidR="007016BB" w:rsidRDefault="00274668">
          <w:pPr>
            <w:pStyle w:val="TOC1"/>
            <w:rPr>
              <w:rFonts w:asciiTheme="minorHAnsi" w:eastAsiaTheme="minorEastAsia" w:hAnsiTheme="minorHAnsi"/>
              <w:szCs w:val="24"/>
              <w:lang w:eastAsia="en-AU"/>
            </w:rPr>
          </w:pPr>
          <w:hyperlink w:anchor="_Toc196229002" w:history="1">
            <w:r w:rsidR="007016BB" w:rsidRPr="00652244">
              <w:rPr>
                <w:rStyle w:val="Hyperlink"/>
              </w:rPr>
              <w:t>Private rental options for people leaving domestic and family violence</w:t>
            </w:r>
            <w:r w:rsidR="007016BB">
              <w:rPr>
                <w:webHidden/>
              </w:rPr>
              <w:tab/>
            </w:r>
            <w:r w:rsidR="007016BB">
              <w:rPr>
                <w:webHidden/>
              </w:rPr>
              <w:fldChar w:fldCharType="begin"/>
            </w:r>
            <w:r w:rsidR="007016BB">
              <w:rPr>
                <w:webHidden/>
              </w:rPr>
              <w:instrText xml:space="preserve"> PAGEREF _Toc196229002 \h </w:instrText>
            </w:r>
            <w:r w:rsidR="007016BB">
              <w:rPr>
                <w:webHidden/>
              </w:rPr>
            </w:r>
            <w:r w:rsidR="007016BB">
              <w:rPr>
                <w:webHidden/>
              </w:rPr>
              <w:fldChar w:fldCharType="separate"/>
            </w:r>
            <w:r w:rsidR="007016BB">
              <w:rPr>
                <w:webHidden/>
              </w:rPr>
              <w:t>30</w:t>
            </w:r>
            <w:r w:rsidR="007016BB">
              <w:rPr>
                <w:webHidden/>
              </w:rPr>
              <w:fldChar w:fldCharType="end"/>
            </w:r>
          </w:hyperlink>
        </w:p>
        <w:p w14:paraId="3DD1EF9F" w14:textId="5114AC51" w:rsidR="007016BB" w:rsidRDefault="00274668">
          <w:pPr>
            <w:pStyle w:val="TOC2"/>
            <w:tabs>
              <w:tab w:val="right" w:leader="dot" w:pos="9016"/>
            </w:tabs>
            <w:rPr>
              <w:rFonts w:asciiTheme="minorHAnsi" w:eastAsiaTheme="minorEastAsia" w:hAnsiTheme="minorHAnsi"/>
              <w:noProof/>
              <w:szCs w:val="24"/>
              <w:lang w:eastAsia="en-AU"/>
            </w:rPr>
          </w:pPr>
          <w:hyperlink w:anchor="_Toc196229003" w:history="1">
            <w:r w:rsidR="007016BB" w:rsidRPr="00652244">
              <w:rPr>
                <w:rStyle w:val="Hyperlink"/>
                <w:noProof/>
              </w:rPr>
              <w:t>Where do people escaping domestic and family violence go if there are no affordable rental options?</w:t>
            </w:r>
            <w:r w:rsidR="007016BB">
              <w:rPr>
                <w:noProof/>
                <w:webHidden/>
              </w:rPr>
              <w:tab/>
            </w:r>
            <w:r w:rsidR="007016BB">
              <w:rPr>
                <w:noProof/>
                <w:webHidden/>
              </w:rPr>
              <w:fldChar w:fldCharType="begin"/>
            </w:r>
            <w:r w:rsidR="007016BB">
              <w:rPr>
                <w:noProof/>
                <w:webHidden/>
              </w:rPr>
              <w:instrText xml:space="preserve"> PAGEREF _Toc196229003 \h </w:instrText>
            </w:r>
            <w:r w:rsidR="007016BB">
              <w:rPr>
                <w:noProof/>
                <w:webHidden/>
              </w:rPr>
            </w:r>
            <w:r w:rsidR="007016BB">
              <w:rPr>
                <w:noProof/>
                <w:webHidden/>
              </w:rPr>
              <w:fldChar w:fldCharType="separate"/>
            </w:r>
            <w:r w:rsidR="007016BB">
              <w:rPr>
                <w:noProof/>
                <w:webHidden/>
              </w:rPr>
              <w:t>32</w:t>
            </w:r>
            <w:r w:rsidR="007016BB">
              <w:rPr>
                <w:noProof/>
                <w:webHidden/>
              </w:rPr>
              <w:fldChar w:fldCharType="end"/>
            </w:r>
          </w:hyperlink>
        </w:p>
        <w:p w14:paraId="39E26B3F" w14:textId="0DA2452B" w:rsidR="007016BB" w:rsidRDefault="00274668">
          <w:pPr>
            <w:pStyle w:val="TOC1"/>
            <w:rPr>
              <w:rFonts w:asciiTheme="minorHAnsi" w:eastAsiaTheme="minorEastAsia" w:hAnsiTheme="minorHAnsi"/>
              <w:szCs w:val="24"/>
              <w:lang w:eastAsia="en-AU"/>
            </w:rPr>
          </w:pPr>
          <w:hyperlink w:anchor="_Toc196229004" w:history="1">
            <w:r w:rsidR="007016BB" w:rsidRPr="00652244">
              <w:rPr>
                <w:rStyle w:val="Hyperlink"/>
              </w:rPr>
              <w:t>What could be done to address the challenges for people on the lowest incomes?</w:t>
            </w:r>
            <w:r w:rsidR="007016BB">
              <w:rPr>
                <w:webHidden/>
              </w:rPr>
              <w:tab/>
            </w:r>
            <w:r w:rsidR="007016BB">
              <w:rPr>
                <w:webHidden/>
              </w:rPr>
              <w:fldChar w:fldCharType="begin"/>
            </w:r>
            <w:r w:rsidR="007016BB">
              <w:rPr>
                <w:webHidden/>
              </w:rPr>
              <w:instrText xml:space="preserve"> PAGEREF _Toc196229004 \h </w:instrText>
            </w:r>
            <w:r w:rsidR="007016BB">
              <w:rPr>
                <w:webHidden/>
              </w:rPr>
            </w:r>
            <w:r w:rsidR="007016BB">
              <w:rPr>
                <w:webHidden/>
              </w:rPr>
              <w:fldChar w:fldCharType="separate"/>
            </w:r>
            <w:r w:rsidR="007016BB">
              <w:rPr>
                <w:webHidden/>
              </w:rPr>
              <w:t>33</w:t>
            </w:r>
            <w:r w:rsidR="007016BB">
              <w:rPr>
                <w:webHidden/>
              </w:rPr>
              <w:fldChar w:fldCharType="end"/>
            </w:r>
          </w:hyperlink>
        </w:p>
        <w:p w14:paraId="3E392A7A" w14:textId="53AF27B2" w:rsidR="007016BB" w:rsidRDefault="00274668">
          <w:pPr>
            <w:pStyle w:val="TOC2"/>
            <w:tabs>
              <w:tab w:val="right" w:leader="dot" w:pos="9016"/>
            </w:tabs>
            <w:rPr>
              <w:rFonts w:asciiTheme="minorHAnsi" w:eastAsiaTheme="minorEastAsia" w:hAnsiTheme="minorHAnsi"/>
              <w:noProof/>
              <w:szCs w:val="24"/>
              <w:lang w:eastAsia="en-AU"/>
            </w:rPr>
          </w:pPr>
          <w:hyperlink w:anchor="_Toc196229005" w:history="1">
            <w:r w:rsidR="007016BB" w:rsidRPr="00652244">
              <w:rPr>
                <w:rStyle w:val="Hyperlink"/>
                <w:noProof/>
              </w:rPr>
              <w:t>Increase social housing at scale</w:t>
            </w:r>
            <w:r w:rsidR="007016BB">
              <w:rPr>
                <w:noProof/>
                <w:webHidden/>
              </w:rPr>
              <w:tab/>
            </w:r>
            <w:r w:rsidR="007016BB">
              <w:rPr>
                <w:noProof/>
                <w:webHidden/>
              </w:rPr>
              <w:fldChar w:fldCharType="begin"/>
            </w:r>
            <w:r w:rsidR="007016BB">
              <w:rPr>
                <w:noProof/>
                <w:webHidden/>
              </w:rPr>
              <w:instrText xml:space="preserve"> PAGEREF _Toc196229005 \h </w:instrText>
            </w:r>
            <w:r w:rsidR="007016BB">
              <w:rPr>
                <w:noProof/>
                <w:webHidden/>
              </w:rPr>
            </w:r>
            <w:r w:rsidR="007016BB">
              <w:rPr>
                <w:noProof/>
                <w:webHidden/>
              </w:rPr>
              <w:fldChar w:fldCharType="separate"/>
            </w:r>
            <w:r w:rsidR="007016BB">
              <w:rPr>
                <w:noProof/>
                <w:webHidden/>
              </w:rPr>
              <w:t>34</w:t>
            </w:r>
            <w:r w:rsidR="007016BB">
              <w:rPr>
                <w:noProof/>
                <w:webHidden/>
              </w:rPr>
              <w:fldChar w:fldCharType="end"/>
            </w:r>
          </w:hyperlink>
        </w:p>
        <w:p w14:paraId="321F54F3" w14:textId="1E5EA00C" w:rsidR="007016BB" w:rsidRDefault="00274668">
          <w:pPr>
            <w:pStyle w:val="TOC2"/>
            <w:tabs>
              <w:tab w:val="right" w:leader="dot" w:pos="9016"/>
            </w:tabs>
            <w:rPr>
              <w:rFonts w:asciiTheme="minorHAnsi" w:eastAsiaTheme="minorEastAsia" w:hAnsiTheme="minorHAnsi"/>
              <w:noProof/>
              <w:szCs w:val="24"/>
              <w:lang w:eastAsia="en-AU"/>
            </w:rPr>
          </w:pPr>
          <w:hyperlink w:anchor="_Toc196229006" w:history="1">
            <w:r w:rsidR="007016BB" w:rsidRPr="00652244">
              <w:rPr>
                <w:rStyle w:val="Hyperlink"/>
                <w:noProof/>
              </w:rPr>
              <w:t>Increase income support payments</w:t>
            </w:r>
            <w:r w:rsidR="007016BB">
              <w:rPr>
                <w:noProof/>
                <w:webHidden/>
              </w:rPr>
              <w:tab/>
            </w:r>
            <w:r w:rsidR="007016BB">
              <w:rPr>
                <w:noProof/>
                <w:webHidden/>
              </w:rPr>
              <w:fldChar w:fldCharType="begin"/>
            </w:r>
            <w:r w:rsidR="007016BB">
              <w:rPr>
                <w:noProof/>
                <w:webHidden/>
              </w:rPr>
              <w:instrText xml:space="preserve"> PAGEREF _Toc196229006 \h </w:instrText>
            </w:r>
            <w:r w:rsidR="007016BB">
              <w:rPr>
                <w:noProof/>
                <w:webHidden/>
              </w:rPr>
            </w:r>
            <w:r w:rsidR="007016BB">
              <w:rPr>
                <w:noProof/>
                <w:webHidden/>
              </w:rPr>
              <w:fldChar w:fldCharType="separate"/>
            </w:r>
            <w:r w:rsidR="007016BB">
              <w:rPr>
                <w:noProof/>
                <w:webHidden/>
              </w:rPr>
              <w:t>35</w:t>
            </w:r>
            <w:r w:rsidR="007016BB">
              <w:rPr>
                <w:noProof/>
                <w:webHidden/>
              </w:rPr>
              <w:fldChar w:fldCharType="end"/>
            </w:r>
          </w:hyperlink>
        </w:p>
        <w:p w14:paraId="770AC4D1" w14:textId="5ED38779" w:rsidR="007016BB" w:rsidRDefault="00274668">
          <w:pPr>
            <w:pStyle w:val="TOC2"/>
            <w:tabs>
              <w:tab w:val="right" w:leader="dot" w:pos="9016"/>
            </w:tabs>
            <w:rPr>
              <w:rFonts w:asciiTheme="minorHAnsi" w:eastAsiaTheme="minorEastAsia" w:hAnsiTheme="minorHAnsi"/>
              <w:noProof/>
              <w:szCs w:val="24"/>
              <w:lang w:eastAsia="en-AU"/>
            </w:rPr>
          </w:pPr>
          <w:hyperlink w:anchor="_Toc196229007" w:history="1">
            <w:r w:rsidR="007016BB" w:rsidRPr="00652244">
              <w:rPr>
                <w:rStyle w:val="Hyperlink"/>
                <w:noProof/>
              </w:rPr>
              <w:t>Better homes for renters</w:t>
            </w:r>
            <w:r w:rsidR="007016BB">
              <w:rPr>
                <w:noProof/>
                <w:webHidden/>
              </w:rPr>
              <w:tab/>
            </w:r>
            <w:r w:rsidR="007016BB">
              <w:rPr>
                <w:noProof/>
                <w:webHidden/>
              </w:rPr>
              <w:fldChar w:fldCharType="begin"/>
            </w:r>
            <w:r w:rsidR="007016BB">
              <w:rPr>
                <w:noProof/>
                <w:webHidden/>
              </w:rPr>
              <w:instrText xml:space="preserve"> PAGEREF _Toc196229007 \h </w:instrText>
            </w:r>
            <w:r w:rsidR="007016BB">
              <w:rPr>
                <w:noProof/>
                <w:webHidden/>
              </w:rPr>
            </w:r>
            <w:r w:rsidR="007016BB">
              <w:rPr>
                <w:noProof/>
                <w:webHidden/>
              </w:rPr>
              <w:fldChar w:fldCharType="separate"/>
            </w:r>
            <w:r w:rsidR="007016BB">
              <w:rPr>
                <w:noProof/>
                <w:webHidden/>
              </w:rPr>
              <w:t>35</w:t>
            </w:r>
            <w:r w:rsidR="007016BB">
              <w:rPr>
                <w:noProof/>
                <w:webHidden/>
              </w:rPr>
              <w:fldChar w:fldCharType="end"/>
            </w:r>
          </w:hyperlink>
        </w:p>
        <w:p w14:paraId="732D7E42" w14:textId="7D587DE4" w:rsidR="007016BB" w:rsidRDefault="00274668">
          <w:pPr>
            <w:pStyle w:val="TOC2"/>
            <w:tabs>
              <w:tab w:val="right" w:leader="dot" w:pos="9016"/>
            </w:tabs>
            <w:rPr>
              <w:rFonts w:asciiTheme="minorHAnsi" w:eastAsiaTheme="minorEastAsia" w:hAnsiTheme="minorHAnsi"/>
              <w:noProof/>
              <w:szCs w:val="24"/>
              <w:lang w:eastAsia="en-AU"/>
            </w:rPr>
          </w:pPr>
          <w:hyperlink w:anchor="_Toc196229008" w:history="1">
            <w:r w:rsidR="007016BB" w:rsidRPr="00652244">
              <w:rPr>
                <w:rStyle w:val="Hyperlink"/>
                <w:noProof/>
              </w:rPr>
              <w:t>Change tax system incentives to prioritise housing</w:t>
            </w:r>
            <w:r w:rsidR="007016BB">
              <w:rPr>
                <w:noProof/>
                <w:webHidden/>
              </w:rPr>
              <w:tab/>
            </w:r>
            <w:r w:rsidR="007016BB">
              <w:rPr>
                <w:noProof/>
                <w:webHidden/>
              </w:rPr>
              <w:fldChar w:fldCharType="begin"/>
            </w:r>
            <w:r w:rsidR="007016BB">
              <w:rPr>
                <w:noProof/>
                <w:webHidden/>
              </w:rPr>
              <w:instrText xml:space="preserve"> PAGEREF _Toc196229008 \h </w:instrText>
            </w:r>
            <w:r w:rsidR="007016BB">
              <w:rPr>
                <w:noProof/>
                <w:webHidden/>
              </w:rPr>
            </w:r>
            <w:r w:rsidR="007016BB">
              <w:rPr>
                <w:noProof/>
                <w:webHidden/>
              </w:rPr>
              <w:fldChar w:fldCharType="separate"/>
            </w:r>
            <w:r w:rsidR="007016BB">
              <w:rPr>
                <w:noProof/>
                <w:webHidden/>
              </w:rPr>
              <w:t>36</w:t>
            </w:r>
            <w:r w:rsidR="007016BB">
              <w:rPr>
                <w:noProof/>
                <w:webHidden/>
              </w:rPr>
              <w:fldChar w:fldCharType="end"/>
            </w:r>
          </w:hyperlink>
        </w:p>
        <w:p w14:paraId="33519F64" w14:textId="5CBE3383" w:rsidR="007016BB" w:rsidRDefault="00274668">
          <w:pPr>
            <w:pStyle w:val="TOC2"/>
            <w:tabs>
              <w:tab w:val="right" w:leader="dot" w:pos="9016"/>
            </w:tabs>
            <w:rPr>
              <w:rFonts w:asciiTheme="minorHAnsi" w:eastAsiaTheme="minorEastAsia" w:hAnsiTheme="minorHAnsi"/>
              <w:noProof/>
              <w:szCs w:val="24"/>
              <w:lang w:eastAsia="en-AU"/>
            </w:rPr>
          </w:pPr>
          <w:hyperlink w:anchor="_Toc196229009" w:history="1">
            <w:r w:rsidR="007016BB" w:rsidRPr="00652244">
              <w:rPr>
                <w:rStyle w:val="Hyperlink"/>
                <w:noProof/>
              </w:rPr>
              <w:t>Key Recommendations</w:t>
            </w:r>
            <w:r w:rsidR="007016BB">
              <w:rPr>
                <w:noProof/>
                <w:webHidden/>
              </w:rPr>
              <w:tab/>
            </w:r>
            <w:r w:rsidR="007016BB">
              <w:rPr>
                <w:noProof/>
                <w:webHidden/>
              </w:rPr>
              <w:fldChar w:fldCharType="begin"/>
            </w:r>
            <w:r w:rsidR="007016BB">
              <w:rPr>
                <w:noProof/>
                <w:webHidden/>
              </w:rPr>
              <w:instrText xml:space="preserve"> PAGEREF _Toc196229009 \h </w:instrText>
            </w:r>
            <w:r w:rsidR="007016BB">
              <w:rPr>
                <w:noProof/>
                <w:webHidden/>
              </w:rPr>
            </w:r>
            <w:r w:rsidR="007016BB">
              <w:rPr>
                <w:noProof/>
                <w:webHidden/>
              </w:rPr>
              <w:fldChar w:fldCharType="separate"/>
            </w:r>
            <w:r w:rsidR="007016BB">
              <w:rPr>
                <w:noProof/>
                <w:webHidden/>
              </w:rPr>
              <w:t>37</w:t>
            </w:r>
            <w:r w:rsidR="007016BB">
              <w:rPr>
                <w:noProof/>
                <w:webHidden/>
              </w:rPr>
              <w:fldChar w:fldCharType="end"/>
            </w:r>
          </w:hyperlink>
        </w:p>
        <w:p w14:paraId="5D5C8B14" w14:textId="6896F10D" w:rsidR="007016BB" w:rsidRDefault="00274668">
          <w:pPr>
            <w:pStyle w:val="TOC1"/>
            <w:rPr>
              <w:rFonts w:asciiTheme="minorHAnsi" w:eastAsiaTheme="minorEastAsia" w:hAnsiTheme="minorHAnsi"/>
              <w:szCs w:val="24"/>
              <w:lang w:eastAsia="en-AU"/>
            </w:rPr>
          </w:pPr>
          <w:hyperlink w:anchor="_Toc196229010" w:history="1">
            <w:r w:rsidR="007016BB" w:rsidRPr="00652244">
              <w:rPr>
                <w:rStyle w:val="Hyperlink"/>
              </w:rPr>
              <w:t>FAQ</w:t>
            </w:r>
            <w:r w:rsidR="007016BB">
              <w:rPr>
                <w:webHidden/>
              </w:rPr>
              <w:tab/>
            </w:r>
            <w:r w:rsidR="007016BB">
              <w:rPr>
                <w:webHidden/>
              </w:rPr>
              <w:fldChar w:fldCharType="begin"/>
            </w:r>
            <w:r w:rsidR="007016BB">
              <w:rPr>
                <w:webHidden/>
              </w:rPr>
              <w:instrText xml:space="preserve"> PAGEREF _Toc196229010 \h </w:instrText>
            </w:r>
            <w:r w:rsidR="007016BB">
              <w:rPr>
                <w:webHidden/>
              </w:rPr>
            </w:r>
            <w:r w:rsidR="007016BB">
              <w:rPr>
                <w:webHidden/>
              </w:rPr>
              <w:fldChar w:fldCharType="separate"/>
            </w:r>
            <w:r w:rsidR="007016BB">
              <w:rPr>
                <w:webHidden/>
              </w:rPr>
              <w:t>38</w:t>
            </w:r>
            <w:r w:rsidR="007016BB">
              <w:rPr>
                <w:webHidden/>
              </w:rPr>
              <w:fldChar w:fldCharType="end"/>
            </w:r>
          </w:hyperlink>
        </w:p>
        <w:p w14:paraId="6933B16F" w14:textId="4250709B" w:rsidR="00E027B8" w:rsidRDefault="00E027B8" w:rsidP="00E027B8">
          <w:pPr>
            <w:rPr>
              <w:rFonts w:eastAsiaTheme="minorEastAsia"/>
            </w:rPr>
          </w:pPr>
          <w:r w:rsidRPr="00425028">
            <w:fldChar w:fldCharType="end"/>
          </w:r>
        </w:p>
      </w:sdtContent>
    </w:sdt>
    <w:p w14:paraId="51A3C8CE" w14:textId="77777777" w:rsidR="00EA7029" w:rsidRPr="00425028" w:rsidRDefault="00EA7029">
      <w:pPr>
        <w:rPr>
          <w:rFonts w:eastAsiaTheme="majorEastAsia" w:cstheme="majorBidi"/>
          <w:color w:val="0F4761" w:themeColor="accent1" w:themeShade="BF"/>
          <w:sz w:val="40"/>
          <w:szCs w:val="40"/>
        </w:rPr>
      </w:pPr>
      <w:r w:rsidRPr="00425028">
        <w:br w:type="page"/>
      </w:r>
    </w:p>
    <w:p w14:paraId="41D75475" w14:textId="5A0E6653" w:rsidR="00E027B8" w:rsidRPr="00E027B8" w:rsidRDefault="00E027B8" w:rsidP="00EE785C">
      <w:pPr>
        <w:pStyle w:val="Subtitle"/>
      </w:pPr>
      <w:r>
        <w:lastRenderedPageBreak/>
        <w:t>Acknowledgement of country</w:t>
      </w:r>
    </w:p>
    <w:p w14:paraId="0A215EA9" w14:textId="04FB9031" w:rsidR="00E027B8" w:rsidRDefault="00E027B8" w:rsidP="00E027B8">
      <w:r w:rsidRPr="00E027B8">
        <w:t>Anglicare Tasmania acknowledges and pays respect to the Tasmanian Aboriginal community as the traditional and original owners and continuing custodians of this land, Lutruwita/Tasmania, on which this project has taken place. We acknowledge Elders past and present, and Aboriginal people who have participated in and are connected with this research.</w:t>
      </w:r>
    </w:p>
    <w:p w14:paraId="27D6DA4A" w14:textId="59511511" w:rsidR="00E027B8" w:rsidRPr="00E027B8" w:rsidRDefault="00E027B8" w:rsidP="00EE785C">
      <w:pPr>
        <w:pStyle w:val="Subtitle"/>
      </w:pPr>
      <w:r w:rsidRPr="00E027B8">
        <w:t>Acknowledgements</w:t>
      </w:r>
    </w:p>
    <w:p w14:paraId="653844FB" w14:textId="4322BE1C" w:rsidR="00E027B8" w:rsidRDefault="00E027B8" w:rsidP="00E027B8">
      <w:r w:rsidRPr="00E027B8">
        <w:t>The assistance of</w:t>
      </w:r>
      <w:r>
        <w:t xml:space="preserve"> </w:t>
      </w:r>
      <w:r w:rsidRPr="00E027B8">
        <w:t>staff of Anglicare Tasmania’s</w:t>
      </w:r>
      <w:r>
        <w:t xml:space="preserve"> frontline </w:t>
      </w:r>
      <w:r w:rsidRPr="00E027B8">
        <w:t>service</w:t>
      </w:r>
      <w:r>
        <w:t>s</w:t>
      </w:r>
      <w:r w:rsidRPr="00E027B8">
        <w:t xml:space="preserve"> in the preparation of this report is gratefully acknowledged. Thank you for the important work you do, and to the people you work with for their strength and resilience. </w:t>
      </w:r>
    </w:p>
    <w:p w14:paraId="1BAD8EB9" w14:textId="77777777" w:rsidR="007920FF" w:rsidRDefault="007920FF">
      <w:pPr>
        <w:rPr>
          <w:rFonts w:eastAsiaTheme="majorEastAsia" w:cstheme="majorBidi"/>
          <w:color w:val="595959" w:themeColor="text1" w:themeTint="A6"/>
          <w:spacing w:val="15"/>
          <w:szCs w:val="28"/>
        </w:rPr>
      </w:pPr>
      <w:r>
        <w:br w:type="page"/>
      </w:r>
    </w:p>
    <w:p w14:paraId="356FBA84" w14:textId="2622AF58" w:rsidR="00874FB9" w:rsidRDefault="00874FB9" w:rsidP="00EE785C">
      <w:pPr>
        <w:pStyle w:val="Subtitle"/>
      </w:pPr>
      <w:r w:rsidRPr="00874FB9">
        <w:t xml:space="preserve">Content warning </w:t>
      </w:r>
    </w:p>
    <w:p w14:paraId="4F4AAACE" w14:textId="77777777" w:rsidR="00874FB9" w:rsidRDefault="00874FB9" w:rsidP="00874FB9">
      <w:pPr>
        <w:rPr>
          <w:b/>
          <w:bCs/>
        </w:rPr>
      </w:pPr>
      <w:r w:rsidRPr="00874FB9">
        <w:t>This report discusses domestic and family violence. If the content raises any issues for you and you would like to speak to someone for support, the below services can be contacted 24/7:</w:t>
      </w:r>
    </w:p>
    <w:p w14:paraId="6D102B99" w14:textId="77777777" w:rsidR="00874FB9" w:rsidRPr="00EE785C" w:rsidRDefault="00874FB9" w:rsidP="00874FB9">
      <w:pPr>
        <w:rPr>
          <w:b/>
          <w:bCs/>
        </w:rPr>
      </w:pPr>
      <w:r w:rsidRPr="00EE785C">
        <w:rPr>
          <w:b/>
          <w:bCs/>
        </w:rPr>
        <w:t xml:space="preserve">1800RESPECT </w:t>
      </w:r>
    </w:p>
    <w:p w14:paraId="21CB7E1D" w14:textId="36C074C0" w:rsidR="00874FB9" w:rsidRPr="00874FB9" w:rsidRDefault="00874FB9" w:rsidP="00874FB9">
      <w:r w:rsidRPr="00874FB9">
        <w:t xml:space="preserve">phone 1800 737 732, text 0458 737 732, online </w:t>
      </w:r>
      <w:hyperlink r:id="rId11" w:history="1">
        <w:r w:rsidR="00EE785C" w:rsidRPr="00232553">
          <w:rPr>
            <w:rStyle w:val="Hyperlink"/>
          </w:rPr>
          <w:t>www.1800respect.org.au</w:t>
        </w:r>
      </w:hyperlink>
      <w:r w:rsidR="00EE785C">
        <w:t xml:space="preserve"> </w:t>
      </w:r>
      <w:r w:rsidRPr="00874FB9">
        <w:t xml:space="preserve"> </w:t>
      </w:r>
    </w:p>
    <w:p w14:paraId="71F976CC" w14:textId="77777777" w:rsidR="00874FB9" w:rsidRPr="00EE785C" w:rsidRDefault="00874FB9" w:rsidP="00874FB9">
      <w:pPr>
        <w:rPr>
          <w:b/>
          <w:bCs/>
        </w:rPr>
      </w:pPr>
      <w:r w:rsidRPr="00EE785C">
        <w:rPr>
          <w:b/>
          <w:bCs/>
        </w:rPr>
        <w:t xml:space="preserve">Lifeline </w:t>
      </w:r>
    </w:p>
    <w:p w14:paraId="41988ED2" w14:textId="20658704" w:rsidR="00874FB9" w:rsidRPr="00874FB9" w:rsidRDefault="00874FB9" w:rsidP="00874FB9">
      <w:r w:rsidRPr="00874FB9">
        <w:t xml:space="preserve">phone 13 11 14, online </w:t>
      </w:r>
      <w:hyperlink r:id="rId12" w:history="1">
        <w:r w:rsidRPr="00874FB9">
          <w:rPr>
            <w:rStyle w:val="Hyperlink"/>
          </w:rPr>
          <w:t>www.lifeline.org.au</w:t>
        </w:r>
      </w:hyperlink>
      <w:r w:rsidRPr="00874FB9">
        <w:t xml:space="preserve"> </w:t>
      </w:r>
    </w:p>
    <w:p w14:paraId="14BA97F1" w14:textId="77777777" w:rsidR="00874FB9" w:rsidRPr="00EE785C" w:rsidRDefault="00874FB9" w:rsidP="00874FB9">
      <w:pPr>
        <w:rPr>
          <w:b/>
          <w:bCs/>
        </w:rPr>
      </w:pPr>
      <w:r w:rsidRPr="00EE785C">
        <w:rPr>
          <w:b/>
          <w:bCs/>
        </w:rPr>
        <w:t xml:space="preserve">13YARN </w:t>
      </w:r>
    </w:p>
    <w:p w14:paraId="04500BEC" w14:textId="1DBA722B" w:rsidR="00874FB9" w:rsidRPr="00874FB9" w:rsidRDefault="00874FB9" w:rsidP="00874FB9">
      <w:r w:rsidRPr="00874FB9">
        <w:t>For Aboriginal and Torres Strait Islander people: phone 13 92 76</w:t>
      </w:r>
    </w:p>
    <w:p w14:paraId="486560B7" w14:textId="1A532F73" w:rsidR="00874FB9" w:rsidRPr="00E027B8" w:rsidRDefault="00874FB9" w:rsidP="00EE785C">
      <w:pPr>
        <w:pStyle w:val="Subtitle"/>
      </w:pPr>
      <w:r w:rsidRPr="00E027B8">
        <w:t xml:space="preserve">Note on terminology </w:t>
      </w:r>
    </w:p>
    <w:p w14:paraId="406F024B" w14:textId="49B43AF1" w:rsidR="00874FB9" w:rsidRPr="00425028" w:rsidRDefault="00874FB9" w:rsidP="00874FB9">
      <w:r w:rsidRPr="00E027B8">
        <w:t>Family violence refers to violence between family members, typically where the perpetrator exercises power and control over another person. The most common and pervasive instances occur in intimate (current or former) partner relationships and are usually referred to as domestic violence.</w:t>
      </w:r>
      <w:r>
        <w:rPr>
          <w:rStyle w:val="FootnoteReference"/>
        </w:rPr>
        <w:footnoteReference w:id="2"/>
      </w:r>
      <w:r w:rsidRPr="00E027B8">
        <w:t xml:space="preserve"> We have endeavoured to use the term domestic and family violence (DFV) throughout this report.</w:t>
      </w:r>
    </w:p>
    <w:p w14:paraId="54802B27" w14:textId="77777777" w:rsidR="00874FB9" w:rsidRPr="00E027B8" w:rsidRDefault="00874FB9" w:rsidP="00E027B8"/>
    <w:p w14:paraId="3D392E72" w14:textId="7C2A4CCF" w:rsidR="00E027B8" w:rsidRDefault="00E027B8">
      <w:pPr>
        <w:rPr>
          <w:highlight w:val="yellow"/>
        </w:rPr>
      </w:pPr>
      <w:r>
        <w:rPr>
          <w:highlight w:val="yellow"/>
        </w:rPr>
        <w:br w:type="page"/>
      </w:r>
    </w:p>
    <w:p w14:paraId="571DCE8F" w14:textId="280136E5" w:rsidR="009A11D2" w:rsidRPr="00425028" w:rsidRDefault="009A11D2" w:rsidP="00B71E6B">
      <w:pPr>
        <w:pStyle w:val="Heading1"/>
        <w:rPr>
          <w:rFonts w:ascii="Avenir Next LT Pro" w:hAnsi="Avenir Next LT Pro"/>
        </w:rPr>
      </w:pPr>
      <w:bookmarkStart w:id="3" w:name="_Toc196228971"/>
      <w:r w:rsidRPr="00425028">
        <w:rPr>
          <w:rFonts w:ascii="Avenir Next LT Pro" w:hAnsi="Avenir Next LT Pro"/>
        </w:rPr>
        <w:t>Anglicare’s experience in housing services and advocacy</w:t>
      </w:r>
      <w:bookmarkEnd w:id="3"/>
      <w:bookmarkEnd w:id="2"/>
    </w:p>
    <w:p w14:paraId="59A49B7A" w14:textId="3E305C73" w:rsidR="009A11D2" w:rsidRPr="00425028" w:rsidRDefault="009A11D2" w:rsidP="00B71E6B">
      <w:r w:rsidRPr="00425028">
        <w:t>Anglicare Tasmania is a large community service organisation in Tasmania with offices in Hobart, Glenorchy, Launceston, St Helens, Devonport, Burnie, Sorell and Zeehan and a range of programs in rural areas. Anglicare’s services include accommodation support; mental health services; support services following a motor vehicle accident; aged and home care services; alcohol and other drug services; financial and gambling counselling; and child, youth and family support.</w:t>
      </w:r>
    </w:p>
    <w:p w14:paraId="383A173E" w14:textId="2EE578DE" w:rsidR="009A11D2" w:rsidRPr="00425028" w:rsidRDefault="009A11D2" w:rsidP="00B71E6B">
      <w:r w:rsidRPr="00425028">
        <w:t>In addition, Anglicare’s Social Action and Research Centre (SARC) conducts research, policy and advocacy with a focus on issues affecting Tasmanians on low incomes who are disadvantaged or vulnerable.</w:t>
      </w:r>
    </w:p>
    <w:p w14:paraId="5563D6C7" w14:textId="3D4917EC" w:rsidR="009A11D2" w:rsidRPr="00425028" w:rsidRDefault="009A11D2" w:rsidP="00B71E6B">
      <w:r w:rsidRPr="00425028">
        <w:t xml:space="preserve">Anglicare Tasmania is committed to achieving social justice for all Tasmanians. It is our mission to speak out against poverty and injustice and offer decision-makers alternative solutions to help build a more just society. We provide opportunities for people in need to reach their full potential through our services, research and advocacy. </w:t>
      </w:r>
    </w:p>
    <w:p w14:paraId="461B232C" w14:textId="7403B4FD" w:rsidR="009A11D2" w:rsidRPr="00425028" w:rsidRDefault="009A11D2" w:rsidP="00B71E6B">
      <w:r w:rsidRPr="00425028">
        <w:t xml:space="preserve">Anglicare delivers a range of housing services including the Housing Connect Front Door service statewide, long-term </w:t>
      </w:r>
      <w:r w:rsidR="007F426F" w:rsidRPr="00425028">
        <w:t xml:space="preserve">communal </w:t>
      </w:r>
      <w:r w:rsidRPr="00425028">
        <w:t xml:space="preserve">housing for people on a low income </w:t>
      </w:r>
      <w:r w:rsidR="007F426F" w:rsidRPr="00425028">
        <w:t xml:space="preserve">and </w:t>
      </w:r>
      <w:r w:rsidRPr="00425028">
        <w:t>Youth2Independence accommodation services. The Housing Connect Front Door is the entry point for people to access housing support, from emergency accommodation to a long-term home. This begins with an assessment to understand their individual circumstances and help match them with the most suitable options available. Anglicare</w:t>
      </w:r>
      <w:r w:rsidR="00A161A9" w:rsidRPr="00425028">
        <w:t xml:space="preserve"> publishes a</w:t>
      </w:r>
      <w:r w:rsidRPr="00425028">
        <w:t xml:space="preserve"> </w:t>
      </w:r>
      <w:r w:rsidR="00A161A9" w:rsidRPr="00425028">
        <w:t>quarterly</w:t>
      </w:r>
      <w:r w:rsidRPr="00425028">
        <w:t xml:space="preserve"> </w:t>
      </w:r>
      <w:hyperlink r:id="rId13" w:history="1">
        <w:r w:rsidRPr="00425028">
          <w:rPr>
            <w:rStyle w:val="Hyperlink"/>
          </w:rPr>
          <w:t>Housing Connect Front Door Service Snapshot</w:t>
        </w:r>
      </w:hyperlink>
      <w:r w:rsidRPr="00425028">
        <w:t xml:space="preserve"> </w:t>
      </w:r>
      <w:r w:rsidR="00A161A9" w:rsidRPr="00425028">
        <w:t xml:space="preserve">that </w:t>
      </w:r>
      <w:r w:rsidRPr="00425028">
        <w:t>provide</w:t>
      </w:r>
      <w:r w:rsidR="00A161A9" w:rsidRPr="00425028">
        <w:t>s</w:t>
      </w:r>
      <w:r w:rsidRPr="00425028">
        <w:t xml:space="preserve"> an overview of th</w:t>
      </w:r>
      <w:r w:rsidR="00A161A9" w:rsidRPr="00425028">
        <w:t>is</w:t>
      </w:r>
      <w:r w:rsidRPr="00425028">
        <w:t xml:space="preserve"> service.</w:t>
      </w:r>
    </w:p>
    <w:p w14:paraId="67C53908" w14:textId="5B0937AA" w:rsidR="00B71E3A" w:rsidRDefault="009A11D2">
      <w:pPr>
        <w:rPr>
          <w:rFonts w:eastAsiaTheme="majorEastAsia" w:cstheme="majorBidi"/>
          <w:color w:val="0F4761" w:themeColor="accent1" w:themeShade="BF"/>
          <w:sz w:val="40"/>
          <w:szCs w:val="40"/>
        </w:rPr>
      </w:pPr>
      <w:r w:rsidRPr="00425028">
        <w:t xml:space="preserve">SARC has </w:t>
      </w:r>
      <w:r w:rsidR="009A20E0" w:rsidRPr="00425028">
        <w:t xml:space="preserve">published the </w:t>
      </w:r>
      <w:r w:rsidRPr="00425028">
        <w:t>Rental Affordability Snapshot</w:t>
      </w:r>
      <w:r w:rsidR="009A20E0" w:rsidRPr="00425028">
        <w:t xml:space="preserve"> every year since 2007</w:t>
      </w:r>
      <w:r w:rsidRPr="00425028">
        <w:t>. Our research projects have looked at the housing and accommodation needs of people experiencing mental health conditions, young people, unaccompanied homeless children, families trying to reunite and people escaping</w:t>
      </w:r>
      <w:r w:rsidR="00E027B8">
        <w:t xml:space="preserve"> family and</w:t>
      </w:r>
      <w:r w:rsidRPr="00425028">
        <w:t xml:space="preserve"> domestic violence and abuse.</w:t>
      </w:r>
      <w:r w:rsidR="00B71E3A">
        <w:br w:type="page"/>
      </w:r>
    </w:p>
    <w:p w14:paraId="0165E31F" w14:textId="6B319244" w:rsidR="00F643D3" w:rsidRPr="00425028" w:rsidRDefault="00EB3DF4" w:rsidP="00B71E6B">
      <w:pPr>
        <w:pStyle w:val="Heading1"/>
        <w:rPr>
          <w:rFonts w:ascii="Avenir Next LT Pro" w:hAnsi="Avenir Next LT Pro"/>
        </w:rPr>
      </w:pPr>
      <w:bookmarkStart w:id="4" w:name="_Toc196228972"/>
      <w:r w:rsidRPr="00425028">
        <w:rPr>
          <w:rFonts w:ascii="Avenir Next LT Pro" w:hAnsi="Avenir Next LT Pro"/>
        </w:rPr>
        <w:t>Key findings</w:t>
      </w:r>
      <w:bookmarkEnd w:id="4"/>
    </w:p>
    <w:p w14:paraId="7BE7E251" w14:textId="4AE9F74F" w:rsidR="009A20E0" w:rsidRPr="00425028" w:rsidRDefault="006B1AA0" w:rsidP="00B71E6B">
      <w:bookmarkStart w:id="5" w:name="_Hlk194935522"/>
      <w:r w:rsidRPr="00425028">
        <w:t>The number of affordable rentals</w:t>
      </w:r>
      <w:r w:rsidR="00990EBE" w:rsidRPr="00425028">
        <w:t xml:space="preserve"> </w:t>
      </w:r>
      <w:r w:rsidR="003D2142" w:rsidRPr="00425028">
        <w:t xml:space="preserve">has </w:t>
      </w:r>
      <w:r w:rsidR="00990EBE" w:rsidRPr="00425028">
        <w:t>declined with</w:t>
      </w:r>
      <w:r w:rsidR="00327E19" w:rsidRPr="00425028">
        <w:t xml:space="preserve"> </w:t>
      </w:r>
      <w:r w:rsidR="00700CCE" w:rsidRPr="00425028">
        <w:t xml:space="preserve">a 25% drop in listings </w:t>
      </w:r>
      <w:r w:rsidR="00327E19" w:rsidRPr="00425028">
        <w:t xml:space="preserve">and </w:t>
      </w:r>
      <w:r w:rsidR="00C46F8E" w:rsidRPr="00425028">
        <w:t>record</w:t>
      </w:r>
      <w:r w:rsidR="00327E19" w:rsidRPr="00425028">
        <w:t xml:space="preserve"> </w:t>
      </w:r>
      <w:r w:rsidR="00DE51E2" w:rsidRPr="00425028">
        <w:t xml:space="preserve">low </w:t>
      </w:r>
      <w:r w:rsidR="00327E19" w:rsidRPr="00425028">
        <w:t>vacancy</w:t>
      </w:r>
      <w:r w:rsidR="00700CCE" w:rsidRPr="00425028">
        <w:t xml:space="preserve"> rates</w:t>
      </w:r>
      <w:r w:rsidR="00C46F8E" w:rsidRPr="00425028">
        <w:t xml:space="preserve"> </w:t>
      </w:r>
      <w:r w:rsidR="00327E19" w:rsidRPr="00425028">
        <w:t>in all regions.</w:t>
      </w:r>
    </w:p>
    <w:p w14:paraId="4AD4ABAB" w14:textId="670BF9F1" w:rsidR="00327E19" w:rsidRPr="00425028" w:rsidRDefault="0010563C" w:rsidP="00B71E6B">
      <w:r w:rsidRPr="00425028">
        <w:t>For people</w:t>
      </w:r>
      <w:r w:rsidR="00327E19" w:rsidRPr="00425028">
        <w:t xml:space="preserve"> on the lowest incomes there </w:t>
      </w:r>
      <w:r w:rsidR="00700CCE" w:rsidRPr="00425028">
        <w:t xml:space="preserve">are </w:t>
      </w:r>
      <w:r w:rsidR="00327E19" w:rsidRPr="00425028">
        <w:t xml:space="preserve">no affordable </w:t>
      </w:r>
      <w:r w:rsidRPr="00425028">
        <w:t xml:space="preserve">private </w:t>
      </w:r>
      <w:r w:rsidR="00327E19" w:rsidRPr="00425028">
        <w:t>rentals and the gap between advertised rent</w:t>
      </w:r>
      <w:r w:rsidR="00700CCE" w:rsidRPr="00425028">
        <w:t>s</w:t>
      </w:r>
      <w:r w:rsidR="00327E19" w:rsidRPr="00425028">
        <w:t xml:space="preserve"> and what they can afford is growing.</w:t>
      </w:r>
    </w:p>
    <w:p w14:paraId="55F49218" w14:textId="15499DC8" w:rsidR="00C46F8E" w:rsidRPr="00425028" w:rsidRDefault="00144366" w:rsidP="00B71E6B">
      <w:r w:rsidRPr="00425028">
        <w:t>The</w:t>
      </w:r>
      <w:r w:rsidR="00C46F8E" w:rsidRPr="00425028">
        <w:t xml:space="preserve"> lack of affordable rental properties is pushing Tasmanians into financial stress or homelessness</w:t>
      </w:r>
      <w:r w:rsidR="00337FE3" w:rsidRPr="00425028">
        <w:t>.</w:t>
      </w:r>
    </w:p>
    <w:p w14:paraId="078C1AD4" w14:textId="1BF7E68A" w:rsidR="00700CCE" w:rsidRPr="00425028" w:rsidRDefault="0096221D" w:rsidP="00B71E6B">
      <w:r w:rsidRPr="00425028">
        <w:t>It</w:t>
      </w:r>
      <w:r w:rsidR="00C46F8E" w:rsidRPr="00425028">
        <w:t xml:space="preserve"> </w:t>
      </w:r>
      <w:r w:rsidR="00990EBE" w:rsidRPr="00425028">
        <w:t xml:space="preserve">is </w:t>
      </w:r>
      <w:r w:rsidRPr="00425028">
        <w:t xml:space="preserve">also </w:t>
      </w:r>
      <w:r w:rsidR="00990EBE" w:rsidRPr="00425028">
        <w:t xml:space="preserve">a </w:t>
      </w:r>
      <w:r w:rsidR="00700CCE" w:rsidRPr="00425028">
        <w:t xml:space="preserve">barrier to </w:t>
      </w:r>
      <w:r w:rsidR="00C46F8E" w:rsidRPr="00425028">
        <w:t>addressing</w:t>
      </w:r>
      <w:r w:rsidR="00144366" w:rsidRPr="00425028">
        <w:t xml:space="preserve"> </w:t>
      </w:r>
      <w:r w:rsidRPr="00425028">
        <w:t>issues</w:t>
      </w:r>
      <w:r w:rsidR="00C46F8E" w:rsidRPr="00425028">
        <w:t xml:space="preserve"> </w:t>
      </w:r>
      <w:r w:rsidR="00144366" w:rsidRPr="00425028">
        <w:t>such as</w:t>
      </w:r>
      <w:r w:rsidR="00C46F8E" w:rsidRPr="00425028">
        <w:t xml:space="preserve"> domestic and family violence</w:t>
      </w:r>
      <w:r w:rsidR="00144366" w:rsidRPr="00425028">
        <w:t>, bed-block in the public hospital system</w:t>
      </w:r>
      <w:r w:rsidR="00C46F8E" w:rsidRPr="00425028">
        <w:t xml:space="preserve"> and persistent disadvantage.</w:t>
      </w:r>
    </w:p>
    <w:p w14:paraId="0C82DC5F" w14:textId="080E1383" w:rsidR="00144366" w:rsidRPr="00D87F53" w:rsidRDefault="004A2DB2" w:rsidP="00B71E6B">
      <w:pPr>
        <w:rPr>
          <w:b/>
          <w:bCs/>
        </w:rPr>
      </w:pPr>
      <w:r w:rsidRPr="00D87F53">
        <w:rPr>
          <w:b/>
          <w:bCs/>
        </w:rPr>
        <w:t>We need governments</w:t>
      </w:r>
      <w:r w:rsidR="00990EBE" w:rsidRPr="00D87F53">
        <w:rPr>
          <w:b/>
          <w:bCs/>
        </w:rPr>
        <w:t xml:space="preserve"> to deliver social hous</w:t>
      </w:r>
      <w:r w:rsidR="00AC27C5" w:rsidRPr="00D87F53">
        <w:rPr>
          <w:b/>
          <w:bCs/>
        </w:rPr>
        <w:t>ing</w:t>
      </w:r>
      <w:r w:rsidR="00A9360F" w:rsidRPr="00D87F53">
        <w:rPr>
          <w:b/>
          <w:bCs/>
        </w:rPr>
        <w:t xml:space="preserve"> at scale</w:t>
      </w:r>
      <w:r w:rsidR="00915207" w:rsidRPr="00D87F53">
        <w:rPr>
          <w:b/>
          <w:bCs/>
        </w:rPr>
        <w:t xml:space="preserve"> and</w:t>
      </w:r>
      <w:r w:rsidR="00990EBE" w:rsidRPr="00D87F53">
        <w:rPr>
          <w:b/>
          <w:bCs/>
        </w:rPr>
        <w:t xml:space="preserve"> </w:t>
      </w:r>
      <w:r w:rsidR="00F12F2F" w:rsidRPr="00D87F53">
        <w:rPr>
          <w:b/>
          <w:bCs/>
        </w:rPr>
        <w:t>to</w:t>
      </w:r>
      <w:r w:rsidR="00990EBE" w:rsidRPr="00D87F53">
        <w:rPr>
          <w:b/>
          <w:bCs/>
        </w:rPr>
        <w:t xml:space="preserve"> </w:t>
      </w:r>
      <w:r w:rsidR="00DA4966" w:rsidRPr="00D87F53">
        <w:rPr>
          <w:b/>
          <w:bCs/>
        </w:rPr>
        <w:t>raise the rate of income support</w:t>
      </w:r>
      <w:r w:rsidR="00915207" w:rsidRPr="00D87F53">
        <w:rPr>
          <w:b/>
          <w:bCs/>
        </w:rPr>
        <w:t>.</w:t>
      </w:r>
      <w:r w:rsidR="002773E5" w:rsidRPr="00D87F53">
        <w:rPr>
          <w:b/>
          <w:bCs/>
        </w:rPr>
        <w:t xml:space="preserve"> </w:t>
      </w:r>
    </w:p>
    <w:bookmarkEnd w:id="5"/>
    <w:p w14:paraId="788286A9" w14:textId="77777777" w:rsidR="00565787" w:rsidRDefault="00565787" w:rsidP="00B71E6B"/>
    <w:p w14:paraId="611F429C" w14:textId="77777777" w:rsidR="0093171C" w:rsidRPr="00425028" w:rsidRDefault="0093171C" w:rsidP="00B71E6B"/>
    <w:p w14:paraId="5A692B36" w14:textId="56F2E660" w:rsidR="00B041C6" w:rsidRPr="00425028" w:rsidRDefault="002947FC" w:rsidP="0093171C">
      <w:r w:rsidRPr="0093171C">
        <w:rPr>
          <w:sz w:val="44"/>
          <w:szCs w:val="44"/>
        </w:rPr>
        <w:t>845</w:t>
      </w:r>
      <w:r w:rsidRPr="0093171C">
        <w:rPr>
          <w:b/>
          <w:bCs/>
        </w:rPr>
        <w:t xml:space="preserve"> </w:t>
      </w:r>
      <w:r w:rsidR="00CD06D4" w:rsidRPr="00425028">
        <w:t>properties listed</w:t>
      </w:r>
      <w:r w:rsidR="00545016" w:rsidRPr="00425028">
        <w:t xml:space="preserve"> </w:t>
      </w:r>
      <w:r w:rsidR="00545016" w:rsidRPr="00425028">
        <w:rPr>
          <w:rFonts w:eastAsia="Wingdings" w:cs="Wingdings"/>
          <w:b/>
          <w:sz w:val="44"/>
          <w:szCs w:val="44"/>
        </w:rPr>
        <w:sym w:font="Wingdings" w:char="F0E2"/>
      </w:r>
      <w:r w:rsidR="00C06556" w:rsidRPr="0093171C">
        <w:rPr>
          <w:b/>
          <w:bCs/>
          <w:sz w:val="44"/>
          <w:szCs w:val="44"/>
        </w:rPr>
        <w:t>25%</w:t>
      </w:r>
    </w:p>
    <w:p w14:paraId="52A69D65" w14:textId="38D48E17" w:rsidR="002F3A61" w:rsidRPr="00425028" w:rsidRDefault="005E53C6" w:rsidP="0093171C">
      <w:r w:rsidRPr="0093171C">
        <w:rPr>
          <w:sz w:val="44"/>
          <w:szCs w:val="44"/>
        </w:rPr>
        <w:t>675</w:t>
      </w:r>
      <w:r w:rsidRPr="0093171C">
        <w:rPr>
          <w:b/>
          <w:bCs/>
        </w:rPr>
        <w:t xml:space="preserve"> </w:t>
      </w:r>
      <w:r w:rsidRPr="00425028">
        <w:t>self-contained properties</w:t>
      </w:r>
      <w:r w:rsidR="00FB6400" w:rsidRPr="00425028">
        <w:t xml:space="preserve"> </w:t>
      </w:r>
      <w:r w:rsidR="00302DB6" w:rsidRPr="00425028">
        <w:rPr>
          <w:rFonts w:eastAsia="Wingdings" w:cs="Wingdings"/>
          <w:b/>
          <w:sz w:val="44"/>
          <w:szCs w:val="44"/>
        </w:rPr>
        <w:sym w:font="Wingdings" w:char="F0E2"/>
      </w:r>
      <w:r w:rsidR="00CD06D4" w:rsidRPr="0093171C">
        <w:rPr>
          <w:b/>
          <w:bCs/>
          <w:sz w:val="44"/>
          <w:szCs w:val="44"/>
        </w:rPr>
        <w:t>35</w:t>
      </w:r>
      <w:r w:rsidR="00302DB6" w:rsidRPr="0093171C">
        <w:rPr>
          <w:b/>
          <w:bCs/>
          <w:sz w:val="44"/>
          <w:szCs w:val="44"/>
        </w:rPr>
        <w:t>%</w:t>
      </w:r>
    </w:p>
    <w:p w14:paraId="28BE871B" w14:textId="77777777" w:rsidR="00A352A7" w:rsidRPr="00425028" w:rsidRDefault="00A352A7" w:rsidP="0093171C">
      <w:pPr>
        <w:pStyle w:val="ListParagraph"/>
        <w:ind w:left="0"/>
      </w:pPr>
    </w:p>
    <w:p w14:paraId="163A5D4D" w14:textId="5CFE3DA4" w:rsidR="00A352A7" w:rsidRPr="0093171C" w:rsidRDefault="0093171C" w:rsidP="0093171C">
      <w:pPr>
        <w:pStyle w:val="ListParagraph"/>
        <w:ind w:left="0"/>
        <w:jc w:val="center"/>
        <w:rPr>
          <w:b/>
          <w:bCs/>
          <w:sz w:val="44"/>
          <w:szCs w:val="44"/>
        </w:rPr>
      </w:pPr>
      <w:r w:rsidRPr="0093171C">
        <w:rPr>
          <w:b/>
          <w:bCs/>
          <w:sz w:val="44"/>
          <w:szCs w:val="44"/>
        </w:rPr>
        <w:t>0% affordability for</w:t>
      </w:r>
    </w:p>
    <w:p w14:paraId="361658F3" w14:textId="77777777" w:rsidR="0093171C" w:rsidRPr="00425028" w:rsidRDefault="0093171C" w:rsidP="0093171C">
      <w:pPr>
        <w:pStyle w:val="ListParagraph"/>
        <w:ind w:left="0"/>
        <w:jc w:val="center"/>
      </w:pPr>
    </w:p>
    <w:p w14:paraId="67D273F2" w14:textId="4E171775" w:rsidR="008F23CB" w:rsidRPr="00425028" w:rsidRDefault="008F23CB" w:rsidP="0093171C">
      <w:pPr>
        <w:pStyle w:val="ListParagraph"/>
        <w:ind w:left="0"/>
        <w:jc w:val="center"/>
      </w:pPr>
      <w:r w:rsidRPr="00425028">
        <w:t xml:space="preserve">Tasmanian </w:t>
      </w:r>
      <w:r w:rsidR="000C2E78" w:rsidRPr="00425028">
        <w:t>families relying</w:t>
      </w:r>
      <w:r w:rsidRPr="00425028">
        <w:t xml:space="preserve"> on Single Parenting Payment</w:t>
      </w:r>
    </w:p>
    <w:p w14:paraId="5F01A86C" w14:textId="77777777" w:rsidR="00652DB4" w:rsidRPr="00425028" w:rsidRDefault="00652DB4" w:rsidP="0093171C">
      <w:pPr>
        <w:pStyle w:val="ListParagraph"/>
        <w:ind w:left="0"/>
        <w:jc w:val="center"/>
      </w:pPr>
    </w:p>
    <w:p w14:paraId="4C4421F4" w14:textId="66EBCFA0" w:rsidR="00DE51E2" w:rsidRPr="00425028" w:rsidRDefault="00DE51E2" w:rsidP="0093171C">
      <w:pPr>
        <w:pStyle w:val="ListParagraph"/>
        <w:ind w:left="0"/>
        <w:jc w:val="center"/>
      </w:pPr>
      <w:r w:rsidRPr="00425028">
        <w:t>Tasmanians receiving Youth Allowance</w:t>
      </w:r>
    </w:p>
    <w:p w14:paraId="1E86BF0F" w14:textId="77777777" w:rsidR="00652DB4" w:rsidRPr="00425028" w:rsidRDefault="00652DB4" w:rsidP="0093171C">
      <w:pPr>
        <w:pStyle w:val="ListParagraph"/>
        <w:ind w:left="0"/>
        <w:jc w:val="center"/>
      </w:pPr>
    </w:p>
    <w:p w14:paraId="6CD76920" w14:textId="0B378B46" w:rsidR="00DE51E2" w:rsidRPr="00425028" w:rsidRDefault="000C2E78" w:rsidP="0093171C">
      <w:pPr>
        <w:pStyle w:val="ListParagraph"/>
        <w:ind w:left="0"/>
        <w:jc w:val="center"/>
      </w:pPr>
      <w:r w:rsidRPr="00425028">
        <w:t>Single</w:t>
      </w:r>
      <w:r w:rsidR="00DE51E2" w:rsidRPr="00425028">
        <w:t xml:space="preserve"> Tasmanians receiving </w:t>
      </w:r>
      <w:r w:rsidRPr="00425028">
        <w:t>Job</w:t>
      </w:r>
      <w:r w:rsidR="00E2068D">
        <w:t>S</w:t>
      </w:r>
      <w:r w:rsidRPr="00425028">
        <w:t>eeker</w:t>
      </w:r>
    </w:p>
    <w:p w14:paraId="787CAC4F" w14:textId="77777777" w:rsidR="00652DB4" w:rsidRPr="00425028" w:rsidRDefault="00652DB4" w:rsidP="0093171C">
      <w:pPr>
        <w:pStyle w:val="ListParagraph"/>
        <w:ind w:left="0"/>
        <w:jc w:val="center"/>
      </w:pPr>
    </w:p>
    <w:p w14:paraId="1EE8E883" w14:textId="6046863B" w:rsidR="00DE51E2" w:rsidRPr="00425028" w:rsidRDefault="00CF5797" w:rsidP="0093171C">
      <w:pPr>
        <w:pStyle w:val="ListParagraph"/>
        <w:ind w:left="0"/>
        <w:jc w:val="center"/>
      </w:pPr>
      <w:r w:rsidRPr="00425028">
        <w:t xml:space="preserve">Tasmanians </w:t>
      </w:r>
      <w:r w:rsidR="002C67B4" w:rsidRPr="00425028">
        <w:t xml:space="preserve">relying on </w:t>
      </w:r>
      <w:r w:rsidR="00DE51E2" w:rsidRPr="00425028">
        <w:t>Disability Support Pension</w:t>
      </w:r>
    </w:p>
    <w:p w14:paraId="5B342284" w14:textId="77777777" w:rsidR="00652DB4" w:rsidRPr="00425028" w:rsidRDefault="00652DB4" w:rsidP="0093171C">
      <w:pPr>
        <w:pStyle w:val="ListParagraph"/>
        <w:ind w:left="0"/>
        <w:jc w:val="center"/>
      </w:pPr>
    </w:p>
    <w:p w14:paraId="682CB50A" w14:textId="4D01ACCC" w:rsidR="00DE51E2" w:rsidRPr="00425028" w:rsidRDefault="009C0024" w:rsidP="0093171C">
      <w:pPr>
        <w:pStyle w:val="ListParagraph"/>
        <w:ind w:left="0"/>
        <w:jc w:val="center"/>
      </w:pPr>
      <w:r w:rsidRPr="00425028">
        <w:t>Single Tasmanians</w:t>
      </w:r>
      <w:r w:rsidR="00CF5797" w:rsidRPr="00425028">
        <w:t xml:space="preserve"> relying on the Age Pension </w:t>
      </w:r>
      <w:r w:rsidR="006B2892" w:rsidRPr="00425028">
        <w:t>wanting a place of their own</w:t>
      </w:r>
    </w:p>
    <w:p w14:paraId="505D4B13" w14:textId="77777777" w:rsidR="008F23CB" w:rsidRPr="00425028" w:rsidRDefault="008F23CB" w:rsidP="00B71E6B">
      <w:r w:rsidRPr="00425028">
        <w:br w:type="page"/>
      </w:r>
    </w:p>
    <w:p w14:paraId="71EA9A56" w14:textId="5440ADED" w:rsidR="00A95407" w:rsidRPr="00425028" w:rsidRDefault="00A95407" w:rsidP="00B71E6B">
      <w:r w:rsidRPr="00425028">
        <w:t xml:space="preserve">Every year Anglicare Tasmania, along with Anglicare Australia and other agencies across the country, runs the Rental Affordability Snapshot to test whether it is possible for people on low incomes to afford a home in the private rental market. </w:t>
      </w:r>
    </w:p>
    <w:p w14:paraId="502FBC1E" w14:textId="5C390D2E" w:rsidR="00A95407" w:rsidRPr="00425028" w:rsidRDefault="00A95407" w:rsidP="00B71E6B">
      <w:pPr>
        <w:rPr>
          <w:lang w:val="en-US"/>
        </w:rPr>
      </w:pPr>
      <w:r w:rsidRPr="00425028">
        <w:rPr>
          <w:lang w:val="en-US"/>
        </w:rPr>
        <w:t xml:space="preserve">The Snapshot looks at all properties listed for rent on realeastate.com.au and flatmates.com.au on a weekend at the end of March every year. We then assess whether each property is affordable and appropriate for 14 types of households on low incomes, including young people, single parents, working families, older people and those dependent on Centrelink benefits. For more details on our methodology, please see our FAQ (p. </w:t>
      </w:r>
      <w:r w:rsidR="00A5559F">
        <w:rPr>
          <w:lang w:val="en-US"/>
        </w:rPr>
        <w:t>36</w:t>
      </w:r>
      <w:r w:rsidRPr="00425028">
        <w:rPr>
          <w:lang w:val="en-US"/>
        </w:rPr>
        <w:t>).</w:t>
      </w:r>
      <w:r w:rsidRPr="00425028">
        <w:rPr>
          <w:rStyle w:val="FootnoteReference"/>
          <w:lang w:val="en-US"/>
        </w:rPr>
        <w:footnoteReference w:id="3"/>
      </w:r>
    </w:p>
    <w:p w14:paraId="5235D234" w14:textId="2499D646" w:rsidR="00176F07" w:rsidRPr="00425028" w:rsidRDefault="00A95407" w:rsidP="00B71E6B">
      <w:r w:rsidRPr="00425028">
        <w:t xml:space="preserve">Our report also presents </w:t>
      </w:r>
      <w:r w:rsidR="00A161A9" w:rsidRPr="00425028">
        <w:t>the stories</w:t>
      </w:r>
      <w:r w:rsidRPr="00425028">
        <w:t xml:space="preserve"> of Anglicare</w:t>
      </w:r>
      <w:r w:rsidR="0089452F">
        <w:t xml:space="preserve"> Tasmania</w:t>
      </w:r>
      <w:r w:rsidRPr="00425028">
        <w:t xml:space="preserve"> clients who have been searching for housing in the private rental market. Their experiences show how the private rental market in Tasmania works, and doesn’t work, for people today.</w:t>
      </w:r>
      <w:r w:rsidR="003E7792" w:rsidRPr="00425028">
        <w:t xml:space="preserve"> </w:t>
      </w:r>
      <w:r w:rsidR="00176F07" w:rsidRPr="00425028">
        <w:t>All stories used in this Snapshot have names and details changed to protect client privacy.</w:t>
      </w:r>
    </w:p>
    <w:p w14:paraId="63258182" w14:textId="5E98F6C6" w:rsidR="008F23CB" w:rsidRPr="00425028" w:rsidRDefault="008F23CB" w:rsidP="00B71E6B">
      <w:pPr>
        <w:pStyle w:val="ListParagraph"/>
        <w:rPr>
          <w:rFonts w:eastAsiaTheme="majorEastAsia" w:cstheme="majorBidi"/>
          <w:color w:val="0F4761" w:themeColor="accent1" w:themeShade="BF"/>
          <w:sz w:val="32"/>
          <w:szCs w:val="32"/>
        </w:rPr>
      </w:pPr>
      <w:r w:rsidRPr="00425028">
        <w:br w:type="page"/>
      </w:r>
    </w:p>
    <w:p w14:paraId="391E941D" w14:textId="77777777" w:rsidR="00F643D3" w:rsidRPr="00425028" w:rsidRDefault="00F643D3" w:rsidP="00B71E6B">
      <w:pPr>
        <w:pStyle w:val="Heading2"/>
        <w:rPr>
          <w:rFonts w:ascii="Avenir Next LT Pro" w:hAnsi="Avenir Next LT Pro"/>
        </w:rPr>
      </w:pPr>
      <w:bookmarkStart w:id="6" w:name="_Toc195101855"/>
      <w:bookmarkStart w:id="7" w:name="_Toc196228973"/>
      <w:r w:rsidRPr="00425028">
        <w:rPr>
          <w:rFonts w:ascii="Avenir Next LT Pro" w:hAnsi="Avenir Next LT Pro"/>
        </w:rPr>
        <w:t>Availability</w:t>
      </w:r>
      <w:bookmarkEnd w:id="6"/>
      <w:bookmarkEnd w:id="7"/>
    </w:p>
    <w:p w14:paraId="6E462C85" w14:textId="53E5ECA1" w:rsidR="00261B5D" w:rsidRPr="00425028" w:rsidRDefault="1291CFBA" w:rsidP="00B71E6B">
      <w:r w:rsidRPr="00425028">
        <w:t>Following</w:t>
      </w:r>
      <w:r w:rsidR="00F643D3" w:rsidRPr="00425028">
        <w:t xml:space="preserve"> a </w:t>
      </w:r>
      <w:r w:rsidR="009C3A3E" w:rsidRPr="00425028">
        <w:t>moderate</w:t>
      </w:r>
      <w:r w:rsidR="00F643D3" w:rsidRPr="00425028">
        <w:t xml:space="preserve"> rise in the number of properties advertised</w:t>
      </w:r>
      <w:r w:rsidR="009C3A3E" w:rsidRPr="00425028">
        <w:t xml:space="preserve"> over the past 2 years, </w:t>
      </w:r>
      <w:r w:rsidR="00EC7271" w:rsidRPr="00425028">
        <w:t>the number</w:t>
      </w:r>
      <w:r w:rsidR="00B40ED3" w:rsidRPr="00425028">
        <w:t xml:space="preserve"> of listings fell to</w:t>
      </w:r>
      <w:r w:rsidR="00F643D3" w:rsidRPr="00425028">
        <w:t xml:space="preserve"> 84</w:t>
      </w:r>
      <w:r w:rsidR="5D68A334" w:rsidRPr="00425028">
        <w:t>5</w:t>
      </w:r>
      <w:r w:rsidR="00F643D3" w:rsidRPr="00425028">
        <w:t xml:space="preserve"> properties this year, 25% less than the 1,127 </w:t>
      </w:r>
      <w:r w:rsidR="00B40ED3" w:rsidRPr="00425028">
        <w:t xml:space="preserve">properties advertised </w:t>
      </w:r>
      <w:r w:rsidR="00F643D3" w:rsidRPr="00425028">
        <w:t xml:space="preserve">in 2024. </w:t>
      </w:r>
    </w:p>
    <w:p w14:paraId="40239510" w14:textId="71D8CFBF" w:rsidR="00261B5D" w:rsidRPr="00425028" w:rsidRDefault="00F9523C" w:rsidP="00347B80">
      <w:r w:rsidRPr="00425028">
        <w:t xml:space="preserve">For </w:t>
      </w:r>
      <w:r w:rsidR="00BC5FA7" w:rsidRPr="00425028">
        <w:t>o</w:t>
      </w:r>
      <w:r w:rsidR="008A65F8" w:rsidRPr="00425028">
        <w:t>ur main source</w:t>
      </w:r>
      <w:r w:rsidR="003A1EF1" w:rsidRPr="00425028">
        <w:t xml:space="preserve"> of data</w:t>
      </w:r>
      <w:r w:rsidR="00BC5FA7" w:rsidRPr="00425028">
        <w:t xml:space="preserve">, realestate.com.au, listings declined by 33%. </w:t>
      </w:r>
      <w:r w:rsidR="00FD268C" w:rsidRPr="00425028">
        <w:t>Since this</w:t>
      </w:r>
      <w:r w:rsidR="00640273" w:rsidRPr="00425028">
        <w:t xml:space="preserve"> site does not capture most sharehouse listings</w:t>
      </w:r>
      <w:r w:rsidR="001D7D26" w:rsidRPr="00425028">
        <w:t xml:space="preserve">, </w:t>
      </w:r>
      <w:r w:rsidR="00E36436" w:rsidRPr="00425028">
        <w:t xml:space="preserve">we use a secondary source of data. </w:t>
      </w:r>
      <w:r w:rsidR="003C1A59" w:rsidRPr="00425028">
        <w:t>This year</w:t>
      </w:r>
      <w:r w:rsidR="00347B80" w:rsidRPr="00425028">
        <w:t xml:space="preserve"> our source for sharehouse listings changed from Gumtree, </w:t>
      </w:r>
      <w:r w:rsidR="00AD50C7" w:rsidRPr="00425028">
        <w:t>which has declined in popularity, to flatmates.com.au. This switch may be masking a greater decline in overall listings.</w:t>
      </w:r>
    </w:p>
    <w:p w14:paraId="6524F074" w14:textId="6ADD03BB" w:rsidR="00F643D3" w:rsidRDefault="00AD50C7" w:rsidP="00B71E6B">
      <w:r w:rsidRPr="00425028">
        <w:t xml:space="preserve">The decline in listings is substantial and reflects the record </w:t>
      </w:r>
      <w:r w:rsidR="00F643D3" w:rsidRPr="00425028">
        <w:t>low</w:t>
      </w:r>
      <w:r w:rsidRPr="00425028">
        <w:t xml:space="preserve"> vacancy rates reported in all regions of Tasmania, which </w:t>
      </w:r>
      <w:r w:rsidR="007C57B2" w:rsidRPr="00425028">
        <w:t>are even lower than 12 months ago.</w:t>
      </w:r>
    </w:p>
    <w:p w14:paraId="015C8F52" w14:textId="77777777" w:rsidR="0093171C" w:rsidRDefault="0093171C" w:rsidP="007920FF"/>
    <w:p w14:paraId="21694289" w14:textId="3F56CB73" w:rsidR="00D87F53" w:rsidRPr="00D87F53" w:rsidRDefault="00D87F53" w:rsidP="00B71E6B">
      <w:pPr>
        <w:rPr>
          <w:b/>
          <w:bCs/>
        </w:rPr>
      </w:pPr>
      <w:r w:rsidRPr="00D87F53">
        <w:rPr>
          <w:b/>
          <w:bCs/>
        </w:rPr>
        <w:t>Figure 1.</w:t>
      </w:r>
    </w:p>
    <w:p w14:paraId="55297CC3" w14:textId="77777777" w:rsidR="00F643D3" w:rsidRDefault="00F643D3" w:rsidP="00B71E6B">
      <w:r w:rsidRPr="00425028">
        <w:rPr>
          <w:noProof/>
          <w:lang w:val="en-US"/>
        </w:rPr>
        <w:drawing>
          <wp:inline distT="0" distB="0" distL="0" distR="0" wp14:anchorId="2AADABAD" wp14:editId="3EDE82C5">
            <wp:extent cx="5486400" cy="3200400"/>
            <wp:effectExtent l="0" t="0" r="0" b="0"/>
            <wp:docPr id="1" name="Chart 1" descr="Column graph depicting number of properties advertised falling from a high of 2677 in 2013, to the lowest point of 729 in 2021, rising back to 1127 in 2024, and finally falling to 845 in 20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682813B" w14:textId="37BC8A01" w:rsidR="003B4C4C" w:rsidRPr="003B4C4C" w:rsidRDefault="003B4C4C" w:rsidP="00B71E6B">
      <w:pPr>
        <w:rPr>
          <w:i/>
          <w:iCs/>
        </w:rPr>
      </w:pPr>
      <w:r>
        <w:rPr>
          <w:i/>
          <w:iCs/>
        </w:rPr>
        <w:t>Source: Anglicare Tasmania</w:t>
      </w:r>
    </w:p>
    <w:p w14:paraId="6CF43693" w14:textId="77777777" w:rsidR="007C57B2" w:rsidRPr="00425028" w:rsidRDefault="007C57B2" w:rsidP="00B71E6B">
      <w:pPr>
        <w:rPr>
          <w:rFonts w:eastAsiaTheme="majorEastAsia" w:cstheme="majorBidi"/>
          <w:color w:val="0F4761" w:themeColor="accent1" w:themeShade="BF"/>
          <w:sz w:val="32"/>
          <w:szCs w:val="32"/>
        </w:rPr>
      </w:pPr>
      <w:r w:rsidRPr="00425028">
        <w:br w:type="page"/>
      </w:r>
    </w:p>
    <w:p w14:paraId="33A430E3" w14:textId="6AC043C1" w:rsidR="00F643D3" w:rsidRPr="00425028" w:rsidRDefault="00F643D3" w:rsidP="00B71E6B">
      <w:pPr>
        <w:pStyle w:val="Heading2"/>
        <w:rPr>
          <w:rFonts w:ascii="Avenir Next LT Pro" w:hAnsi="Avenir Next LT Pro"/>
        </w:rPr>
      </w:pPr>
      <w:bookmarkStart w:id="8" w:name="_Toc195101856"/>
      <w:bookmarkStart w:id="9" w:name="_Toc196228974"/>
      <w:r w:rsidRPr="00425028">
        <w:rPr>
          <w:rFonts w:ascii="Avenir Next LT Pro" w:hAnsi="Avenir Next LT Pro"/>
        </w:rPr>
        <w:t>There are virtually no rentals available at any price</w:t>
      </w:r>
      <w:bookmarkEnd w:id="8"/>
      <w:bookmarkEnd w:id="9"/>
    </w:p>
    <w:p w14:paraId="3CF44B75" w14:textId="77777777" w:rsidR="00F643D3" w:rsidRPr="00425028" w:rsidRDefault="00F643D3" w:rsidP="00B71E6B">
      <w:pPr>
        <w:pStyle w:val="IntenseQuote"/>
      </w:pPr>
      <w:r w:rsidRPr="00425028">
        <w:t>A sustainable vacancy rate of around 3 per cent in the private rental market will help to stabilise rents and ultimately reduce pressure on household budgets</w:t>
      </w:r>
    </w:p>
    <w:p w14:paraId="02FF9CED" w14:textId="27845AB8" w:rsidR="00F643D3" w:rsidRPr="00425028" w:rsidRDefault="00F643D3" w:rsidP="00B71E6B">
      <w:pPr>
        <w:pStyle w:val="IntenseQuote"/>
      </w:pPr>
      <w:r w:rsidRPr="00425028">
        <w:rPr>
          <w:rFonts w:cs="Calibri"/>
        </w:rPr>
        <w:t>—</w:t>
      </w:r>
      <w:r w:rsidRPr="00425028">
        <w:t xml:space="preserve"> Tasmanian Housing Strategy</w:t>
      </w:r>
      <w:r w:rsidR="00721BEF" w:rsidRPr="00425028">
        <w:t xml:space="preserve"> 2023-2043</w:t>
      </w:r>
      <w:r w:rsidR="00721BEF" w:rsidRPr="00425028">
        <w:rPr>
          <w:rStyle w:val="FootnoteReference"/>
          <w:i w:val="0"/>
          <w:iCs w:val="0"/>
        </w:rPr>
        <w:footnoteReference w:id="4"/>
      </w:r>
      <w:r w:rsidRPr="00425028">
        <w:t xml:space="preserve"> </w:t>
      </w:r>
    </w:p>
    <w:p w14:paraId="2333E646" w14:textId="2083CDF9" w:rsidR="00F643D3" w:rsidRPr="00425028" w:rsidRDefault="00F643D3" w:rsidP="00B71E6B">
      <w:r w:rsidRPr="00425028">
        <w:t>The vacancy rate is the percentage of all rental properties that are vacant and available to rent. It is a good indicator of whether current housing policy is effective.</w:t>
      </w:r>
    </w:p>
    <w:p w14:paraId="1915CB6C" w14:textId="571D90AB" w:rsidR="00F643D3" w:rsidRPr="00425028" w:rsidRDefault="00F643D3" w:rsidP="00B71E6B">
      <w:r w:rsidRPr="00425028">
        <w:t xml:space="preserve">When the vacancy rate falls below 3%, there are generally more people looking for rentals than there are properties available. With more people competing for each property, rents tend to rise. The further the rate falls below 3%, the tighter the market becomes and the faster rents rise. </w:t>
      </w:r>
    </w:p>
    <w:p w14:paraId="7429BD5B" w14:textId="77777777" w:rsidR="00F643D3" w:rsidRPr="00425028" w:rsidRDefault="00F643D3" w:rsidP="00B71E6B">
      <w:r w:rsidRPr="00425028">
        <w:t xml:space="preserve">Over the past year we have seen vacancy rates fall to unprecedented lows in all regions. The vacancy rate can’t fall below zero, but rates were virtually there in January 2025 with Hobart and Burnie recording 0.3% and Launceston recording 0.5%. Vacancy rates have remained below 1% in every region for the 6 months to February 2025. </w:t>
      </w:r>
    </w:p>
    <w:p w14:paraId="00524512" w14:textId="77777777" w:rsidR="00F643D3" w:rsidRPr="00425028" w:rsidRDefault="00F643D3" w:rsidP="00B71E6B">
      <w:r w:rsidRPr="00425028">
        <w:t xml:space="preserve">Under these conditions it is hard for anyone to find a rental at any price. For people on low incomes, even the lowest priced rentals are not affordable, and they are often outcompeted for these properties by people on higher incomes. </w:t>
      </w:r>
    </w:p>
    <w:p w14:paraId="6F308480" w14:textId="2EE0EC8C" w:rsidR="00F643D3" w:rsidRDefault="00F643D3" w:rsidP="00B71E6B">
      <w:r w:rsidRPr="00425028">
        <w:t xml:space="preserve">As the gap between advertised rents and what people can afford increases, the number of people who are priced out of the private rental market grows.  </w:t>
      </w:r>
    </w:p>
    <w:p w14:paraId="5AB75940" w14:textId="77777777" w:rsidR="0093171C" w:rsidRDefault="0093171C" w:rsidP="00B71E6B"/>
    <w:p w14:paraId="457026CA" w14:textId="77777777" w:rsidR="0093171C" w:rsidRDefault="0093171C">
      <w:pPr>
        <w:rPr>
          <w:b/>
          <w:bCs/>
        </w:rPr>
      </w:pPr>
      <w:r>
        <w:rPr>
          <w:b/>
          <w:bCs/>
        </w:rPr>
        <w:br w:type="page"/>
      </w:r>
    </w:p>
    <w:p w14:paraId="0745944F" w14:textId="48782D56" w:rsidR="0093171C" w:rsidRPr="0093171C" w:rsidRDefault="0093171C" w:rsidP="00B71E6B">
      <w:pPr>
        <w:rPr>
          <w:b/>
          <w:bCs/>
        </w:rPr>
      </w:pPr>
      <w:r w:rsidRPr="0093171C">
        <w:rPr>
          <w:b/>
          <w:bCs/>
        </w:rPr>
        <w:t>Figure 2.</w:t>
      </w:r>
    </w:p>
    <w:p w14:paraId="3A604350" w14:textId="3C720F8A" w:rsidR="0093171C" w:rsidRPr="00425028" w:rsidRDefault="0093171C" w:rsidP="00B71E6B">
      <w:r w:rsidRPr="00425028">
        <w:rPr>
          <w:noProof/>
          <w:lang w:val="en-US"/>
        </w:rPr>
        <w:drawing>
          <wp:inline distT="0" distB="0" distL="0" distR="0" wp14:anchorId="7ECAF2E0" wp14:editId="56C14C16">
            <wp:extent cx="5685155" cy="3076575"/>
            <wp:effectExtent l="0" t="0" r="0" b="9525"/>
            <wp:docPr id="230854381" name="Picture 1" descr="Line graph depicting vacancy rates for Hobart, Burnie and Launceston over a 12-month period. Hobart briefly rises to about 1.8% in July 2024 but quickly falls. Burnie is consistently the lowest rate und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854381" name="Picture 1" descr="Line graph depicting vacancy rates for Hobart, Burnie and Launceston over a 12-month period. Hobart briefly rises to about 1.8% in July 2024 but quickly falls. Burnie is consistently the lowest rate under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85155" cy="3076575"/>
                    </a:xfrm>
                    <a:prstGeom prst="rect">
                      <a:avLst/>
                    </a:prstGeom>
                    <a:noFill/>
                  </pic:spPr>
                </pic:pic>
              </a:graphicData>
            </a:graphic>
          </wp:inline>
        </w:drawing>
      </w:r>
    </w:p>
    <w:p w14:paraId="55F20CA4" w14:textId="2EFB4E40" w:rsidR="0093171C" w:rsidRPr="003B4C4C" w:rsidRDefault="003B4C4C" w:rsidP="0093171C">
      <w:pPr>
        <w:rPr>
          <w:i/>
          <w:iCs/>
        </w:rPr>
      </w:pPr>
      <w:bookmarkStart w:id="10" w:name="_Toc195101857"/>
      <w:r>
        <w:rPr>
          <w:i/>
          <w:iCs/>
        </w:rPr>
        <w:t>Source: Homes Tasmania Dashboard</w:t>
      </w:r>
    </w:p>
    <w:p w14:paraId="2BA7B30E" w14:textId="77777777" w:rsidR="0093171C" w:rsidRDefault="0093171C">
      <w:pPr>
        <w:rPr>
          <w:rFonts w:eastAsiaTheme="majorEastAsia" w:cstheme="majorBidi"/>
          <w:color w:val="0F4761" w:themeColor="accent1" w:themeShade="BF"/>
          <w:sz w:val="32"/>
          <w:szCs w:val="32"/>
        </w:rPr>
      </w:pPr>
      <w:r>
        <w:br w:type="page"/>
      </w:r>
    </w:p>
    <w:p w14:paraId="527C3C08" w14:textId="41DBE331" w:rsidR="00BD0068" w:rsidRPr="00425028" w:rsidRDefault="00F643D3" w:rsidP="00B71E6B">
      <w:pPr>
        <w:pStyle w:val="Heading2"/>
        <w:rPr>
          <w:rFonts w:ascii="Avenir Next LT Pro" w:hAnsi="Avenir Next LT Pro"/>
        </w:rPr>
      </w:pPr>
      <w:bookmarkStart w:id="11" w:name="_Toc196228975"/>
      <w:r w:rsidRPr="00425028">
        <w:rPr>
          <w:rFonts w:ascii="Avenir Next LT Pro" w:hAnsi="Avenir Next LT Pro"/>
        </w:rPr>
        <w:t>Affordability</w:t>
      </w:r>
      <w:bookmarkEnd w:id="10"/>
      <w:bookmarkEnd w:id="11"/>
    </w:p>
    <w:p w14:paraId="4A6D7625" w14:textId="572E7371" w:rsidR="00BD0068" w:rsidRPr="00425028" w:rsidRDefault="007C57B2" w:rsidP="00B71E6B">
      <w:r w:rsidRPr="00425028">
        <w:t>The percentage of properties advertised that are affordable and appropriate for 12 of the 14 types of low-income household</w:t>
      </w:r>
      <w:r w:rsidR="00503B32" w:rsidRPr="00425028">
        <w:t>s</w:t>
      </w:r>
      <w:r w:rsidRPr="00425028">
        <w:t xml:space="preserve"> is the same as in 2024. </w:t>
      </w:r>
      <w:r w:rsidR="008B2C1F" w:rsidRPr="00425028">
        <w:t>However, w</w:t>
      </w:r>
      <w:r w:rsidRPr="00425028">
        <w:t xml:space="preserve">ith fewer properties </w:t>
      </w:r>
      <w:r w:rsidR="00C8674A" w:rsidRPr="00425028">
        <w:t>advertised</w:t>
      </w:r>
      <w:r w:rsidRPr="00425028">
        <w:t xml:space="preserve">, the number of affordable properties that are available has fallen. </w:t>
      </w:r>
    </w:p>
    <w:p w14:paraId="75FADA88" w14:textId="2A11968D" w:rsidR="00340842" w:rsidRPr="00425028" w:rsidRDefault="00334520" w:rsidP="00F235D7">
      <w:pPr>
        <w:pStyle w:val="Heading3"/>
      </w:pPr>
      <w:bookmarkStart w:id="12" w:name="_Toc196228976"/>
      <w:r w:rsidRPr="00425028">
        <w:t>F</w:t>
      </w:r>
      <w:r w:rsidR="004A5D03" w:rsidRPr="00425028">
        <w:t xml:space="preserve">or </w:t>
      </w:r>
      <w:r w:rsidR="00340842" w:rsidRPr="00425028">
        <w:t xml:space="preserve">7 of the 14 household types </w:t>
      </w:r>
      <w:r w:rsidR="004A5D03" w:rsidRPr="00425028">
        <w:t xml:space="preserve">there are </w:t>
      </w:r>
      <w:r w:rsidRPr="00425028">
        <w:t xml:space="preserve">still </w:t>
      </w:r>
      <w:r w:rsidR="004A5D03" w:rsidRPr="00425028">
        <w:t>no affordable private rentals</w:t>
      </w:r>
      <w:bookmarkEnd w:id="12"/>
    </w:p>
    <w:p w14:paraId="66EBF687" w14:textId="471AF1C5" w:rsidR="00340842" w:rsidRPr="00425028" w:rsidRDefault="00340842" w:rsidP="00B71E6B">
      <w:r w:rsidRPr="00425028">
        <w:t xml:space="preserve">Single parents receiving Parenting Payment can afford $251 a week, or $287 if they have two children, while the average price for a 2-bedroom unit is $460. Parents relying on the Jobseeker payment can afford $335 a week for a family of two adults and two children. There are 6 properties they will find appropriate and affordable, mostly located on the West Coast. </w:t>
      </w:r>
    </w:p>
    <w:p w14:paraId="4BB351ED" w14:textId="7580A047" w:rsidR="00340842" w:rsidRPr="00425028" w:rsidRDefault="00340842" w:rsidP="00B71E6B">
      <w:r w:rsidRPr="00425028">
        <w:t xml:space="preserve">A single person on Jobseeker can afford to pay $131 and will need to find an unusually cheap sharehouse; there is just one in our sample at that price. Sharehouses are more likely to be over </w:t>
      </w:r>
      <w:r w:rsidR="00B64F0D" w:rsidRPr="00425028">
        <w:t>$150 and</w:t>
      </w:r>
      <w:r w:rsidRPr="00425028">
        <w:t xml:space="preserve"> may be as much as $300.</w:t>
      </w:r>
      <w:r w:rsidR="00B669A1" w:rsidRPr="00425028">
        <w:t xml:space="preserve"> </w:t>
      </w:r>
      <w:r w:rsidRPr="00425028">
        <w:t xml:space="preserve">Young people aged 18 to 21 who are living away from home to study, to look for </w:t>
      </w:r>
      <w:r w:rsidR="00816F3E" w:rsidRPr="00425028">
        <w:t>employment</w:t>
      </w:r>
      <w:r w:rsidRPr="00425028">
        <w:t xml:space="preserve">, or due to family conflict, can afford just $108 a week in rent. </w:t>
      </w:r>
      <w:r w:rsidR="00C944EA" w:rsidRPr="00425028">
        <w:t>The</w:t>
      </w:r>
      <w:r w:rsidRPr="00425028">
        <w:t xml:space="preserve"> cheapest sharehouse </w:t>
      </w:r>
      <w:r w:rsidR="00CD6633" w:rsidRPr="00425028">
        <w:t xml:space="preserve">we </w:t>
      </w:r>
      <w:r w:rsidR="00F9268D" w:rsidRPr="00425028">
        <w:t xml:space="preserve">found </w:t>
      </w:r>
      <w:r w:rsidRPr="00425028">
        <w:t>is $125 a week.</w:t>
      </w:r>
    </w:p>
    <w:p w14:paraId="69C3DD3E" w14:textId="611B275F" w:rsidR="001C02D9" w:rsidRPr="00425028" w:rsidRDefault="001C02D9" w:rsidP="00F235D7">
      <w:pPr>
        <w:pStyle w:val="Heading3"/>
      </w:pPr>
      <w:bookmarkStart w:id="13" w:name="_Toc196228977"/>
      <w:r w:rsidRPr="00425028">
        <w:t xml:space="preserve">Some groups will </w:t>
      </w:r>
      <w:r w:rsidR="00C73D12" w:rsidRPr="00425028">
        <w:t xml:space="preserve">find </w:t>
      </w:r>
      <w:r w:rsidRPr="00425028">
        <w:t>properties they can afford but</w:t>
      </w:r>
      <w:r w:rsidR="00B15B12" w:rsidRPr="00425028">
        <w:t xml:space="preserve"> they</w:t>
      </w:r>
      <w:r w:rsidRPr="00425028">
        <w:t xml:space="preserve"> </w:t>
      </w:r>
      <w:r w:rsidR="00C73D12" w:rsidRPr="00425028">
        <w:t>will be choosing from far fewer than last year</w:t>
      </w:r>
      <w:bookmarkEnd w:id="13"/>
    </w:p>
    <w:p w14:paraId="588C7BEE" w14:textId="77777777" w:rsidR="00B17924" w:rsidRPr="00425028" w:rsidRDefault="00B17924" w:rsidP="00B17924">
      <w:r w:rsidRPr="00425028">
        <w:t>A lower and lower vacancy rate means some working families will need to spend more than they can afford to secure a property. Stretching a budget already pushed to the brink by power bills and grocery prices may have repercussions in other areas of family life.</w:t>
      </w:r>
    </w:p>
    <w:p w14:paraId="01BE5835" w14:textId="4FFBBE91" w:rsidR="00432FB2" w:rsidRPr="00425028" w:rsidRDefault="00BD0068" w:rsidP="00B71E6B">
      <w:r w:rsidRPr="00425028">
        <w:t>F</w:t>
      </w:r>
      <w:r w:rsidR="00F643D3" w:rsidRPr="00425028">
        <w:t xml:space="preserve">amilies </w:t>
      </w:r>
      <w:r w:rsidR="00664166">
        <w:t xml:space="preserve">with two parents </w:t>
      </w:r>
      <w:r w:rsidR="00EA60AB" w:rsidRPr="00425028">
        <w:t xml:space="preserve">in paid </w:t>
      </w:r>
      <w:r w:rsidR="00F643D3" w:rsidRPr="00425028">
        <w:t xml:space="preserve">work full time for the minimum wage fall just short of </w:t>
      </w:r>
      <w:r w:rsidR="008D21AD" w:rsidRPr="00425028">
        <w:t>many</w:t>
      </w:r>
      <w:r w:rsidR="00F643D3" w:rsidRPr="00425028">
        <w:t xml:space="preserve"> mid-priced properties</w:t>
      </w:r>
      <w:r w:rsidR="00097064" w:rsidRPr="00425028">
        <w:t>.</w:t>
      </w:r>
      <w:r w:rsidR="007C57B2" w:rsidRPr="00425028">
        <w:t xml:space="preserve"> </w:t>
      </w:r>
      <w:r w:rsidR="00097064" w:rsidRPr="00425028">
        <w:t>T</w:t>
      </w:r>
      <w:r w:rsidR="00F643D3" w:rsidRPr="00425028">
        <w:t xml:space="preserve">he average price of a 3-4 bedroom property is $562 a week, just over the $549 that these families can afford. </w:t>
      </w:r>
      <w:r w:rsidR="00AA0984" w:rsidRPr="00425028">
        <w:t xml:space="preserve">Statewide, the number of </w:t>
      </w:r>
      <w:r w:rsidR="00F643D3" w:rsidRPr="00425028">
        <w:t xml:space="preserve">affordable properties for them to choose from </w:t>
      </w:r>
      <w:r w:rsidR="00AA0984" w:rsidRPr="00425028">
        <w:t>has dropped by 35% from 315 in 2024 to 20</w:t>
      </w:r>
      <w:r w:rsidR="00671C39" w:rsidRPr="00425028">
        <w:t>2</w:t>
      </w:r>
      <w:r w:rsidR="00AA0984" w:rsidRPr="00425028">
        <w:t xml:space="preserve"> this year. </w:t>
      </w:r>
    </w:p>
    <w:p w14:paraId="5D51B0A7" w14:textId="3AD6BD92" w:rsidR="00991FE1" w:rsidRPr="00425028" w:rsidRDefault="00F643D3" w:rsidP="00B71E6B">
      <w:r w:rsidRPr="00425028">
        <w:t xml:space="preserve">Families with one wage-earner and one person receiving Parenting Payment from Centrelink can afford $434 a </w:t>
      </w:r>
      <w:r w:rsidR="008B2C1F" w:rsidRPr="00425028">
        <w:t>week and</w:t>
      </w:r>
      <w:r w:rsidRPr="00425028">
        <w:t xml:space="preserve"> will find only 56 properties to choose from</w:t>
      </w:r>
      <w:r w:rsidR="00991FE1" w:rsidRPr="00425028">
        <w:t>, a 29% drop from 79 last year. A number of these properties are in</w:t>
      </w:r>
      <w:r w:rsidRPr="00425028">
        <w:t xml:space="preserve"> regional</w:t>
      </w:r>
      <w:r w:rsidR="004C0EAB" w:rsidRPr="00425028">
        <w:t xml:space="preserve"> or remote</w:t>
      </w:r>
      <w:r w:rsidRPr="00425028">
        <w:t xml:space="preserve"> areas of the state such as Smithton, Sheffield or Strahan. These families </w:t>
      </w:r>
      <w:r w:rsidR="006B544A" w:rsidRPr="00425028">
        <w:t xml:space="preserve">may </w:t>
      </w:r>
      <w:r w:rsidRPr="00425028">
        <w:t xml:space="preserve">struggle to find a place to live close to work and school </w:t>
      </w:r>
      <w:r w:rsidR="006B544A" w:rsidRPr="00425028">
        <w:t>that</w:t>
      </w:r>
      <w:r w:rsidRPr="00425028" w:rsidDel="006B544A">
        <w:t xml:space="preserve"> they can afford</w:t>
      </w:r>
      <w:r w:rsidRPr="00425028">
        <w:t>. They will also be competing with single parents</w:t>
      </w:r>
      <w:r w:rsidR="00082197" w:rsidRPr="00425028">
        <w:t xml:space="preserve"> in paid work</w:t>
      </w:r>
      <w:r w:rsidRPr="00425028">
        <w:t xml:space="preserve">, who have the same budget and will be looking at the same properties. </w:t>
      </w:r>
    </w:p>
    <w:p w14:paraId="072EEE65" w14:textId="3AAD9373" w:rsidR="00F643D3" w:rsidRPr="00425028" w:rsidRDefault="00F643D3" w:rsidP="00B71E6B">
      <w:r w:rsidRPr="00425028">
        <w:t>Other households with a reasonable number of properties to choose from include singles</w:t>
      </w:r>
      <w:r w:rsidR="00EE0FD9" w:rsidRPr="00425028">
        <w:t xml:space="preserve"> on the minimum wage</w:t>
      </w:r>
      <w:r w:rsidRPr="00425028">
        <w:t xml:space="preserve">, who </w:t>
      </w:r>
      <w:r w:rsidR="00B669A1" w:rsidRPr="00425028">
        <w:t xml:space="preserve">are likely to be able to afford a </w:t>
      </w:r>
      <w:r w:rsidRPr="00425028">
        <w:t>sharehouse room somewhere in the state. Sharehouses comprise 20% of our sample this year.</w:t>
      </w:r>
      <w:r w:rsidR="009B686C" w:rsidRPr="00425028">
        <w:rPr>
          <w:rStyle w:val="FootnoteReference"/>
        </w:rPr>
        <w:t xml:space="preserve"> </w:t>
      </w:r>
      <w:r w:rsidR="009B686C" w:rsidRPr="00425028">
        <w:rPr>
          <w:rStyle w:val="FootnoteReference"/>
        </w:rPr>
        <w:footnoteReference w:id="5"/>
      </w:r>
      <w:r w:rsidRPr="00425028">
        <w:t xml:space="preserve"> Living alone is unlikely for a person on minimum wage, with only 3 unshared properties priced within their budget.</w:t>
      </w:r>
    </w:p>
    <w:p w14:paraId="2E7C45E0" w14:textId="087C337E" w:rsidR="00F643D3" w:rsidRPr="00425028" w:rsidRDefault="00B669A1" w:rsidP="00B71E6B">
      <w:r w:rsidRPr="00425028">
        <w:t>Single p</w:t>
      </w:r>
      <w:r w:rsidR="00F643D3" w:rsidRPr="00425028">
        <w:t xml:space="preserve">eople </w:t>
      </w:r>
      <w:r w:rsidRPr="00425028">
        <w:t>receiving</w:t>
      </w:r>
      <w:r w:rsidR="00F643D3" w:rsidRPr="00425028">
        <w:t xml:space="preserve"> Age </w:t>
      </w:r>
      <w:r w:rsidRPr="00425028">
        <w:t>Pension</w:t>
      </w:r>
      <w:r w:rsidR="00F643D3" w:rsidRPr="00425028">
        <w:t xml:space="preserve"> can afford just $201 a week, and for that price the only unshared properties are one bedsit in the Launceston area and one unit on the East Coast. Older people </w:t>
      </w:r>
      <w:r w:rsidRPr="00425028">
        <w:t>may have needs that make sharehousing unsuitable</w:t>
      </w:r>
      <w:r w:rsidR="00F643D3" w:rsidRPr="00425028">
        <w:t>. Those who do choose to enter the sharehouse market will find that many advertisements specifically ask for working people</w:t>
      </w:r>
      <w:r w:rsidR="00167C27" w:rsidRPr="00425028">
        <w:t>.</w:t>
      </w:r>
    </w:p>
    <w:p w14:paraId="70916A27" w14:textId="71048567" w:rsidR="00F643D3" w:rsidRPr="00425028" w:rsidRDefault="00F643D3" w:rsidP="00B71E6B">
      <w:r w:rsidRPr="00425028">
        <w:t xml:space="preserve">Couples who both receive Age Pension will be looking for units priced under $290 a week. They will find </w:t>
      </w:r>
      <w:r w:rsidR="00B37768" w:rsidRPr="00425028">
        <w:t>19</w:t>
      </w:r>
      <w:r w:rsidRPr="00425028">
        <w:t xml:space="preserve"> to choose from statewide, often in regional areas, some of them bedsit/studios. It is increasingly apparent that the Age Pension does not pay enough for older people to live comfortably unless they are homeowner</w:t>
      </w:r>
      <w:r w:rsidR="005C6D59">
        <w:t>s</w:t>
      </w:r>
      <w:r w:rsidRPr="00425028">
        <w:t xml:space="preserve">. </w:t>
      </w:r>
    </w:p>
    <w:p w14:paraId="50A901EF" w14:textId="18FD6AAA" w:rsidR="000417EF" w:rsidRPr="00425028" w:rsidRDefault="000417EF" w:rsidP="00B71E6B">
      <w:pPr>
        <w:sectPr w:rsidR="000417EF" w:rsidRPr="00425028">
          <w:footerReference w:type="default" r:id="rId16"/>
          <w:pgSz w:w="11906" w:h="16838"/>
          <w:pgMar w:top="1440" w:right="1440" w:bottom="1440" w:left="1440" w:header="708" w:footer="708" w:gutter="0"/>
          <w:cols w:space="708"/>
          <w:docGrid w:linePitch="360"/>
        </w:sectPr>
      </w:pPr>
    </w:p>
    <w:p w14:paraId="1F03A214" w14:textId="021D86A5" w:rsidR="00F61723" w:rsidRPr="0011245E" w:rsidRDefault="0011245E" w:rsidP="00B71E6B">
      <w:pPr>
        <w:rPr>
          <w:b/>
          <w:bCs/>
        </w:rPr>
      </w:pPr>
      <w:r w:rsidRPr="0011245E">
        <w:rPr>
          <w:b/>
          <w:bCs/>
        </w:rPr>
        <w:t>Table 1.</w:t>
      </w:r>
    </w:p>
    <w:tbl>
      <w:tblPr>
        <w:tblStyle w:val="TableGrid"/>
        <w:tblW w:w="0" w:type="auto"/>
        <w:tblLook w:val="04A0" w:firstRow="1" w:lastRow="0" w:firstColumn="1" w:lastColumn="0" w:noHBand="0" w:noVBand="1"/>
      </w:tblPr>
      <w:tblGrid>
        <w:gridCol w:w="1068"/>
        <w:gridCol w:w="1621"/>
        <w:gridCol w:w="1745"/>
        <w:gridCol w:w="1134"/>
        <w:gridCol w:w="1434"/>
        <w:gridCol w:w="1475"/>
        <w:gridCol w:w="1233"/>
      </w:tblGrid>
      <w:tr w:rsidR="000417EF" w:rsidRPr="00425028" w14:paraId="7F10A5BC" w14:textId="77777777" w:rsidTr="00F553AD">
        <w:trPr>
          <w:trHeight w:val="1007"/>
        </w:trPr>
        <w:tc>
          <w:tcPr>
            <w:tcW w:w="1068" w:type="dxa"/>
            <w:vAlign w:val="center"/>
          </w:tcPr>
          <w:p w14:paraId="36EF7F04" w14:textId="77777777" w:rsidR="000417EF" w:rsidRPr="00425028" w:rsidRDefault="000417EF" w:rsidP="00B71E6B">
            <w:pPr>
              <w:rPr>
                <w:sz w:val="18"/>
                <w:szCs w:val="18"/>
              </w:rPr>
            </w:pPr>
            <w:r w:rsidRPr="00425028">
              <w:rPr>
                <w:sz w:val="18"/>
                <w:szCs w:val="18"/>
              </w:rPr>
              <w:t>Cohort</w:t>
            </w:r>
          </w:p>
        </w:tc>
        <w:tc>
          <w:tcPr>
            <w:tcW w:w="1621" w:type="dxa"/>
            <w:vAlign w:val="center"/>
          </w:tcPr>
          <w:p w14:paraId="1CE89971" w14:textId="77777777" w:rsidR="000417EF" w:rsidRPr="00425028" w:rsidRDefault="000417EF" w:rsidP="00B71E6B">
            <w:pPr>
              <w:rPr>
                <w:sz w:val="18"/>
                <w:szCs w:val="18"/>
              </w:rPr>
            </w:pPr>
            <w:r w:rsidRPr="00425028">
              <w:rPr>
                <w:sz w:val="18"/>
                <w:szCs w:val="18"/>
              </w:rPr>
              <w:t>Household type</w:t>
            </w:r>
          </w:p>
        </w:tc>
        <w:tc>
          <w:tcPr>
            <w:tcW w:w="1745" w:type="dxa"/>
            <w:vAlign w:val="center"/>
          </w:tcPr>
          <w:p w14:paraId="2253477D" w14:textId="77777777" w:rsidR="000417EF" w:rsidRPr="00425028" w:rsidRDefault="000417EF" w:rsidP="00B71E6B">
            <w:pPr>
              <w:rPr>
                <w:sz w:val="18"/>
                <w:szCs w:val="18"/>
              </w:rPr>
            </w:pPr>
            <w:r w:rsidRPr="00425028">
              <w:rPr>
                <w:sz w:val="18"/>
                <w:szCs w:val="18"/>
              </w:rPr>
              <w:t>Income type</w:t>
            </w:r>
          </w:p>
        </w:tc>
        <w:tc>
          <w:tcPr>
            <w:tcW w:w="1134" w:type="dxa"/>
          </w:tcPr>
          <w:p w14:paraId="6FEA4C2A" w14:textId="77777777" w:rsidR="000417EF" w:rsidRPr="00425028" w:rsidRDefault="000417EF" w:rsidP="00B71E6B">
            <w:pPr>
              <w:rPr>
                <w:sz w:val="18"/>
                <w:szCs w:val="18"/>
              </w:rPr>
            </w:pPr>
          </w:p>
          <w:p w14:paraId="0A78EB96" w14:textId="77777777" w:rsidR="000417EF" w:rsidRPr="00425028" w:rsidRDefault="000417EF" w:rsidP="00B71E6B">
            <w:pPr>
              <w:rPr>
                <w:sz w:val="18"/>
                <w:szCs w:val="18"/>
              </w:rPr>
            </w:pPr>
            <w:r w:rsidRPr="00425028">
              <w:rPr>
                <w:sz w:val="18"/>
                <w:szCs w:val="18"/>
              </w:rPr>
              <w:t>Max weekly rent</w:t>
            </w:r>
          </w:p>
        </w:tc>
        <w:tc>
          <w:tcPr>
            <w:tcW w:w="1434" w:type="dxa"/>
            <w:vAlign w:val="center"/>
          </w:tcPr>
          <w:p w14:paraId="5BF28493" w14:textId="77777777" w:rsidR="000417EF" w:rsidRPr="00425028" w:rsidRDefault="000417EF" w:rsidP="00B71E6B">
            <w:pPr>
              <w:rPr>
                <w:sz w:val="18"/>
                <w:szCs w:val="18"/>
              </w:rPr>
            </w:pPr>
            <w:r w:rsidRPr="00425028">
              <w:rPr>
                <w:sz w:val="18"/>
                <w:szCs w:val="18"/>
              </w:rPr>
              <w:t>Number affordable and appropriate</w:t>
            </w:r>
          </w:p>
        </w:tc>
        <w:tc>
          <w:tcPr>
            <w:tcW w:w="1475" w:type="dxa"/>
            <w:vAlign w:val="center"/>
          </w:tcPr>
          <w:p w14:paraId="01D4E641" w14:textId="77777777" w:rsidR="000417EF" w:rsidRPr="00425028" w:rsidRDefault="000417EF" w:rsidP="00B71E6B">
            <w:pPr>
              <w:rPr>
                <w:sz w:val="18"/>
                <w:szCs w:val="18"/>
                <w:lang w:val="en-US"/>
              </w:rPr>
            </w:pPr>
            <w:r w:rsidRPr="00425028">
              <w:rPr>
                <w:sz w:val="18"/>
                <w:szCs w:val="18"/>
                <w:lang w:val="en-US"/>
              </w:rPr>
              <w:t xml:space="preserve">Percentage affordable and appropriate </w:t>
            </w:r>
          </w:p>
        </w:tc>
        <w:tc>
          <w:tcPr>
            <w:tcW w:w="1233" w:type="dxa"/>
            <w:vAlign w:val="center"/>
          </w:tcPr>
          <w:p w14:paraId="5F91FFD6" w14:textId="77777777" w:rsidR="000417EF" w:rsidRPr="00425028" w:rsidRDefault="000417EF" w:rsidP="00B71E6B">
            <w:pPr>
              <w:rPr>
                <w:sz w:val="18"/>
                <w:szCs w:val="18"/>
                <w:lang w:val="en-US"/>
              </w:rPr>
            </w:pPr>
            <w:r w:rsidRPr="00425028">
              <w:rPr>
                <w:sz w:val="18"/>
                <w:szCs w:val="18"/>
                <w:lang w:val="en-US"/>
              </w:rPr>
              <w:t>Number by region</w:t>
            </w:r>
          </w:p>
        </w:tc>
      </w:tr>
      <w:tr w:rsidR="000417EF" w:rsidRPr="00425028" w14:paraId="22C23DD0" w14:textId="77777777" w:rsidTr="00F553AD">
        <w:trPr>
          <w:trHeight w:val="567"/>
        </w:trPr>
        <w:tc>
          <w:tcPr>
            <w:tcW w:w="1068" w:type="dxa"/>
            <w:vMerge w:val="restart"/>
            <w:vAlign w:val="center"/>
          </w:tcPr>
          <w:p w14:paraId="3CB30AD8" w14:textId="77777777" w:rsidR="000417EF" w:rsidRPr="00425028" w:rsidRDefault="000417EF" w:rsidP="00B71E6B">
            <w:pPr>
              <w:rPr>
                <w:sz w:val="18"/>
                <w:szCs w:val="18"/>
                <w:lang w:val="en-US"/>
              </w:rPr>
            </w:pPr>
            <w:r w:rsidRPr="00425028">
              <w:rPr>
                <w:sz w:val="18"/>
                <w:szCs w:val="18"/>
                <w:lang w:val="en-US"/>
              </w:rPr>
              <w:t>Young people</w:t>
            </w:r>
          </w:p>
        </w:tc>
        <w:tc>
          <w:tcPr>
            <w:tcW w:w="1621" w:type="dxa"/>
            <w:vAlign w:val="center"/>
          </w:tcPr>
          <w:p w14:paraId="3BB3C986" w14:textId="77777777" w:rsidR="000417EF" w:rsidRPr="00425028" w:rsidRDefault="000417EF" w:rsidP="00B71E6B">
            <w:pPr>
              <w:rPr>
                <w:sz w:val="18"/>
                <w:szCs w:val="18"/>
                <w:lang w:val="en-US"/>
              </w:rPr>
            </w:pPr>
            <w:r w:rsidRPr="00425028">
              <w:rPr>
                <w:sz w:val="18"/>
                <w:szCs w:val="18"/>
                <w:lang w:val="en-US"/>
              </w:rPr>
              <w:t>Single</w:t>
            </w:r>
          </w:p>
          <w:p w14:paraId="7B46F756" w14:textId="77777777" w:rsidR="000417EF" w:rsidRPr="00425028" w:rsidRDefault="000417EF" w:rsidP="00B71E6B">
            <w:pPr>
              <w:rPr>
                <w:sz w:val="18"/>
                <w:szCs w:val="18"/>
                <w:lang w:val="en-US"/>
              </w:rPr>
            </w:pPr>
            <w:r w:rsidRPr="00425028">
              <w:rPr>
                <w:sz w:val="18"/>
                <w:szCs w:val="18"/>
                <w:lang w:val="en-US"/>
              </w:rPr>
              <w:t>(18+)</w:t>
            </w:r>
          </w:p>
        </w:tc>
        <w:tc>
          <w:tcPr>
            <w:tcW w:w="1745" w:type="dxa"/>
            <w:vAlign w:val="center"/>
          </w:tcPr>
          <w:p w14:paraId="6C8BA064" w14:textId="77777777" w:rsidR="000417EF" w:rsidRPr="00425028" w:rsidRDefault="000417EF" w:rsidP="00B71E6B">
            <w:pPr>
              <w:rPr>
                <w:sz w:val="18"/>
                <w:szCs w:val="18"/>
                <w:lang w:val="en-US"/>
              </w:rPr>
            </w:pPr>
            <w:r w:rsidRPr="00425028">
              <w:rPr>
                <w:sz w:val="18"/>
                <w:szCs w:val="18"/>
                <w:lang w:val="en-US"/>
              </w:rPr>
              <w:t>Youth Allowance</w:t>
            </w:r>
          </w:p>
        </w:tc>
        <w:tc>
          <w:tcPr>
            <w:tcW w:w="1134" w:type="dxa"/>
            <w:shd w:val="clear" w:color="auto" w:fill="FFFFFF" w:themeFill="background1"/>
          </w:tcPr>
          <w:p w14:paraId="439509CC" w14:textId="77777777" w:rsidR="000417EF" w:rsidRPr="00425028" w:rsidRDefault="000417EF" w:rsidP="00B71E6B">
            <w:pPr>
              <w:rPr>
                <w:sz w:val="18"/>
                <w:szCs w:val="18"/>
                <w:lang w:val="en-US"/>
              </w:rPr>
            </w:pPr>
          </w:p>
          <w:p w14:paraId="47A5BF7C" w14:textId="77777777" w:rsidR="000417EF" w:rsidRPr="00425028" w:rsidRDefault="000417EF" w:rsidP="00B71E6B">
            <w:pPr>
              <w:rPr>
                <w:sz w:val="18"/>
                <w:szCs w:val="18"/>
                <w:lang w:val="en-US"/>
              </w:rPr>
            </w:pPr>
            <w:r w:rsidRPr="00425028">
              <w:rPr>
                <w:sz w:val="18"/>
                <w:szCs w:val="18"/>
                <w:lang w:val="en-US"/>
              </w:rPr>
              <w:t>$108</w:t>
            </w:r>
          </w:p>
        </w:tc>
        <w:tc>
          <w:tcPr>
            <w:tcW w:w="1434" w:type="dxa"/>
            <w:shd w:val="clear" w:color="auto" w:fill="FFFFFF" w:themeFill="background1"/>
            <w:vAlign w:val="center"/>
          </w:tcPr>
          <w:p w14:paraId="3CAFD2DC" w14:textId="77777777" w:rsidR="000417EF" w:rsidRPr="00425028" w:rsidRDefault="000417EF" w:rsidP="00B71E6B">
            <w:pPr>
              <w:rPr>
                <w:sz w:val="18"/>
                <w:szCs w:val="18"/>
                <w:lang w:val="en-US"/>
              </w:rPr>
            </w:pPr>
            <w:r w:rsidRPr="00425028">
              <w:rPr>
                <w:sz w:val="18"/>
                <w:szCs w:val="18"/>
                <w:lang w:val="en-US"/>
              </w:rPr>
              <w:t>0</w:t>
            </w:r>
          </w:p>
        </w:tc>
        <w:tc>
          <w:tcPr>
            <w:tcW w:w="1475" w:type="dxa"/>
            <w:shd w:val="clear" w:color="auto" w:fill="FFFFFF" w:themeFill="background1"/>
            <w:vAlign w:val="center"/>
          </w:tcPr>
          <w:p w14:paraId="40392175" w14:textId="77777777" w:rsidR="000417EF" w:rsidRPr="00425028" w:rsidRDefault="000417EF" w:rsidP="00B71E6B">
            <w:pPr>
              <w:rPr>
                <w:sz w:val="18"/>
                <w:szCs w:val="18"/>
                <w:lang w:val="en-US"/>
              </w:rPr>
            </w:pPr>
            <w:r w:rsidRPr="00425028">
              <w:rPr>
                <w:sz w:val="18"/>
                <w:szCs w:val="18"/>
                <w:lang w:val="en-US"/>
              </w:rPr>
              <w:t>0%</w:t>
            </w:r>
          </w:p>
        </w:tc>
        <w:tc>
          <w:tcPr>
            <w:tcW w:w="1233" w:type="dxa"/>
            <w:shd w:val="clear" w:color="auto" w:fill="FFFFFF" w:themeFill="background1"/>
            <w:vAlign w:val="center"/>
          </w:tcPr>
          <w:p w14:paraId="6AC54FAE" w14:textId="77777777" w:rsidR="000417EF" w:rsidRPr="00425028" w:rsidRDefault="000417EF" w:rsidP="00B71E6B">
            <w:pPr>
              <w:rPr>
                <w:sz w:val="18"/>
                <w:szCs w:val="18"/>
              </w:rPr>
            </w:pPr>
            <w:r w:rsidRPr="00425028">
              <w:rPr>
                <w:sz w:val="18"/>
                <w:szCs w:val="18"/>
              </w:rPr>
              <w:t>South:</w:t>
            </w:r>
            <w:r w:rsidRPr="0093171C">
              <w:rPr>
                <w:color w:val="ED0000"/>
                <w:sz w:val="18"/>
                <w:szCs w:val="18"/>
              </w:rPr>
              <w:t xml:space="preserve"> 0</w:t>
            </w:r>
          </w:p>
          <w:p w14:paraId="2E8EBFAC" w14:textId="77777777" w:rsidR="000417EF" w:rsidRPr="00425028" w:rsidRDefault="000417EF" w:rsidP="00B71E6B">
            <w:pPr>
              <w:rPr>
                <w:sz w:val="18"/>
                <w:szCs w:val="18"/>
              </w:rPr>
            </w:pPr>
            <w:r w:rsidRPr="00425028">
              <w:rPr>
                <w:sz w:val="18"/>
                <w:szCs w:val="18"/>
              </w:rPr>
              <w:t xml:space="preserve">North: </w:t>
            </w:r>
            <w:r w:rsidRPr="0093171C">
              <w:rPr>
                <w:color w:val="ED0000"/>
                <w:sz w:val="18"/>
                <w:szCs w:val="18"/>
              </w:rPr>
              <w:t>0</w:t>
            </w:r>
          </w:p>
          <w:p w14:paraId="355BEDE5" w14:textId="77777777" w:rsidR="000417EF" w:rsidRPr="00425028" w:rsidRDefault="000417EF" w:rsidP="00B71E6B">
            <w:pPr>
              <w:rPr>
                <w:sz w:val="18"/>
                <w:szCs w:val="18"/>
                <w:lang w:val="en-US"/>
              </w:rPr>
            </w:pPr>
            <w:r w:rsidRPr="00425028">
              <w:rPr>
                <w:sz w:val="18"/>
                <w:szCs w:val="18"/>
              </w:rPr>
              <w:t xml:space="preserve">North West: </w:t>
            </w:r>
            <w:r w:rsidRPr="0093171C">
              <w:rPr>
                <w:color w:val="ED0000"/>
                <w:sz w:val="18"/>
                <w:szCs w:val="18"/>
              </w:rPr>
              <w:t>0</w:t>
            </w:r>
          </w:p>
        </w:tc>
      </w:tr>
      <w:tr w:rsidR="000417EF" w:rsidRPr="00425028" w14:paraId="5EE571BD" w14:textId="77777777" w:rsidTr="00F553AD">
        <w:trPr>
          <w:trHeight w:val="567"/>
        </w:trPr>
        <w:tc>
          <w:tcPr>
            <w:tcW w:w="1068" w:type="dxa"/>
            <w:vMerge/>
            <w:vAlign w:val="center"/>
          </w:tcPr>
          <w:p w14:paraId="10CA2351" w14:textId="77777777" w:rsidR="000417EF" w:rsidRPr="00425028" w:rsidRDefault="000417EF" w:rsidP="00B71E6B">
            <w:pPr>
              <w:rPr>
                <w:sz w:val="18"/>
                <w:szCs w:val="18"/>
                <w:lang w:val="en-US"/>
              </w:rPr>
            </w:pPr>
          </w:p>
        </w:tc>
        <w:tc>
          <w:tcPr>
            <w:tcW w:w="1621" w:type="dxa"/>
            <w:vAlign w:val="center"/>
          </w:tcPr>
          <w:p w14:paraId="35B98A3B" w14:textId="77777777" w:rsidR="000417EF" w:rsidRPr="00425028" w:rsidRDefault="000417EF" w:rsidP="00B71E6B">
            <w:pPr>
              <w:rPr>
                <w:sz w:val="18"/>
                <w:szCs w:val="18"/>
                <w:lang w:val="en-US"/>
              </w:rPr>
            </w:pPr>
            <w:r w:rsidRPr="00425028">
              <w:rPr>
                <w:sz w:val="18"/>
                <w:szCs w:val="18"/>
                <w:lang w:val="en-US"/>
              </w:rPr>
              <w:t>Single</w:t>
            </w:r>
          </w:p>
          <w:p w14:paraId="29F8CEEE" w14:textId="77777777" w:rsidR="000417EF" w:rsidRPr="00425028" w:rsidRDefault="000417EF" w:rsidP="00B71E6B">
            <w:pPr>
              <w:rPr>
                <w:sz w:val="18"/>
                <w:szCs w:val="18"/>
                <w:lang w:val="en-US"/>
              </w:rPr>
            </w:pPr>
            <w:r w:rsidRPr="00425028">
              <w:rPr>
                <w:sz w:val="18"/>
                <w:szCs w:val="18"/>
                <w:lang w:val="en-US"/>
              </w:rPr>
              <w:t>(in a share house)</w:t>
            </w:r>
          </w:p>
        </w:tc>
        <w:tc>
          <w:tcPr>
            <w:tcW w:w="1745" w:type="dxa"/>
            <w:vAlign w:val="center"/>
          </w:tcPr>
          <w:p w14:paraId="49273D9A" w14:textId="77777777" w:rsidR="000417EF" w:rsidRPr="00425028" w:rsidRDefault="000417EF" w:rsidP="00B71E6B">
            <w:pPr>
              <w:rPr>
                <w:sz w:val="18"/>
                <w:szCs w:val="18"/>
                <w:lang w:val="en-US"/>
              </w:rPr>
            </w:pPr>
            <w:r w:rsidRPr="00425028">
              <w:rPr>
                <w:sz w:val="18"/>
                <w:szCs w:val="18"/>
                <w:lang w:val="en-US"/>
              </w:rPr>
              <w:t>Youth Allowance</w:t>
            </w:r>
          </w:p>
        </w:tc>
        <w:tc>
          <w:tcPr>
            <w:tcW w:w="1134" w:type="dxa"/>
            <w:shd w:val="clear" w:color="auto" w:fill="FFFFFF" w:themeFill="background1"/>
          </w:tcPr>
          <w:p w14:paraId="01731F2E" w14:textId="77777777" w:rsidR="000417EF" w:rsidRPr="00425028" w:rsidRDefault="000417EF" w:rsidP="00B71E6B">
            <w:pPr>
              <w:rPr>
                <w:sz w:val="18"/>
                <w:szCs w:val="18"/>
              </w:rPr>
            </w:pPr>
          </w:p>
          <w:p w14:paraId="387FE035" w14:textId="77777777" w:rsidR="000417EF" w:rsidRPr="00425028" w:rsidRDefault="000417EF" w:rsidP="00B71E6B">
            <w:pPr>
              <w:rPr>
                <w:sz w:val="18"/>
                <w:szCs w:val="18"/>
              </w:rPr>
            </w:pPr>
            <w:r w:rsidRPr="00425028">
              <w:rPr>
                <w:sz w:val="18"/>
                <w:szCs w:val="18"/>
              </w:rPr>
              <w:t>$108</w:t>
            </w:r>
          </w:p>
        </w:tc>
        <w:tc>
          <w:tcPr>
            <w:tcW w:w="1434" w:type="dxa"/>
            <w:shd w:val="clear" w:color="auto" w:fill="FFFFFF" w:themeFill="background1"/>
            <w:vAlign w:val="center"/>
          </w:tcPr>
          <w:p w14:paraId="1CC92973" w14:textId="77777777" w:rsidR="000417EF" w:rsidRPr="00425028" w:rsidRDefault="000417EF" w:rsidP="00B71E6B">
            <w:pPr>
              <w:rPr>
                <w:sz w:val="18"/>
                <w:szCs w:val="18"/>
              </w:rPr>
            </w:pPr>
            <w:r w:rsidRPr="00425028">
              <w:rPr>
                <w:sz w:val="18"/>
                <w:szCs w:val="18"/>
              </w:rPr>
              <w:t>0</w:t>
            </w:r>
          </w:p>
        </w:tc>
        <w:tc>
          <w:tcPr>
            <w:tcW w:w="1475" w:type="dxa"/>
            <w:shd w:val="clear" w:color="auto" w:fill="FFFFFF" w:themeFill="background1"/>
            <w:vAlign w:val="center"/>
          </w:tcPr>
          <w:p w14:paraId="6C47D7B3" w14:textId="77777777" w:rsidR="000417EF" w:rsidRPr="00425028" w:rsidRDefault="000417EF" w:rsidP="00B71E6B">
            <w:pPr>
              <w:rPr>
                <w:sz w:val="18"/>
                <w:szCs w:val="18"/>
              </w:rPr>
            </w:pPr>
            <w:r w:rsidRPr="00425028">
              <w:rPr>
                <w:sz w:val="18"/>
                <w:szCs w:val="18"/>
              </w:rPr>
              <w:t>0%</w:t>
            </w:r>
          </w:p>
        </w:tc>
        <w:tc>
          <w:tcPr>
            <w:tcW w:w="1233" w:type="dxa"/>
            <w:shd w:val="clear" w:color="auto" w:fill="FFFFFF" w:themeFill="background1"/>
            <w:vAlign w:val="center"/>
          </w:tcPr>
          <w:p w14:paraId="1B2ACD57" w14:textId="77777777" w:rsidR="000417EF" w:rsidRPr="00425028" w:rsidRDefault="000417EF" w:rsidP="00B71E6B">
            <w:pPr>
              <w:rPr>
                <w:sz w:val="18"/>
                <w:szCs w:val="18"/>
              </w:rPr>
            </w:pPr>
            <w:r w:rsidRPr="00425028">
              <w:rPr>
                <w:sz w:val="18"/>
                <w:szCs w:val="18"/>
              </w:rPr>
              <w:t xml:space="preserve">South: </w:t>
            </w:r>
            <w:r w:rsidRPr="0093171C">
              <w:rPr>
                <w:color w:val="ED0000"/>
                <w:sz w:val="18"/>
                <w:szCs w:val="18"/>
              </w:rPr>
              <w:t>0</w:t>
            </w:r>
          </w:p>
          <w:p w14:paraId="541437E1" w14:textId="77777777" w:rsidR="000417EF" w:rsidRPr="00425028" w:rsidRDefault="000417EF" w:rsidP="00B71E6B">
            <w:pPr>
              <w:rPr>
                <w:sz w:val="18"/>
                <w:szCs w:val="18"/>
              </w:rPr>
            </w:pPr>
            <w:r w:rsidRPr="00425028">
              <w:rPr>
                <w:sz w:val="18"/>
                <w:szCs w:val="18"/>
              </w:rPr>
              <w:t xml:space="preserve">North: </w:t>
            </w:r>
            <w:r w:rsidRPr="0093171C">
              <w:rPr>
                <w:color w:val="ED0000"/>
                <w:sz w:val="18"/>
                <w:szCs w:val="18"/>
              </w:rPr>
              <w:t>0</w:t>
            </w:r>
          </w:p>
          <w:p w14:paraId="26B09233" w14:textId="77777777" w:rsidR="000417EF" w:rsidRPr="00425028" w:rsidRDefault="000417EF" w:rsidP="00B71E6B">
            <w:pPr>
              <w:rPr>
                <w:sz w:val="18"/>
                <w:szCs w:val="18"/>
              </w:rPr>
            </w:pPr>
            <w:r w:rsidRPr="00425028">
              <w:rPr>
                <w:sz w:val="18"/>
                <w:szCs w:val="18"/>
              </w:rPr>
              <w:t xml:space="preserve">North West: </w:t>
            </w:r>
            <w:r w:rsidRPr="0093171C">
              <w:rPr>
                <w:color w:val="ED0000"/>
                <w:sz w:val="18"/>
                <w:szCs w:val="18"/>
              </w:rPr>
              <w:t>0</w:t>
            </w:r>
          </w:p>
        </w:tc>
      </w:tr>
      <w:tr w:rsidR="000417EF" w:rsidRPr="00425028" w14:paraId="1D9C457B" w14:textId="77777777" w:rsidTr="00F553AD">
        <w:trPr>
          <w:trHeight w:val="567"/>
        </w:trPr>
        <w:tc>
          <w:tcPr>
            <w:tcW w:w="1068" w:type="dxa"/>
            <w:vMerge w:val="restart"/>
            <w:vAlign w:val="center"/>
          </w:tcPr>
          <w:p w14:paraId="234936E1" w14:textId="77777777" w:rsidR="000417EF" w:rsidRPr="00425028" w:rsidRDefault="000417EF" w:rsidP="00B71E6B">
            <w:pPr>
              <w:rPr>
                <w:sz w:val="18"/>
                <w:szCs w:val="18"/>
                <w:lang w:val="en-US"/>
              </w:rPr>
            </w:pPr>
            <w:r w:rsidRPr="00425028">
              <w:rPr>
                <w:sz w:val="18"/>
                <w:szCs w:val="18"/>
                <w:lang w:val="en-US"/>
              </w:rPr>
              <w:t>Single adults</w:t>
            </w:r>
          </w:p>
        </w:tc>
        <w:tc>
          <w:tcPr>
            <w:tcW w:w="1621" w:type="dxa"/>
            <w:vAlign w:val="center"/>
          </w:tcPr>
          <w:p w14:paraId="4ACB19B3" w14:textId="77777777" w:rsidR="000417EF" w:rsidRPr="00425028" w:rsidRDefault="000417EF" w:rsidP="00B71E6B">
            <w:pPr>
              <w:rPr>
                <w:sz w:val="18"/>
                <w:szCs w:val="18"/>
                <w:lang w:val="en-US"/>
              </w:rPr>
            </w:pPr>
            <w:r w:rsidRPr="00425028">
              <w:rPr>
                <w:sz w:val="18"/>
                <w:szCs w:val="18"/>
                <w:lang w:val="en-US"/>
              </w:rPr>
              <w:t>Single</w:t>
            </w:r>
          </w:p>
        </w:tc>
        <w:tc>
          <w:tcPr>
            <w:tcW w:w="1745" w:type="dxa"/>
            <w:vAlign w:val="center"/>
          </w:tcPr>
          <w:p w14:paraId="6CA5B833" w14:textId="77777777" w:rsidR="000417EF" w:rsidRPr="00425028" w:rsidRDefault="000417EF" w:rsidP="00B71E6B">
            <w:pPr>
              <w:rPr>
                <w:sz w:val="18"/>
                <w:szCs w:val="18"/>
                <w:lang w:val="en-US"/>
              </w:rPr>
            </w:pPr>
            <w:r w:rsidRPr="00425028">
              <w:rPr>
                <w:sz w:val="18"/>
                <w:szCs w:val="18"/>
                <w:lang w:val="en-US"/>
              </w:rPr>
              <w:t>Jobseeker Payment</w:t>
            </w:r>
          </w:p>
        </w:tc>
        <w:tc>
          <w:tcPr>
            <w:tcW w:w="1134" w:type="dxa"/>
            <w:shd w:val="clear" w:color="auto" w:fill="FFFFFF" w:themeFill="background1"/>
          </w:tcPr>
          <w:p w14:paraId="2C986401" w14:textId="77777777" w:rsidR="000417EF" w:rsidRPr="00425028" w:rsidRDefault="000417EF" w:rsidP="00B71E6B">
            <w:pPr>
              <w:rPr>
                <w:sz w:val="18"/>
                <w:szCs w:val="18"/>
              </w:rPr>
            </w:pPr>
          </w:p>
          <w:p w14:paraId="6D414E5B" w14:textId="77777777" w:rsidR="000417EF" w:rsidRPr="00425028" w:rsidRDefault="000417EF" w:rsidP="00B71E6B">
            <w:pPr>
              <w:rPr>
                <w:sz w:val="18"/>
                <w:szCs w:val="18"/>
              </w:rPr>
            </w:pPr>
            <w:r w:rsidRPr="00425028">
              <w:rPr>
                <w:sz w:val="18"/>
                <w:szCs w:val="18"/>
              </w:rPr>
              <w:t>$131</w:t>
            </w:r>
          </w:p>
        </w:tc>
        <w:tc>
          <w:tcPr>
            <w:tcW w:w="1434" w:type="dxa"/>
            <w:shd w:val="clear" w:color="auto" w:fill="FFFFFF" w:themeFill="background1"/>
            <w:vAlign w:val="center"/>
          </w:tcPr>
          <w:p w14:paraId="7D67EAA5" w14:textId="77777777" w:rsidR="000417EF" w:rsidRPr="00425028" w:rsidRDefault="000417EF" w:rsidP="00B71E6B">
            <w:pPr>
              <w:rPr>
                <w:sz w:val="18"/>
                <w:szCs w:val="18"/>
              </w:rPr>
            </w:pPr>
            <w:r w:rsidRPr="00425028">
              <w:rPr>
                <w:sz w:val="18"/>
                <w:szCs w:val="18"/>
              </w:rPr>
              <w:t>1</w:t>
            </w:r>
          </w:p>
        </w:tc>
        <w:tc>
          <w:tcPr>
            <w:tcW w:w="1475" w:type="dxa"/>
            <w:shd w:val="clear" w:color="auto" w:fill="FFFFFF" w:themeFill="background1"/>
            <w:vAlign w:val="center"/>
          </w:tcPr>
          <w:p w14:paraId="16A1CA3C" w14:textId="77777777" w:rsidR="000417EF" w:rsidRPr="00425028" w:rsidRDefault="000417EF" w:rsidP="00B71E6B">
            <w:pPr>
              <w:rPr>
                <w:sz w:val="18"/>
                <w:szCs w:val="18"/>
              </w:rPr>
            </w:pPr>
            <w:r w:rsidRPr="00425028">
              <w:rPr>
                <w:sz w:val="18"/>
                <w:szCs w:val="18"/>
              </w:rPr>
              <w:t>0%</w:t>
            </w:r>
          </w:p>
        </w:tc>
        <w:tc>
          <w:tcPr>
            <w:tcW w:w="1233" w:type="dxa"/>
            <w:shd w:val="clear" w:color="auto" w:fill="FFFFFF" w:themeFill="background1"/>
            <w:vAlign w:val="center"/>
          </w:tcPr>
          <w:p w14:paraId="57D810E0" w14:textId="77777777" w:rsidR="000417EF" w:rsidRPr="00425028" w:rsidRDefault="000417EF" w:rsidP="00B71E6B">
            <w:pPr>
              <w:rPr>
                <w:sz w:val="18"/>
                <w:szCs w:val="18"/>
              </w:rPr>
            </w:pPr>
            <w:r w:rsidRPr="00425028">
              <w:rPr>
                <w:sz w:val="18"/>
                <w:szCs w:val="18"/>
              </w:rPr>
              <w:t>South: 1</w:t>
            </w:r>
          </w:p>
          <w:p w14:paraId="170C3A3E" w14:textId="77777777" w:rsidR="000417EF" w:rsidRPr="00425028" w:rsidRDefault="000417EF" w:rsidP="00B71E6B">
            <w:pPr>
              <w:rPr>
                <w:sz w:val="18"/>
                <w:szCs w:val="18"/>
              </w:rPr>
            </w:pPr>
            <w:r w:rsidRPr="00425028">
              <w:rPr>
                <w:sz w:val="18"/>
                <w:szCs w:val="18"/>
              </w:rPr>
              <w:t xml:space="preserve">North: </w:t>
            </w:r>
            <w:r w:rsidRPr="0093171C">
              <w:rPr>
                <w:color w:val="ED0000"/>
                <w:sz w:val="18"/>
                <w:szCs w:val="18"/>
              </w:rPr>
              <w:t>0</w:t>
            </w:r>
          </w:p>
          <w:p w14:paraId="4B232055" w14:textId="77777777" w:rsidR="000417EF" w:rsidRPr="00425028" w:rsidRDefault="000417EF" w:rsidP="00B71E6B">
            <w:pPr>
              <w:rPr>
                <w:sz w:val="18"/>
                <w:szCs w:val="18"/>
              </w:rPr>
            </w:pPr>
            <w:r w:rsidRPr="00425028">
              <w:rPr>
                <w:sz w:val="18"/>
                <w:szCs w:val="18"/>
              </w:rPr>
              <w:t xml:space="preserve">North West: </w:t>
            </w:r>
            <w:r w:rsidRPr="0093171C">
              <w:rPr>
                <w:color w:val="ED0000"/>
                <w:sz w:val="18"/>
                <w:szCs w:val="18"/>
              </w:rPr>
              <w:t>0</w:t>
            </w:r>
          </w:p>
        </w:tc>
      </w:tr>
      <w:tr w:rsidR="000417EF" w:rsidRPr="00425028" w14:paraId="6B4173FE" w14:textId="77777777" w:rsidTr="00F553AD">
        <w:trPr>
          <w:trHeight w:val="567"/>
        </w:trPr>
        <w:tc>
          <w:tcPr>
            <w:tcW w:w="1068" w:type="dxa"/>
            <w:vMerge/>
            <w:vAlign w:val="center"/>
          </w:tcPr>
          <w:p w14:paraId="0F22490B" w14:textId="77777777" w:rsidR="000417EF" w:rsidRPr="00425028" w:rsidRDefault="000417EF" w:rsidP="00B71E6B">
            <w:pPr>
              <w:rPr>
                <w:sz w:val="18"/>
                <w:szCs w:val="18"/>
                <w:lang w:val="en-US"/>
              </w:rPr>
            </w:pPr>
          </w:p>
        </w:tc>
        <w:tc>
          <w:tcPr>
            <w:tcW w:w="1621" w:type="dxa"/>
            <w:vAlign w:val="center"/>
          </w:tcPr>
          <w:p w14:paraId="3158D7CE" w14:textId="77777777" w:rsidR="000417EF" w:rsidRPr="00425028" w:rsidRDefault="000417EF" w:rsidP="00B71E6B">
            <w:pPr>
              <w:rPr>
                <w:sz w:val="18"/>
                <w:szCs w:val="18"/>
                <w:lang w:val="en-US"/>
              </w:rPr>
            </w:pPr>
            <w:r w:rsidRPr="00425028">
              <w:rPr>
                <w:sz w:val="18"/>
                <w:szCs w:val="18"/>
                <w:lang w:val="en-US"/>
              </w:rPr>
              <w:t>Single</w:t>
            </w:r>
          </w:p>
          <w:p w14:paraId="385BC524" w14:textId="77777777" w:rsidR="000417EF" w:rsidRPr="00425028" w:rsidRDefault="000417EF" w:rsidP="00B71E6B">
            <w:pPr>
              <w:rPr>
                <w:sz w:val="18"/>
                <w:szCs w:val="18"/>
                <w:lang w:val="en-US"/>
              </w:rPr>
            </w:pPr>
            <w:r w:rsidRPr="00425028">
              <w:rPr>
                <w:sz w:val="18"/>
                <w:szCs w:val="18"/>
                <w:lang w:val="en-US"/>
              </w:rPr>
              <w:t>(21+)</w:t>
            </w:r>
          </w:p>
        </w:tc>
        <w:tc>
          <w:tcPr>
            <w:tcW w:w="1745" w:type="dxa"/>
            <w:vAlign w:val="center"/>
          </w:tcPr>
          <w:p w14:paraId="33A6BE9C" w14:textId="77777777" w:rsidR="000417EF" w:rsidRPr="00425028" w:rsidRDefault="000417EF" w:rsidP="00B71E6B">
            <w:pPr>
              <w:rPr>
                <w:sz w:val="18"/>
                <w:szCs w:val="18"/>
                <w:lang w:val="en-US"/>
              </w:rPr>
            </w:pPr>
            <w:r w:rsidRPr="00425028">
              <w:rPr>
                <w:sz w:val="18"/>
                <w:szCs w:val="18"/>
                <w:lang w:val="en-US"/>
              </w:rPr>
              <w:t>Disability Support Pension</w:t>
            </w:r>
          </w:p>
        </w:tc>
        <w:tc>
          <w:tcPr>
            <w:tcW w:w="1134" w:type="dxa"/>
            <w:shd w:val="clear" w:color="auto" w:fill="FFFFFF" w:themeFill="background1"/>
          </w:tcPr>
          <w:p w14:paraId="1EEB39EB" w14:textId="77777777" w:rsidR="000417EF" w:rsidRPr="00425028" w:rsidRDefault="000417EF" w:rsidP="00B71E6B">
            <w:pPr>
              <w:rPr>
                <w:sz w:val="18"/>
                <w:szCs w:val="18"/>
              </w:rPr>
            </w:pPr>
          </w:p>
          <w:p w14:paraId="4119BEA5" w14:textId="77777777" w:rsidR="000417EF" w:rsidRPr="00425028" w:rsidRDefault="000417EF" w:rsidP="00B71E6B">
            <w:pPr>
              <w:rPr>
                <w:sz w:val="18"/>
                <w:szCs w:val="18"/>
              </w:rPr>
            </w:pPr>
            <w:r w:rsidRPr="00425028">
              <w:rPr>
                <w:sz w:val="18"/>
                <w:szCs w:val="18"/>
              </w:rPr>
              <w:t>$201</w:t>
            </w:r>
          </w:p>
        </w:tc>
        <w:tc>
          <w:tcPr>
            <w:tcW w:w="1434" w:type="dxa"/>
            <w:shd w:val="clear" w:color="auto" w:fill="FFFFFF" w:themeFill="background1"/>
            <w:vAlign w:val="center"/>
          </w:tcPr>
          <w:p w14:paraId="13B3845B" w14:textId="77777777" w:rsidR="000417EF" w:rsidRPr="00425028" w:rsidRDefault="000417EF" w:rsidP="00B71E6B">
            <w:pPr>
              <w:rPr>
                <w:sz w:val="18"/>
                <w:szCs w:val="18"/>
              </w:rPr>
            </w:pPr>
            <w:r w:rsidRPr="00425028">
              <w:rPr>
                <w:sz w:val="18"/>
                <w:szCs w:val="18"/>
              </w:rPr>
              <w:t>2</w:t>
            </w:r>
          </w:p>
        </w:tc>
        <w:tc>
          <w:tcPr>
            <w:tcW w:w="1475" w:type="dxa"/>
            <w:shd w:val="clear" w:color="auto" w:fill="FFFFFF" w:themeFill="background1"/>
            <w:vAlign w:val="center"/>
          </w:tcPr>
          <w:p w14:paraId="68E94450" w14:textId="77777777" w:rsidR="000417EF" w:rsidRPr="00425028" w:rsidRDefault="000417EF" w:rsidP="00B71E6B">
            <w:pPr>
              <w:rPr>
                <w:sz w:val="18"/>
                <w:szCs w:val="18"/>
              </w:rPr>
            </w:pPr>
            <w:r w:rsidRPr="00425028">
              <w:rPr>
                <w:sz w:val="18"/>
                <w:szCs w:val="18"/>
              </w:rPr>
              <w:t>0%</w:t>
            </w:r>
          </w:p>
        </w:tc>
        <w:tc>
          <w:tcPr>
            <w:tcW w:w="1233" w:type="dxa"/>
            <w:shd w:val="clear" w:color="auto" w:fill="FFFFFF" w:themeFill="background1"/>
            <w:vAlign w:val="center"/>
          </w:tcPr>
          <w:p w14:paraId="57EEA62D" w14:textId="77777777" w:rsidR="000417EF" w:rsidRPr="00425028" w:rsidRDefault="000417EF" w:rsidP="00B71E6B">
            <w:pPr>
              <w:rPr>
                <w:sz w:val="18"/>
                <w:szCs w:val="18"/>
              </w:rPr>
            </w:pPr>
            <w:r w:rsidRPr="00425028">
              <w:rPr>
                <w:sz w:val="18"/>
                <w:szCs w:val="18"/>
              </w:rPr>
              <w:t xml:space="preserve">South: </w:t>
            </w:r>
            <w:r w:rsidRPr="0093171C">
              <w:rPr>
                <w:color w:val="ED0000"/>
                <w:sz w:val="18"/>
                <w:szCs w:val="18"/>
              </w:rPr>
              <w:t>0</w:t>
            </w:r>
          </w:p>
          <w:p w14:paraId="7969E283" w14:textId="77777777" w:rsidR="000417EF" w:rsidRPr="00425028" w:rsidRDefault="000417EF" w:rsidP="00B71E6B">
            <w:pPr>
              <w:rPr>
                <w:color w:val="FF0000"/>
                <w:sz w:val="18"/>
                <w:szCs w:val="18"/>
              </w:rPr>
            </w:pPr>
            <w:r w:rsidRPr="00425028">
              <w:rPr>
                <w:sz w:val="18"/>
                <w:szCs w:val="18"/>
              </w:rPr>
              <w:t>North: 2</w:t>
            </w:r>
          </w:p>
          <w:p w14:paraId="6E23B772" w14:textId="77777777" w:rsidR="000417EF" w:rsidRPr="00425028" w:rsidRDefault="000417EF" w:rsidP="00B71E6B">
            <w:pPr>
              <w:rPr>
                <w:sz w:val="18"/>
                <w:szCs w:val="18"/>
              </w:rPr>
            </w:pPr>
            <w:r w:rsidRPr="00425028">
              <w:rPr>
                <w:sz w:val="18"/>
                <w:szCs w:val="18"/>
              </w:rPr>
              <w:t xml:space="preserve">North West: </w:t>
            </w:r>
            <w:r w:rsidRPr="0093171C">
              <w:rPr>
                <w:color w:val="ED0000"/>
                <w:sz w:val="18"/>
                <w:szCs w:val="18"/>
              </w:rPr>
              <w:t>0</w:t>
            </w:r>
          </w:p>
        </w:tc>
      </w:tr>
      <w:tr w:rsidR="000417EF" w:rsidRPr="00425028" w14:paraId="7EF2E278" w14:textId="77777777" w:rsidTr="00F553AD">
        <w:trPr>
          <w:trHeight w:val="567"/>
        </w:trPr>
        <w:tc>
          <w:tcPr>
            <w:tcW w:w="1068" w:type="dxa"/>
            <w:vMerge/>
            <w:vAlign w:val="center"/>
          </w:tcPr>
          <w:p w14:paraId="490BC08C" w14:textId="77777777" w:rsidR="000417EF" w:rsidRPr="00425028" w:rsidRDefault="000417EF" w:rsidP="00B71E6B">
            <w:pPr>
              <w:rPr>
                <w:sz w:val="18"/>
                <w:szCs w:val="18"/>
                <w:lang w:val="en-US"/>
              </w:rPr>
            </w:pPr>
          </w:p>
        </w:tc>
        <w:tc>
          <w:tcPr>
            <w:tcW w:w="1621" w:type="dxa"/>
            <w:vAlign w:val="center"/>
          </w:tcPr>
          <w:p w14:paraId="62E69CA4" w14:textId="77777777" w:rsidR="000417EF" w:rsidRPr="00425028" w:rsidRDefault="000417EF" w:rsidP="00B71E6B">
            <w:pPr>
              <w:rPr>
                <w:sz w:val="18"/>
                <w:szCs w:val="18"/>
                <w:lang w:val="en-US"/>
              </w:rPr>
            </w:pPr>
            <w:r w:rsidRPr="00425028">
              <w:rPr>
                <w:sz w:val="18"/>
                <w:szCs w:val="18"/>
                <w:lang w:val="en-US"/>
              </w:rPr>
              <w:t>Single</w:t>
            </w:r>
          </w:p>
        </w:tc>
        <w:tc>
          <w:tcPr>
            <w:tcW w:w="1745" w:type="dxa"/>
            <w:vAlign w:val="center"/>
          </w:tcPr>
          <w:p w14:paraId="44141AFE" w14:textId="77777777" w:rsidR="000417EF" w:rsidRPr="00425028" w:rsidRDefault="000417EF" w:rsidP="00B71E6B">
            <w:pPr>
              <w:rPr>
                <w:sz w:val="18"/>
                <w:szCs w:val="18"/>
                <w:lang w:val="en-US"/>
              </w:rPr>
            </w:pPr>
            <w:r w:rsidRPr="00425028">
              <w:rPr>
                <w:sz w:val="18"/>
                <w:szCs w:val="18"/>
                <w:lang w:val="en-US"/>
              </w:rPr>
              <w:t>Minimum wage</w:t>
            </w:r>
          </w:p>
        </w:tc>
        <w:tc>
          <w:tcPr>
            <w:tcW w:w="1134" w:type="dxa"/>
            <w:shd w:val="clear" w:color="auto" w:fill="FFFFFF" w:themeFill="background1"/>
          </w:tcPr>
          <w:p w14:paraId="525C4CD4" w14:textId="77777777" w:rsidR="000417EF" w:rsidRPr="00425028" w:rsidRDefault="000417EF" w:rsidP="00B71E6B">
            <w:pPr>
              <w:rPr>
                <w:sz w:val="18"/>
                <w:szCs w:val="18"/>
              </w:rPr>
            </w:pPr>
          </w:p>
          <w:p w14:paraId="39FC3097" w14:textId="77777777" w:rsidR="000417EF" w:rsidRPr="00425028" w:rsidRDefault="000417EF" w:rsidP="00B71E6B">
            <w:pPr>
              <w:rPr>
                <w:sz w:val="18"/>
                <w:szCs w:val="18"/>
              </w:rPr>
            </w:pPr>
            <w:r w:rsidRPr="00425028">
              <w:rPr>
                <w:sz w:val="18"/>
                <w:szCs w:val="18"/>
              </w:rPr>
              <w:t>$240</w:t>
            </w:r>
          </w:p>
        </w:tc>
        <w:tc>
          <w:tcPr>
            <w:tcW w:w="1434" w:type="dxa"/>
            <w:shd w:val="clear" w:color="auto" w:fill="FFFFFF" w:themeFill="background1"/>
            <w:vAlign w:val="center"/>
          </w:tcPr>
          <w:p w14:paraId="1AE0E6F3" w14:textId="77777777" w:rsidR="000417EF" w:rsidRPr="00425028" w:rsidRDefault="000417EF" w:rsidP="00B71E6B">
            <w:pPr>
              <w:rPr>
                <w:sz w:val="18"/>
                <w:szCs w:val="18"/>
              </w:rPr>
            </w:pPr>
            <w:r w:rsidRPr="00425028">
              <w:rPr>
                <w:sz w:val="18"/>
                <w:szCs w:val="18"/>
              </w:rPr>
              <w:t>96</w:t>
            </w:r>
          </w:p>
        </w:tc>
        <w:tc>
          <w:tcPr>
            <w:tcW w:w="1475" w:type="dxa"/>
            <w:shd w:val="clear" w:color="auto" w:fill="FFFFFF" w:themeFill="background1"/>
            <w:vAlign w:val="center"/>
          </w:tcPr>
          <w:p w14:paraId="4108C6CD" w14:textId="77777777" w:rsidR="000417EF" w:rsidRPr="00425028" w:rsidRDefault="000417EF" w:rsidP="00B71E6B">
            <w:pPr>
              <w:rPr>
                <w:sz w:val="18"/>
                <w:szCs w:val="18"/>
              </w:rPr>
            </w:pPr>
            <w:r w:rsidRPr="00425028">
              <w:rPr>
                <w:sz w:val="18"/>
                <w:szCs w:val="18"/>
              </w:rPr>
              <w:t>11%</w:t>
            </w:r>
          </w:p>
        </w:tc>
        <w:tc>
          <w:tcPr>
            <w:tcW w:w="1233" w:type="dxa"/>
            <w:shd w:val="clear" w:color="auto" w:fill="FFFFFF" w:themeFill="background1"/>
            <w:vAlign w:val="center"/>
          </w:tcPr>
          <w:p w14:paraId="08BF8E1A" w14:textId="77777777" w:rsidR="000417EF" w:rsidRPr="00425028" w:rsidRDefault="000417EF" w:rsidP="00B71E6B">
            <w:pPr>
              <w:rPr>
                <w:sz w:val="18"/>
                <w:szCs w:val="18"/>
              </w:rPr>
            </w:pPr>
            <w:r w:rsidRPr="00425028">
              <w:rPr>
                <w:sz w:val="18"/>
                <w:szCs w:val="18"/>
              </w:rPr>
              <w:t>South: 69</w:t>
            </w:r>
          </w:p>
          <w:p w14:paraId="37BB36F0" w14:textId="77777777" w:rsidR="000417EF" w:rsidRPr="00425028" w:rsidRDefault="000417EF" w:rsidP="00B71E6B">
            <w:pPr>
              <w:rPr>
                <w:sz w:val="18"/>
                <w:szCs w:val="18"/>
              </w:rPr>
            </w:pPr>
            <w:r w:rsidRPr="00425028">
              <w:rPr>
                <w:sz w:val="18"/>
                <w:szCs w:val="18"/>
              </w:rPr>
              <w:t>North: 18</w:t>
            </w:r>
          </w:p>
          <w:p w14:paraId="24377792" w14:textId="77777777" w:rsidR="000417EF" w:rsidRPr="00425028" w:rsidRDefault="000417EF" w:rsidP="00B71E6B">
            <w:pPr>
              <w:rPr>
                <w:sz w:val="18"/>
                <w:szCs w:val="18"/>
              </w:rPr>
            </w:pPr>
            <w:r w:rsidRPr="00425028">
              <w:rPr>
                <w:sz w:val="18"/>
                <w:szCs w:val="18"/>
              </w:rPr>
              <w:t>North West: 9</w:t>
            </w:r>
          </w:p>
        </w:tc>
      </w:tr>
      <w:tr w:rsidR="000417EF" w:rsidRPr="00425028" w14:paraId="553F5B1C" w14:textId="77777777" w:rsidTr="00F553AD">
        <w:trPr>
          <w:trHeight w:val="567"/>
        </w:trPr>
        <w:tc>
          <w:tcPr>
            <w:tcW w:w="1068" w:type="dxa"/>
            <w:vMerge w:val="restart"/>
            <w:vAlign w:val="center"/>
          </w:tcPr>
          <w:p w14:paraId="46E70BE8" w14:textId="77777777" w:rsidR="000417EF" w:rsidRPr="00425028" w:rsidRDefault="000417EF" w:rsidP="00B71E6B">
            <w:pPr>
              <w:rPr>
                <w:sz w:val="18"/>
                <w:szCs w:val="18"/>
                <w:lang w:val="en-US"/>
              </w:rPr>
            </w:pPr>
            <w:r w:rsidRPr="00425028">
              <w:rPr>
                <w:sz w:val="18"/>
                <w:szCs w:val="18"/>
                <w:lang w:val="en-US"/>
              </w:rPr>
              <w:t>Older people</w:t>
            </w:r>
          </w:p>
        </w:tc>
        <w:tc>
          <w:tcPr>
            <w:tcW w:w="1621" w:type="dxa"/>
            <w:vAlign w:val="center"/>
          </w:tcPr>
          <w:p w14:paraId="28C095EE" w14:textId="77777777" w:rsidR="000417EF" w:rsidRPr="00425028" w:rsidRDefault="000417EF" w:rsidP="00B71E6B">
            <w:pPr>
              <w:rPr>
                <w:sz w:val="18"/>
                <w:szCs w:val="18"/>
                <w:lang w:val="en-US"/>
              </w:rPr>
            </w:pPr>
            <w:r w:rsidRPr="00425028">
              <w:rPr>
                <w:sz w:val="18"/>
                <w:szCs w:val="18"/>
                <w:lang w:val="en-US"/>
              </w:rPr>
              <w:t>Single</w:t>
            </w:r>
          </w:p>
        </w:tc>
        <w:tc>
          <w:tcPr>
            <w:tcW w:w="1745" w:type="dxa"/>
            <w:vAlign w:val="center"/>
          </w:tcPr>
          <w:p w14:paraId="7F448C58" w14:textId="77777777" w:rsidR="000417EF" w:rsidRPr="00425028" w:rsidRDefault="000417EF" w:rsidP="00B71E6B">
            <w:pPr>
              <w:rPr>
                <w:sz w:val="18"/>
                <w:szCs w:val="18"/>
                <w:lang w:val="en-US"/>
              </w:rPr>
            </w:pPr>
            <w:r w:rsidRPr="00425028">
              <w:rPr>
                <w:sz w:val="18"/>
                <w:szCs w:val="18"/>
                <w:lang w:val="en-US"/>
              </w:rPr>
              <w:t>Age Pension</w:t>
            </w:r>
          </w:p>
        </w:tc>
        <w:tc>
          <w:tcPr>
            <w:tcW w:w="1134" w:type="dxa"/>
            <w:shd w:val="clear" w:color="auto" w:fill="FFFFFF" w:themeFill="background1"/>
          </w:tcPr>
          <w:p w14:paraId="03C917B7" w14:textId="77777777" w:rsidR="000417EF" w:rsidRPr="00425028" w:rsidRDefault="000417EF" w:rsidP="00B71E6B">
            <w:pPr>
              <w:rPr>
                <w:sz w:val="18"/>
                <w:szCs w:val="18"/>
              </w:rPr>
            </w:pPr>
          </w:p>
          <w:p w14:paraId="549F71D0" w14:textId="77777777" w:rsidR="000417EF" w:rsidRPr="00425028" w:rsidRDefault="000417EF" w:rsidP="00B71E6B">
            <w:pPr>
              <w:rPr>
                <w:sz w:val="18"/>
                <w:szCs w:val="18"/>
              </w:rPr>
            </w:pPr>
            <w:r w:rsidRPr="00425028">
              <w:rPr>
                <w:sz w:val="18"/>
                <w:szCs w:val="18"/>
              </w:rPr>
              <w:t>$201</w:t>
            </w:r>
          </w:p>
        </w:tc>
        <w:tc>
          <w:tcPr>
            <w:tcW w:w="1434" w:type="dxa"/>
            <w:shd w:val="clear" w:color="auto" w:fill="FFFFFF" w:themeFill="background1"/>
            <w:vAlign w:val="center"/>
          </w:tcPr>
          <w:p w14:paraId="03DE2A75" w14:textId="77777777" w:rsidR="000417EF" w:rsidRPr="00425028" w:rsidRDefault="000417EF" w:rsidP="00B71E6B">
            <w:pPr>
              <w:rPr>
                <w:sz w:val="18"/>
                <w:szCs w:val="18"/>
              </w:rPr>
            </w:pPr>
            <w:r w:rsidRPr="00425028">
              <w:rPr>
                <w:sz w:val="18"/>
                <w:szCs w:val="18"/>
              </w:rPr>
              <w:t>56</w:t>
            </w:r>
          </w:p>
        </w:tc>
        <w:tc>
          <w:tcPr>
            <w:tcW w:w="1475" w:type="dxa"/>
            <w:shd w:val="clear" w:color="auto" w:fill="FFFFFF" w:themeFill="background1"/>
            <w:vAlign w:val="center"/>
          </w:tcPr>
          <w:p w14:paraId="7D0F8193" w14:textId="77777777" w:rsidR="000417EF" w:rsidRPr="00425028" w:rsidRDefault="000417EF" w:rsidP="00B71E6B">
            <w:pPr>
              <w:rPr>
                <w:sz w:val="18"/>
                <w:szCs w:val="18"/>
              </w:rPr>
            </w:pPr>
            <w:r w:rsidRPr="00425028">
              <w:rPr>
                <w:sz w:val="18"/>
                <w:szCs w:val="18"/>
              </w:rPr>
              <w:t>7%</w:t>
            </w:r>
          </w:p>
        </w:tc>
        <w:tc>
          <w:tcPr>
            <w:tcW w:w="1233" w:type="dxa"/>
            <w:shd w:val="clear" w:color="auto" w:fill="FFFFFF" w:themeFill="background1"/>
            <w:vAlign w:val="center"/>
          </w:tcPr>
          <w:p w14:paraId="56EAD1A6" w14:textId="77777777" w:rsidR="000417EF" w:rsidRPr="00425028" w:rsidRDefault="000417EF" w:rsidP="00B71E6B">
            <w:pPr>
              <w:rPr>
                <w:sz w:val="18"/>
                <w:szCs w:val="18"/>
              </w:rPr>
            </w:pPr>
            <w:r w:rsidRPr="00425028">
              <w:rPr>
                <w:sz w:val="18"/>
                <w:szCs w:val="18"/>
              </w:rPr>
              <w:t>South: 36</w:t>
            </w:r>
          </w:p>
          <w:p w14:paraId="0979A0DA" w14:textId="77777777" w:rsidR="000417EF" w:rsidRPr="00425028" w:rsidRDefault="000417EF" w:rsidP="00B71E6B">
            <w:pPr>
              <w:rPr>
                <w:sz w:val="18"/>
                <w:szCs w:val="18"/>
              </w:rPr>
            </w:pPr>
            <w:r w:rsidRPr="00425028">
              <w:rPr>
                <w:sz w:val="18"/>
                <w:szCs w:val="18"/>
              </w:rPr>
              <w:t>North: 11</w:t>
            </w:r>
          </w:p>
          <w:p w14:paraId="1A1C92FB" w14:textId="77777777" w:rsidR="000417EF" w:rsidRPr="00425028" w:rsidRDefault="000417EF" w:rsidP="00B71E6B">
            <w:pPr>
              <w:rPr>
                <w:sz w:val="18"/>
                <w:szCs w:val="18"/>
              </w:rPr>
            </w:pPr>
            <w:r w:rsidRPr="00425028">
              <w:rPr>
                <w:sz w:val="18"/>
                <w:szCs w:val="18"/>
              </w:rPr>
              <w:t>North West: 9</w:t>
            </w:r>
          </w:p>
        </w:tc>
      </w:tr>
      <w:tr w:rsidR="000417EF" w:rsidRPr="00425028" w14:paraId="400DCD46" w14:textId="77777777" w:rsidTr="00F553AD">
        <w:trPr>
          <w:trHeight w:val="567"/>
        </w:trPr>
        <w:tc>
          <w:tcPr>
            <w:tcW w:w="1068" w:type="dxa"/>
            <w:vMerge/>
            <w:vAlign w:val="center"/>
          </w:tcPr>
          <w:p w14:paraId="7A97164A" w14:textId="77777777" w:rsidR="000417EF" w:rsidRPr="00425028" w:rsidRDefault="000417EF" w:rsidP="00B71E6B">
            <w:pPr>
              <w:rPr>
                <w:sz w:val="18"/>
                <w:szCs w:val="18"/>
                <w:lang w:val="en-US"/>
              </w:rPr>
            </w:pPr>
          </w:p>
        </w:tc>
        <w:tc>
          <w:tcPr>
            <w:tcW w:w="1621" w:type="dxa"/>
            <w:vAlign w:val="center"/>
          </w:tcPr>
          <w:p w14:paraId="113EFBEA" w14:textId="77777777" w:rsidR="000417EF" w:rsidRPr="00425028" w:rsidRDefault="000417EF" w:rsidP="00B71E6B">
            <w:pPr>
              <w:rPr>
                <w:sz w:val="18"/>
                <w:szCs w:val="18"/>
                <w:lang w:val="en-US"/>
              </w:rPr>
            </w:pPr>
            <w:r w:rsidRPr="00425028">
              <w:rPr>
                <w:sz w:val="18"/>
                <w:szCs w:val="18"/>
                <w:lang w:val="en-US"/>
              </w:rPr>
              <w:t>Couple</w:t>
            </w:r>
          </w:p>
          <w:p w14:paraId="3852EA31" w14:textId="77777777" w:rsidR="000417EF" w:rsidRPr="00425028" w:rsidRDefault="000417EF" w:rsidP="00B71E6B">
            <w:pPr>
              <w:rPr>
                <w:sz w:val="18"/>
                <w:szCs w:val="18"/>
                <w:lang w:val="en-US"/>
              </w:rPr>
            </w:pPr>
            <w:r w:rsidRPr="00425028">
              <w:rPr>
                <w:sz w:val="18"/>
                <w:szCs w:val="18"/>
                <w:lang w:val="en-US"/>
              </w:rPr>
              <w:t>(no children)</w:t>
            </w:r>
          </w:p>
        </w:tc>
        <w:tc>
          <w:tcPr>
            <w:tcW w:w="1745" w:type="dxa"/>
            <w:vAlign w:val="center"/>
          </w:tcPr>
          <w:p w14:paraId="5FEF3DC1" w14:textId="77777777" w:rsidR="000417EF" w:rsidRPr="00425028" w:rsidRDefault="000417EF" w:rsidP="00B71E6B">
            <w:pPr>
              <w:rPr>
                <w:sz w:val="18"/>
                <w:szCs w:val="18"/>
                <w:lang w:val="en-US"/>
              </w:rPr>
            </w:pPr>
            <w:r w:rsidRPr="00425028">
              <w:rPr>
                <w:sz w:val="18"/>
                <w:szCs w:val="18"/>
                <w:lang w:val="en-US"/>
              </w:rPr>
              <w:t>Age Pension</w:t>
            </w:r>
          </w:p>
        </w:tc>
        <w:tc>
          <w:tcPr>
            <w:tcW w:w="1134" w:type="dxa"/>
            <w:shd w:val="clear" w:color="auto" w:fill="FFFFFF" w:themeFill="background1"/>
          </w:tcPr>
          <w:p w14:paraId="7820FACA" w14:textId="77777777" w:rsidR="000417EF" w:rsidRPr="00425028" w:rsidRDefault="000417EF" w:rsidP="00B71E6B">
            <w:pPr>
              <w:rPr>
                <w:sz w:val="18"/>
                <w:szCs w:val="18"/>
              </w:rPr>
            </w:pPr>
          </w:p>
          <w:p w14:paraId="244203E2" w14:textId="77777777" w:rsidR="000417EF" w:rsidRPr="00425028" w:rsidRDefault="000417EF" w:rsidP="00B71E6B">
            <w:pPr>
              <w:rPr>
                <w:sz w:val="18"/>
                <w:szCs w:val="18"/>
              </w:rPr>
            </w:pPr>
            <w:r w:rsidRPr="00425028">
              <w:rPr>
                <w:sz w:val="18"/>
                <w:szCs w:val="18"/>
              </w:rPr>
              <w:t>$290</w:t>
            </w:r>
          </w:p>
        </w:tc>
        <w:tc>
          <w:tcPr>
            <w:tcW w:w="1434" w:type="dxa"/>
            <w:shd w:val="clear" w:color="auto" w:fill="FFFFFF" w:themeFill="background1"/>
            <w:vAlign w:val="center"/>
          </w:tcPr>
          <w:p w14:paraId="139BA92E" w14:textId="18499777" w:rsidR="000417EF" w:rsidRPr="00425028" w:rsidRDefault="001D67DE" w:rsidP="00B71E6B">
            <w:pPr>
              <w:rPr>
                <w:sz w:val="18"/>
                <w:szCs w:val="18"/>
              </w:rPr>
            </w:pPr>
            <w:r w:rsidRPr="00425028">
              <w:rPr>
                <w:sz w:val="18"/>
                <w:szCs w:val="18"/>
              </w:rPr>
              <w:t>19</w:t>
            </w:r>
          </w:p>
        </w:tc>
        <w:tc>
          <w:tcPr>
            <w:tcW w:w="1475" w:type="dxa"/>
            <w:shd w:val="clear" w:color="auto" w:fill="FFFFFF" w:themeFill="background1"/>
            <w:vAlign w:val="center"/>
          </w:tcPr>
          <w:p w14:paraId="55B60667" w14:textId="77777777" w:rsidR="000417EF" w:rsidRPr="00425028" w:rsidRDefault="000417EF" w:rsidP="00B71E6B">
            <w:pPr>
              <w:rPr>
                <w:sz w:val="18"/>
                <w:szCs w:val="18"/>
              </w:rPr>
            </w:pPr>
            <w:r w:rsidRPr="00425028">
              <w:rPr>
                <w:sz w:val="18"/>
                <w:szCs w:val="18"/>
              </w:rPr>
              <w:t>2%</w:t>
            </w:r>
          </w:p>
        </w:tc>
        <w:tc>
          <w:tcPr>
            <w:tcW w:w="1233" w:type="dxa"/>
            <w:shd w:val="clear" w:color="auto" w:fill="FFFFFF" w:themeFill="background1"/>
            <w:vAlign w:val="center"/>
          </w:tcPr>
          <w:p w14:paraId="43207C34" w14:textId="63EB4353" w:rsidR="000417EF" w:rsidRPr="00425028" w:rsidRDefault="000417EF" w:rsidP="00B71E6B">
            <w:pPr>
              <w:rPr>
                <w:sz w:val="18"/>
                <w:szCs w:val="18"/>
              </w:rPr>
            </w:pPr>
            <w:r w:rsidRPr="00425028">
              <w:rPr>
                <w:sz w:val="18"/>
                <w:szCs w:val="18"/>
              </w:rPr>
              <w:t xml:space="preserve">South: </w:t>
            </w:r>
            <w:r w:rsidR="00275C63" w:rsidRPr="00425028">
              <w:rPr>
                <w:sz w:val="18"/>
                <w:szCs w:val="18"/>
              </w:rPr>
              <w:t>1</w:t>
            </w:r>
          </w:p>
          <w:p w14:paraId="5049A81D" w14:textId="77777777" w:rsidR="000417EF" w:rsidRPr="00425028" w:rsidRDefault="000417EF" w:rsidP="00B71E6B">
            <w:pPr>
              <w:rPr>
                <w:sz w:val="18"/>
                <w:szCs w:val="18"/>
              </w:rPr>
            </w:pPr>
            <w:r w:rsidRPr="00425028">
              <w:rPr>
                <w:sz w:val="18"/>
                <w:szCs w:val="18"/>
              </w:rPr>
              <w:t>North: 10</w:t>
            </w:r>
          </w:p>
          <w:p w14:paraId="34C3367B" w14:textId="77777777" w:rsidR="000417EF" w:rsidRPr="00425028" w:rsidRDefault="000417EF" w:rsidP="00B71E6B">
            <w:pPr>
              <w:rPr>
                <w:sz w:val="18"/>
                <w:szCs w:val="18"/>
              </w:rPr>
            </w:pPr>
            <w:r w:rsidRPr="00425028">
              <w:rPr>
                <w:sz w:val="18"/>
                <w:szCs w:val="18"/>
              </w:rPr>
              <w:t>North West: 8</w:t>
            </w:r>
          </w:p>
        </w:tc>
      </w:tr>
      <w:tr w:rsidR="000417EF" w:rsidRPr="00425028" w14:paraId="7E12BD4F" w14:textId="77777777" w:rsidTr="00F553AD">
        <w:trPr>
          <w:trHeight w:val="567"/>
        </w:trPr>
        <w:tc>
          <w:tcPr>
            <w:tcW w:w="1068" w:type="dxa"/>
            <w:vMerge w:val="restart"/>
            <w:vAlign w:val="center"/>
          </w:tcPr>
          <w:p w14:paraId="6C88BFEF" w14:textId="77777777" w:rsidR="000417EF" w:rsidRPr="00425028" w:rsidRDefault="000417EF" w:rsidP="00B71E6B">
            <w:pPr>
              <w:rPr>
                <w:sz w:val="18"/>
                <w:szCs w:val="18"/>
                <w:lang w:val="en-US"/>
              </w:rPr>
            </w:pPr>
            <w:r w:rsidRPr="00425028">
              <w:rPr>
                <w:sz w:val="18"/>
                <w:szCs w:val="18"/>
                <w:lang w:val="en-US"/>
              </w:rPr>
              <w:t>Single parents</w:t>
            </w:r>
          </w:p>
        </w:tc>
        <w:tc>
          <w:tcPr>
            <w:tcW w:w="1621" w:type="dxa"/>
            <w:vAlign w:val="center"/>
          </w:tcPr>
          <w:p w14:paraId="553814EE" w14:textId="77777777" w:rsidR="000417EF" w:rsidRPr="00425028" w:rsidRDefault="000417EF" w:rsidP="00B71E6B">
            <w:pPr>
              <w:rPr>
                <w:sz w:val="18"/>
                <w:szCs w:val="18"/>
                <w:lang w:val="en-US"/>
              </w:rPr>
            </w:pPr>
            <w:r w:rsidRPr="00425028">
              <w:rPr>
                <w:sz w:val="18"/>
                <w:szCs w:val="18"/>
                <w:lang w:val="en-US"/>
              </w:rPr>
              <w:t>Single, one child</w:t>
            </w:r>
          </w:p>
          <w:p w14:paraId="6387D7E2" w14:textId="77777777" w:rsidR="000417EF" w:rsidRPr="00425028" w:rsidRDefault="000417EF" w:rsidP="00B71E6B">
            <w:pPr>
              <w:rPr>
                <w:sz w:val="18"/>
                <w:szCs w:val="18"/>
                <w:lang w:val="en-US"/>
              </w:rPr>
            </w:pPr>
            <w:r w:rsidRPr="00425028">
              <w:rPr>
                <w:sz w:val="18"/>
                <w:szCs w:val="18"/>
                <w:lang w:val="en-US"/>
              </w:rPr>
              <w:t>(14+)</w:t>
            </w:r>
          </w:p>
        </w:tc>
        <w:tc>
          <w:tcPr>
            <w:tcW w:w="1745" w:type="dxa"/>
            <w:vAlign w:val="center"/>
          </w:tcPr>
          <w:p w14:paraId="6D71E8BE" w14:textId="77777777" w:rsidR="000417EF" w:rsidRPr="00425028" w:rsidRDefault="000417EF" w:rsidP="00B71E6B">
            <w:pPr>
              <w:rPr>
                <w:sz w:val="18"/>
                <w:szCs w:val="18"/>
                <w:lang w:val="en-US"/>
              </w:rPr>
            </w:pPr>
            <w:r w:rsidRPr="00425028">
              <w:rPr>
                <w:sz w:val="18"/>
                <w:szCs w:val="18"/>
                <w:lang w:val="en-US"/>
              </w:rPr>
              <w:t>Jobseeker Payment</w:t>
            </w:r>
          </w:p>
        </w:tc>
        <w:tc>
          <w:tcPr>
            <w:tcW w:w="1134" w:type="dxa"/>
            <w:shd w:val="clear" w:color="auto" w:fill="FFFFFF" w:themeFill="background1"/>
          </w:tcPr>
          <w:p w14:paraId="45FAB397" w14:textId="77777777" w:rsidR="000417EF" w:rsidRPr="00425028" w:rsidRDefault="000417EF" w:rsidP="00B71E6B">
            <w:pPr>
              <w:rPr>
                <w:sz w:val="18"/>
                <w:szCs w:val="18"/>
              </w:rPr>
            </w:pPr>
          </w:p>
          <w:p w14:paraId="3DC8775B" w14:textId="77777777" w:rsidR="000417EF" w:rsidRPr="00425028" w:rsidRDefault="000417EF" w:rsidP="00B71E6B">
            <w:pPr>
              <w:rPr>
                <w:sz w:val="18"/>
                <w:szCs w:val="18"/>
              </w:rPr>
            </w:pPr>
            <w:r w:rsidRPr="00425028">
              <w:rPr>
                <w:sz w:val="18"/>
                <w:szCs w:val="18"/>
              </w:rPr>
              <w:t>$228</w:t>
            </w:r>
          </w:p>
        </w:tc>
        <w:tc>
          <w:tcPr>
            <w:tcW w:w="1434" w:type="dxa"/>
            <w:shd w:val="clear" w:color="auto" w:fill="FFFFFF" w:themeFill="background1"/>
            <w:vAlign w:val="center"/>
          </w:tcPr>
          <w:p w14:paraId="4E97AD2F" w14:textId="77777777" w:rsidR="000417EF" w:rsidRPr="00425028" w:rsidRDefault="000417EF" w:rsidP="00B71E6B">
            <w:pPr>
              <w:rPr>
                <w:color w:val="FF0000"/>
                <w:sz w:val="18"/>
                <w:szCs w:val="18"/>
              </w:rPr>
            </w:pPr>
            <w:r w:rsidRPr="00425028">
              <w:rPr>
                <w:sz w:val="18"/>
                <w:szCs w:val="18"/>
              </w:rPr>
              <w:t>1</w:t>
            </w:r>
          </w:p>
        </w:tc>
        <w:tc>
          <w:tcPr>
            <w:tcW w:w="1475" w:type="dxa"/>
            <w:shd w:val="clear" w:color="auto" w:fill="FFFFFF" w:themeFill="background1"/>
            <w:vAlign w:val="center"/>
          </w:tcPr>
          <w:p w14:paraId="2BDBB6B9" w14:textId="77777777" w:rsidR="000417EF" w:rsidRPr="00425028" w:rsidRDefault="000417EF" w:rsidP="00B71E6B">
            <w:pPr>
              <w:rPr>
                <w:sz w:val="18"/>
                <w:szCs w:val="18"/>
              </w:rPr>
            </w:pPr>
            <w:r w:rsidRPr="00425028">
              <w:rPr>
                <w:sz w:val="18"/>
                <w:szCs w:val="18"/>
              </w:rPr>
              <w:t>0%</w:t>
            </w:r>
          </w:p>
        </w:tc>
        <w:tc>
          <w:tcPr>
            <w:tcW w:w="1233" w:type="dxa"/>
            <w:shd w:val="clear" w:color="auto" w:fill="FFFFFF" w:themeFill="background1"/>
            <w:vAlign w:val="center"/>
          </w:tcPr>
          <w:p w14:paraId="26FD9819" w14:textId="77777777" w:rsidR="000417EF" w:rsidRPr="00425028" w:rsidRDefault="000417EF" w:rsidP="00B71E6B">
            <w:pPr>
              <w:rPr>
                <w:sz w:val="18"/>
                <w:szCs w:val="18"/>
              </w:rPr>
            </w:pPr>
            <w:r w:rsidRPr="00425028">
              <w:rPr>
                <w:sz w:val="18"/>
                <w:szCs w:val="18"/>
              </w:rPr>
              <w:t>South: 1</w:t>
            </w:r>
          </w:p>
          <w:p w14:paraId="69C0B618" w14:textId="77777777" w:rsidR="000417EF" w:rsidRPr="00425028" w:rsidRDefault="000417EF" w:rsidP="00B71E6B">
            <w:pPr>
              <w:rPr>
                <w:sz w:val="18"/>
                <w:szCs w:val="18"/>
              </w:rPr>
            </w:pPr>
            <w:r w:rsidRPr="00425028">
              <w:rPr>
                <w:sz w:val="18"/>
                <w:szCs w:val="18"/>
              </w:rPr>
              <w:t xml:space="preserve">North: </w:t>
            </w:r>
            <w:r w:rsidRPr="0093171C">
              <w:rPr>
                <w:color w:val="ED0000"/>
                <w:sz w:val="18"/>
                <w:szCs w:val="18"/>
              </w:rPr>
              <w:t>0</w:t>
            </w:r>
          </w:p>
          <w:p w14:paraId="2116ADB5" w14:textId="77777777" w:rsidR="000417EF" w:rsidRPr="00425028" w:rsidRDefault="000417EF" w:rsidP="00B71E6B">
            <w:pPr>
              <w:rPr>
                <w:sz w:val="18"/>
                <w:szCs w:val="18"/>
              </w:rPr>
            </w:pPr>
            <w:r w:rsidRPr="00425028">
              <w:rPr>
                <w:sz w:val="18"/>
                <w:szCs w:val="18"/>
              </w:rPr>
              <w:t xml:space="preserve">North West: </w:t>
            </w:r>
            <w:r w:rsidRPr="0093171C">
              <w:rPr>
                <w:color w:val="ED0000"/>
                <w:sz w:val="18"/>
                <w:szCs w:val="18"/>
              </w:rPr>
              <w:t>0</w:t>
            </w:r>
          </w:p>
        </w:tc>
      </w:tr>
      <w:tr w:rsidR="000417EF" w:rsidRPr="00425028" w14:paraId="6877F6B5" w14:textId="77777777" w:rsidTr="00F553AD">
        <w:trPr>
          <w:trHeight w:val="567"/>
        </w:trPr>
        <w:tc>
          <w:tcPr>
            <w:tcW w:w="1068" w:type="dxa"/>
            <w:vMerge/>
            <w:vAlign w:val="center"/>
          </w:tcPr>
          <w:p w14:paraId="2FF5879F" w14:textId="77777777" w:rsidR="000417EF" w:rsidRPr="00425028" w:rsidRDefault="000417EF" w:rsidP="00B71E6B">
            <w:pPr>
              <w:rPr>
                <w:sz w:val="18"/>
                <w:szCs w:val="18"/>
                <w:lang w:val="en-US"/>
              </w:rPr>
            </w:pPr>
          </w:p>
        </w:tc>
        <w:tc>
          <w:tcPr>
            <w:tcW w:w="1621" w:type="dxa"/>
            <w:vAlign w:val="center"/>
          </w:tcPr>
          <w:p w14:paraId="7960A56A" w14:textId="77777777" w:rsidR="000417EF" w:rsidRPr="00425028" w:rsidRDefault="000417EF" w:rsidP="00B71E6B">
            <w:pPr>
              <w:rPr>
                <w:sz w:val="18"/>
                <w:szCs w:val="18"/>
                <w:lang w:val="en-US"/>
              </w:rPr>
            </w:pPr>
            <w:r w:rsidRPr="00425028">
              <w:rPr>
                <w:sz w:val="18"/>
                <w:szCs w:val="18"/>
                <w:lang w:val="en-US"/>
              </w:rPr>
              <w:t>Single, one child</w:t>
            </w:r>
          </w:p>
          <w:p w14:paraId="0BB6DEBA" w14:textId="77777777" w:rsidR="000417EF" w:rsidRPr="00425028" w:rsidRDefault="000417EF" w:rsidP="00B71E6B">
            <w:pPr>
              <w:rPr>
                <w:sz w:val="18"/>
                <w:szCs w:val="18"/>
                <w:lang w:val="en-US"/>
              </w:rPr>
            </w:pPr>
            <w:r w:rsidRPr="00425028">
              <w:rPr>
                <w:sz w:val="18"/>
                <w:szCs w:val="18"/>
                <w:lang w:val="en-US"/>
              </w:rPr>
              <w:t>(&lt;5)</w:t>
            </w:r>
          </w:p>
        </w:tc>
        <w:tc>
          <w:tcPr>
            <w:tcW w:w="1745" w:type="dxa"/>
            <w:vAlign w:val="center"/>
          </w:tcPr>
          <w:p w14:paraId="018B4BEF" w14:textId="77777777" w:rsidR="000417EF" w:rsidRPr="00425028" w:rsidRDefault="000417EF" w:rsidP="00B71E6B">
            <w:pPr>
              <w:rPr>
                <w:sz w:val="18"/>
                <w:szCs w:val="18"/>
                <w:lang w:val="en-US"/>
              </w:rPr>
            </w:pPr>
            <w:r w:rsidRPr="00425028">
              <w:rPr>
                <w:sz w:val="18"/>
                <w:szCs w:val="18"/>
                <w:lang w:val="en-US"/>
              </w:rPr>
              <w:t>Parenting Payment Single</w:t>
            </w:r>
          </w:p>
        </w:tc>
        <w:tc>
          <w:tcPr>
            <w:tcW w:w="1134" w:type="dxa"/>
            <w:shd w:val="clear" w:color="auto" w:fill="FFFFFF" w:themeFill="background1"/>
          </w:tcPr>
          <w:p w14:paraId="57ECB271" w14:textId="77777777" w:rsidR="000417EF" w:rsidRPr="00425028" w:rsidRDefault="000417EF" w:rsidP="00B71E6B">
            <w:pPr>
              <w:rPr>
                <w:sz w:val="18"/>
                <w:szCs w:val="18"/>
              </w:rPr>
            </w:pPr>
          </w:p>
          <w:p w14:paraId="2E866FBF" w14:textId="77777777" w:rsidR="000417EF" w:rsidRPr="00425028" w:rsidRDefault="000417EF" w:rsidP="00B71E6B">
            <w:pPr>
              <w:rPr>
                <w:sz w:val="18"/>
                <w:szCs w:val="18"/>
              </w:rPr>
            </w:pPr>
            <w:r w:rsidRPr="00425028">
              <w:rPr>
                <w:sz w:val="18"/>
                <w:szCs w:val="18"/>
              </w:rPr>
              <w:t>$251</w:t>
            </w:r>
          </w:p>
        </w:tc>
        <w:tc>
          <w:tcPr>
            <w:tcW w:w="1434" w:type="dxa"/>
            <w:shd w:val="clear" w:color="auto" w:fill="FFFFFF" w:themeFill="background1"/>
            <w:vAlign w:val="center"/>
          </w:tcPr>
          <w:p w14:paraId="7679B765" w14:textId="77777777" w:rsidR="000417EF" w:rsidRPr="00425028" w:rsidRDefault="000417EF" w:rsidP="00B71E6B">
            <w:pPr>
              <w:rPr>
                <w:sz w:val="18"/>
                <w:szCs w:val="18"/>
              </w:rPr>
            </w:pPr>
            <w:r w:rsidRPr="00425028">
              <w:rPr>
                <w:sz w:val="18"/>
                <w:szCs w:val="18"/>
              </w:rPr>
              <w:t>3</w:t>
            </w:r>
          </w:p>
        </w:tc>
        <w:tc>
          <w:tcPr>
            <w:tcW w:w="1475" w:type="dxa"/>
            <w:shd w:val="clear" w:color="auto" w:fill="FFFFFF" w:themeFill="background1"/>
            <w:vAlign w:val="center"/>
          </w:tcPr>
          <w:p w14:paraId="367D82B2" w14:textId="77777777" w:rsidR="000417EF" w:rsidRPr="00425028" w:rsidRDefault="000417EF" w:rsidP="00B71E6B">
            <w:pPr>
              <w:rPr>
                <w:sz w:val="18"/>
                <w:szCs w:val="18"/>
              </w:rPr>
            </w:pPr>
            <w:r w:rsidRPr="00425028">
              <w:rPr>
                <w:sz w:val="18"/>
                <w:szCs w:val="18"/>
              </w:rPr>
              <w:t>0%</w:t>
            </w:r>
          </w:p>
        </w:tc>
        <w:tc>
          <w:tcPr>
            <w:tcW w:w="1233" w:type="dxa"/>
            <w:shd w:val="clear" w:color="auto" w:fill="FFFFFF" w:themeFill="background1"/>
            <w:vAlign w:val="center"/>
          </w:tcPr>
          <w:p w14:paraId="080BBAD0" w14:textId="77777777" w:rsidR="000417EF" w:rsidRPr="00425028" w:rsidRDefault="000417EF" w:rsidP="00B71E6B">
            <w:pPr>
              <w:rPr>
                <w:sz w:val="18"/>
                <w:szCs w:val="18"/>
              </w:rPr>
            </w:pPr>
            <w:r w:rsidRPr="00425028">
              <w:rPr>
                <w:sz w:val="18"/>
                <w:szCs w:val="18"/>
              </w:rPr>
              <w:t>South: 1</w:t>
            </w:r>
          </w:p>
          <w:p w14:paraId="450A705D" w14:textId="77777777" w:rsidR="000417EF" w:rsidRPr="00425028" w:rsidRDefault="000417EF" w:rsidP="00B71E6B">
            <w:pPr>
              <w:rPr>
                <w:sz w:val="18"/>
                <w:szCs w:val="18"/>
              </w:rPr>
            </w:pPr>
            <w:r w:rsidRPr="00425028">
              <w:rPr>
                <w:sz w:val="18"/>
                <w:szCs w:val="18"/>
              </w:rPr>
              <w:t xml:space="preserve">North: </w:t>
            </w:r>
            <w:r w:rsidRPr="0093171C">
              <w:rPr>
                <w:color w:val="ED0000"/>
                <w:sz w:val="18"/>
                <w:szCs w:val="18"/>
              </w:rPr>
              <w:t>0</w:t>
            </w:r>
          </w:p>
          <w:p w14:paraId="3C857F78" w14:textId="77777777" w:rsidR="000417EF" w:rsidRPr="00425028" w:rsidRDefault="000417EF" w:rsidP="00B71E6B">
            <w:pPr>
              <w:rPr>
                <w:sz w:val="18"/>
                <w:szCs w:val="18"/>
              </w:rPr>
            </w:pPr>
            <w:r w:rsidRPr="00425028">
              <w:rPr>
                <w:sz w:val="18"/>
                <w:szCs w:val="18"/>
              </w:rPr>
              <w:t>North West: 2</w:t>
            </w:r>
          </w:p>
        </w:tc>
      </w:tr>
      <w:tr w:rsidR="000417EF" w:rsidRPr="00425028" w14:paraId="2003D9F8" w14:textId="77777777" w:rsidTr="00F553AD">
        <w:trPr>
          <w:trHeight w:val="567"/>
        </w:trPr>
        <w:tc>
          <w:tcPr>
            <w:tcW w:w="1068" w:type="dxa"/>
            <w:vMerge/>
            <w:vAlign w:val="center"/>
          </w:tcPr>
          <w:p w14:paraId="5D406EF8" w14:textId="77777777" w:rsidR="000417EF" w:rsidRPr="00425028" w:rsidRDefault="000417EF" w:rsidP="00B71E6B">
            <w:pPr>
              <w:rPr>
                <w:sz w:val="18"/>
                <w:szCs w:val="18"/>
                <w:lang w:val="en-US"/>
              </w:rPr>
            </w:pPr>
          </w:p>
        </w:tc>
        <w:tc>
          <w:tcPr>
            <w:tcW w:w="1621" w:type="dxa"/>
            <w:vAlign w:val="center"/>
          </w:tcPr>
          <w:p w14:paraId="0BEE0B8B" w14:textId="77777777" w:rsidR="000417EF" w:rsidRPr="00425028" w:rsidRDefault="000417EF" w:rsidP="00B71E6B">
            <w:pPr>
              <w:rPr>
                <w:sz w:val="18"/>
                <w:szCs w:val="18"/>
                <w:lang w:val="en-US"/>
              </w:rPr>
            </w:pPr>
            <w:r w:rsidRPr="00425028">
              <w:rPr>
                <w:sz w:val="18"/>
                <w:szCs w:val="18"/>
                <w:lang w:val="en-US"/>
              </w:rPr>
              <w:t>Single, two children (one &lt;5, one &lt;10)</w:t>
            </w:r>
          </w:p>
        </w:tc>
        <w:tc>
          <w:tcPr>
            <w:tcW w:w="1745" w:type="dxa"/>
            <w:vAlign w:val="center"/>
          </w:tcPr>
          <w:p w14:paraId="463D991B" w14:textId="77777777" w:rsidR="000417EF" w:rsidRPr="00425028" w:rsidRDefault="000417EF" w:rsidP="00B71E6B">
            <w:pPr>
              <w:rPr>
                <w:sz w:val="18"/>
                <w:szCs w:val="18"/>
                <w:lang w:val="en-US"/>
              </w:rPr>
            </w:pPr>
            <w:r w:rsidRPr="00425028">
              <w:rPr>
                <w:sz w:val="18"/>
                <w:szCs w:val="18"/>
                <w:lang w:val="en-US"/>
              </w:rPr>
              <w:t>Parenting Payment Single</w:t>
            </w:r>
          </w:p>
        </w:tc>
        <w:tc>
          <w:tcPr>
            <w:tcW w:w="1134" w:type="dxa"/>
            <w:shd w:val="clear" w:color="auto" w:fill="FFFFFF" w:themeFill="background1"/>
          </w:tcPr>
          <w:p w14:paraId="442770D5" w14:textId="77777777" w:rsidR="000417EF" w:rsidRPr="00425028" w:rsidRDefault="000417EF" w:rsidP="00B71E6B">
            <w:pPr>
              <w:rPr>
                <w:sz w:val="18"/>
                <w:szCs w:val="18"/>
              </w:rPr>
            </w:pPr>
          </w:p>
          <w:p w14:paraId="382074EB" w14:textId="77777777" w:rsidR="000417EF" w:rsidRPr="00425028" w:rsidRDefault="000417EF" w:rsidP="00B71E6B">
            <w:pPr>
              <w:rPr>
                <w:sz w:val="18"/>
                <w:szCs w:val="18"/>
              </w:rPr>
            </w:pPr>
            <w:r w:rsidRPr="00425028">
              <w:rPr>
                <w:sz w:val="18"/>
                <w:szCs w:val="18"/>
              </w:rPr>
              <w:t>$287</w:t>
            </w:r>
          </w:p>
        </w:tc>
        <w:tc>
          <w:tcPr>
            <w:tcW w:w="1434" w:type="dxa"/>
            <w:shd w:val="clear" w:color="auto" w:fill="FFFFFF" w:themeFill="background1"/>
            <w:vAlign w:val="center"/>
          </w:tcPr>
          <w:p w14:paraId="50323788" w14:textId="77777777" w:rsidR="000417EF" w:rsidRPr="00425028" w:rsidRDefault="000417EF" w:rsidP="00B71E6B">
            <w:pPr>
              <w:rPr>
                <w:sz w:val="18"/>
                <w:szCs w:val="18"/>
              </w:rPr>
            </w:pPr>
            <w:r w:rsidRPr="00425028">
              <w:rPr>
                <w:sz w:val="18"/>
                <w:szCs w:val="18"/>
              </w:rPr>
              <w:t>3</w:t>
            </w:r>
          </w:p>
        </w:tc>
        <w:tc>
          <w:tcPr>
            <w:tcW w:w="1475" w:type="dxa"/>
            <w:shd w:val="clear" w:color="auto" w:fill="FFFFFF" w:themeFill="background1"/>
            <w:vAlign w:val="center"/>
          </w:tcPr>
          <w:p w14:paraId="31894648" w14:textId="77777777" w:rsidR="000417EF" w:rsidRPr="00425028" w:rsidRDefault="000417EF" w:rsidP="00B71E6B">
            <w:pPr>
              <w:rPr>
                <w:sz w:val="18"/>
                <w:szCs w:val="18"/>
              </w:rPr>
            </w:pPr>
            <w:r w:rsidRPr="00425028">
              <w:rPr>
                <w:sz w:val="18"/>
                <w:szCs w:val="18"/>
              </w:rPr>
              <w:t>0%</w:t>
            </w:r>
          </w:p>
        </w:tc>
        <w:tc>
          <w:tcPr>
            <w:tcW w:w="1233" w:type="dxa"/>
            <w:shd w:val="clear" w:color="auto" w:fill="FFFFFF" w:themeFill="background1"/>
            <w:vAlign w:val="center"/>
          </w:tcPr>
          <w:p w14:paraId="7A5A04E1" w14:textId="77777777" w:rsidR="000417EF" w:rsidRPr="00425028" w:rsidRDefault="000417EF" w:rsidP="00B71E6B">
            <w:pPr>
              <w:rPr>
                <w:sz w:val="18"/>
                <w:szCs w:val="18"/>
              </w:rPr>
            </w:pPr>
            <w:r w:rsidRPr="00425028">
              <w:rPr>
                <w:sz w:val="18"/>
                <w:szCs w:val="18"/>
              </w:rPr>
              <w:t xml:space="preserve">South: </w:t>
            </w:r>
            <w:r w:rsidRPr="0093171C">
              <w:rPr>
                <w:color w:val="ED0000"/>
                <w:sz w:val="18"/>
                <w:szCs w:val="18"/>
              </w:rPr>
              <w:t>0</w:t>
            </w:r>
          </w:p>
          <w:p w14:paraId="6A7A2BF0" w14:textId="77777777" w:rsidR="000417EF" w:rsidRPr="0093171C" w:rsidRDefault="000417EF" w:rsidP="00B71E6B">
            <w:pPr>
              <w:rPr>
                <w:color w:val="ED0000"/>
                <w:sz w:val="18"/>
                <w:szCs w:val="18"/>
              </w:rPr>
            </w:pPr>
            <w:r w:rsidRPr="00425028">
              <w:rPr>
                <w:sz w:val="18"/>
                <w:szCs w:val="18"/>
              </w:rPr>
              <w:t xml:space="preserve">North: </w:t>
            </w:r>
            <w:r w:rsidRPr="0093171C">
              <w:rPr>
                <w:color w:val="ED0000"/>
                <w:sz w:val="18"/>
                <w:szCs w:val="18"/>
              </w:rPr>
              <w:t>0</w:t>
            </w:r>
          </w:p>
          <w:p w14:paraId="6BF48E4C" w14:textId="77777777" w:rsidR="000417EF" w:rsidRPr="00425028" w:rsidRDefault="000417EF" w:rsidP="00B71E6B">
            <w:pPr>
              <w:rPr>
                <w:sz w:val="18"/>
                <w:szCs w:val="18"/>
              </w:rPr>
            </w:pPr>
            <w:r w:rsidRPr="00425028">
              <w:rPr>
                <w:sz w:val="18"/>
                <w:szCs w:val="18"/>
              </w:rPr>
              <w:t>North West: 3</w:t>
            </w:r>
          </w:p>
        </w:tc>
      </w:tr>
      <w:tr w:rsidR="000417EF" w:rsidRPr="00425028" w14:paraId="612BD096" w14:textId="77777777" w:rsidTr="00F553AD">
        <w:trPr>
          <w:trHeight w:val="567"/>
        </w:trPr>
        <w:tc>
          <w:tcPr>
            <w:tcW w:w="1068" w:type="dxa"/>
            <w:vMerge/>
            <w:vAlign w:val="center"/>
          </w:tcPr>
          <w:p w14:paraId="4ECDC959" w14:textId="77777777" w:rsidR="000417EF" w:rsidRPr="00425028" w:rsidRDefault="000417EF" w:rsidP="00B71E6B">
            <w:pPr>
              <w:rPr>
                <w:sz w:val="18"/>
                <w:szCs w:val="18"/>
                <w:lang w:val="en-US"/>
              </w:rPr>
            </w:pPr>
          </w:p>
        </w:tc>
        <w:tc>
          <w:tcPr>
            <w:tcW w:w="1621" w:type="dxa"/>
            <w:vAlign w:val="center"/>
          </w:tcPr>
          <w:p w14:paraId="47B23565" w14:textId="77777777" w:rsidR="000417EF" w:rsidRPr="00425028" w:rsidRDefault="000417EF" w:rsidP="00B71E6B">
            <w:pPr>
              <w:rPr>
                <w:sz w:val="18"/>
                <w:szCs w:val="18"/>
                <w:lang w:val="en-US"/>
              </w:rPr>
            </w:pPr>
            <w:r w:rsidRPr="00425028">
              <w:rPr>
                <w:sz w:val="18"/>
                <w:szCs w:val="18"/>
                <w:lang w:val="en-US"/>
              </w:rPr>
              <w:t>Single, two children (one &lt;5, one &lt;10)</w:t>
            </w:r>
          </w:p>
        </w:tc>
        <w:tc>
          <w:tcPr>
            <w:tcW w:w="1745" w:type="dxa"/>
            <w:vAlign w:val="center"/>
          </w:tcPr>
          <w:p w14:paraId="1AB74A45" w14:textId="42C3E2A6" w:rsidR="000417EF" w:rsidRPr="00425028" w:rsidRDefault="000417EF" w:rsidP="00B71E6B">
            <w:pPr>
              <w:rPr>
                <w:sz w:val="18"/>
                <w:szCs w:val="18"/>
                <w:lang w:val="en-US"/>
              </w:rPr>
            </w:pPr>
            <w:r w:rsidRPr="00425028">
              <w:rPr>
                <w:sz w:val="18"/>
                <w:szCs w:val="18"/>
                <w:lang w:val="en-US"/>
              </w:rPr>
              <w:t xml:space="preserve">Minimum wage </w:t>
            </w:r>
          </w:p>
        </w:tc>
        <w:tc>
          <w:tcPr>
            <w:tcW w:w="1134" w:type="dxa"/>
            <w:shd w:val="clear" w:color="auto" w:fill="FFFFFF" w:themeFill="background1"/>
          </w:tcPr>
          <w:p w14:paraId="04A90619" w14:textId="77777777" w:rsidR="000417EF" w:rsidRPr="00425028" w:rsidRDefault="000417EF" w:rsidP="00B71E6B">
            <w:pPr>
              <w:rPr>
                <w:sz w:val="18"/>
                <w:szCs w:val="18"/>
              </w:rPr>
            </w:pPr>
          </w:p>
          <w:p w14:paraId="635B9611" w14:textId="77777777" w:rsidR="000417EF" w:rsidRPr="00425028" w:rsidRDefault="000417EF" w:rsidP="00B71E6B">
            <w:pPr>
              <w:rPr>
                <w:sz w:val="18"/>
                <w:szCs w:val="18"/>
              </w:rPr>
            </w:pPr>
            <w:r w:rsidRPr="00425028">
              <w:rPr>
                <w:sz w:val="18"/>
                <w:szCs w:val="18"/>
              </w:rPr>
              <w:t>$432</w:t>
            </w:r>
          </w:p>
        </w:tc>
        <w:tc>
          <w:tcPr>
            <w:tcW w:w="1434" w:type="dxa"/>
            <w:shd w:val="clear" w:color="auto" w:fill="FFFFFF" w:themeFill="background1"/>
            <w:vAlign w:val="center"/>
          </w:tcPr>
          <w:p w14:paraId="4B98F1BA" w14:textId="77777777" w:rsidR="000417EF" w:rsidRPr="00425028" w:rsidRDefault="000417EF" w:rsidP="00B71E6B">
            <w:pPr>
              <w:rPr>
                <w:sz w:val="18"/>
                <w:szCs w:val="18"/>
              </w:rPr>
            </w:pPr>
            <w:r w:rsidRPr="00425028">
              <w:rPr>
                <w:sz w:val="18"/>
                <w:szCs w:val="18"/>
              </w:rPr>
              <w:t>56</w:t>
            </w:r>
          </w:p>
        </w:tc>
        <w:tc>
          <w:tcPr>
            <w:tcW w:w="1475" w:type="dxa"/>
            <w:shd w:val="clear" w:color="auto" w:fill="FFFFFF" w:themeFill="background1"/>
            <w:vAlign w:val="center"/>
          </w:tcPr>
          <w:p w14:paraId="457E4775" w14:textId="77777777" w:rsidR="000417EF" w:rsidRPr="00425028" w:rsidRDefault="000417EF" w:rsidP="00B71E6B">
            <w:pPr>
              <w:rPr>
                <w:sz w:val="18"/>
                <w:szCs w:val="18"/>
              </w:rPr>
            </w:pPr>
            <w:r w:rsidRPr="00425028">
              <w:rPr>
                <w:sz w:val="18"/>
                <w:szCs w:val="18"/>
              </w:rPr>
              <w:t>7%</w:t>
            </w:r>
          </w:p>
        </w:tc>
        <w:tc>
          <w:tcPr>
            <w:tcW w:w="1233" w:type="dxa"/>
            <w:shd w:val="clear" w:color="auto" w:fill="FFFFFF" w:themeFill="background1"/>
            <w:vAlign w:val="center"/>
          </w:tcPr>
          <w:p w14:paraId="18883A02" w14:textId="77777777" w:rsidR="000417EF" w:rsidRPr="00425028" w:rsidRDefault="000417EF" w:rsidP="00B71E6B">
            <w:pPr>
              <w:rPr>
                <w:sz w:val="18"/>
                <w:szCs w:val="18"/>
              </w:rPr>
            </w:pPr>
            <w:r w:rsidRPr="00425028">
              <w:rPr>
                <w:sz w:val="18"/>
                <w:szCs w:val="18"/>
              </w:rPr>
              <w:t>South: 6</w:t>
            </w:r>
          </w:p>
          <w:p w14:paraId="3D2624C9" w14:textId="77777777" w:rsidR="000417EF" w:rsidRPr="00425028" w:rsidRDefault="000417EF" w:rsidP="00B71E6B">
            <w:pPr>
              <w:rPr>
                <w:sz w:val="18"/>
                <w:szCs w:val="18"/>
              </w:rPr>
            </w:pPr>
            <w:r w:rsidRPr="00425028">
              <w:rPr>
                <w:sz w:val="18"/>
                <w:szCs w:val="18"/>
              </w:rPr>
              <w:t>North: 27</w:t>
            </w:r>
          </w:p>
          <w:p w14:paraId="7B5E067D" w14:textId="77777777" w:rsidR="000417EF" w:rsidRPr="00425028" w:rsidRDefault="000417EF" w:rsidP="00B71E6B">
            <w:pPr>
              <w:rPr>
                <w:sz w:val="18"/>
                <w:szCs w:val="18"/>
              </w:rPr>
            </w:pPr>
            <w:r w:rsidRPr="00425028">
              <w:rPr>
                <w:sz w:val="18"/>
                <w:szCs w:val="18"/>
              </w:rPr>
              <w:t>North West: 23</w:t>
            </w:r>
          </w:p>
        </w:tc>
      </w:tr>
      <w:tr w:rsidR="000417EF" w:rsidRPr="00425028" w14:paraId="09DA2F16" w14:textId="77777777" w:rsidTr="00F553AD">
        <w:trPr>
          <w:trHeight w:val="567"/>
        </w:trPr>
        <w:tc>
          <w:tcPr>
            <w:tcW w:w="1068" w:type="dxa"/>
            <w:vMerge w:val="restart"/>
            <w:vAlign w:val="center"/>
          </w:tcPr>
          <w:p w14:paraId="68EDE8F9" w14:textId="77777777" w:rsidR="000417EF" w:rsidRPr="00425028" w:rsidRDefault="000417EF" w:rsidP="00B71E6B">
            <w:pPr>
              <w:rPr>
                <w:sz w:val="18"/>
                <w:szCs w:val="18"/>
                <w:lang w:val="en-US"/>
              </w:rPr>
            </w:pPr>
            <w:r w:rsidRPr="00425028">
              <w:rPr>
                <w:sz w:val="18"/>
                <w:szCs w:val="18"/>
                <w:lang w:val="en-US"/>
              </w:rPr>
              <w:t>Couples with children</w:t>
            </w:r>
          </w:p>
        </w:tc>
        <w:tc>
          <w:tcPr>
            <w:tcW w:w="1621" w:type="dxa"/>
            <w:vAlign w:val="center"/>
          </w:tcPr>
          <w:p w14:paraId="0A0F9A89" w14:textId="77777777" w:rsidR="000417EF" w:rsidRPr="00425028" w:rsidRDefault="000417EF" w:rsidP="00B71E6B">
            <w:pPr>
              <w:rPr>
                <w:sz w:val="18"/>
                <w:szCs w:val="18"/>
                <w:lang w:val="en-US"/>
              </w:rPr>
            </w:pPr>
            <w:r w:rsidRPr="00425028">
              <w:rPr>
                <w:sz w:val="18"/>
                <w:szCs w:val="18"/>
                <w:lang w:val="en-US"/>
              </w:rPr>
              <w:t>Couple, two children (one &lt;5, one &lt;10)</w:t>
            </w:r>
          </w:p>
        </w:tc>
        <w:tc>
          <w:tcPr>
            <w:tcW w:w="1745" w:type="dxa"/>
            <w:vAlign w:val="center"/>
          </w:tcPr>
          <w:p w14:paraId="13A839D6" w14:textId="77777777" w:rsidR="000417EF" w:rsidRPr="00425028" w:rsidRDefault="000417EF" w:rsidP="00B71E6B">
            <w:pPr>
              <w:rPr>
                <w:sz w:val="18"/>
                <w:szCs w:val="18"/>
                <w:lang w:val="en-US"/>
              </w:rPr>
            </w:pPr>
            <w:r w:rsidRPr="00425028">
              <w:rPr>
                <w:sz w:val="18"/>
                <w:szCs w:val="18"/>
                <w:lang w:val="en-US"/>
              </w:rPr>
              <w:t>Jobseeker Payment (both adults)</w:t>
            </w:r>
          </w:p>
        </w:tc>
        <w:tc>
          <w:tcPr>
            <w:tcW w:w="1134" w:type="dxa"/>
            <w:shd w:val="clear" w:color="auto" w:fill="FFFFFF" w:themeFill="background1"/>
          </w:tcPr>
          <w:p w14:paraId="37BF85D5" w14:textId="77777777" w:rsidR="000417EF" w:rsidRPr="00425028" w:rsidRDefault="000417EF" w:rsidP="00B71E6B">
            <w:pPr>
              <w:rPr>
                <w:sz w:val="18"/>
                <w:szCs w:val="18"/>
              </w:rPr>
            </w:pPr>
          </w:p>
          <w:p w14:paraId="497E13F8" w14:textId="77777777" w:rsidR="000417EF" w:rsidRPr="00425028" w:rsidRDefault="000417EF" w:rsidP="00B71E6B">
            <w:pPr>
              <w:rPr>
                <w:sz w:val="18"/>
                <w:szCs w:val="18"/>
              </w:rPr>
            </w:pPr>
            <w:r w:rsidRPr="00425028">
              <w:rPr>
                <w:sz w:val="18"/>
                <w:szCs w:val="18"/>
              </w:rPr>
              <w:t>$335</w:t>
            </w:r>
          </w:p>
        </w:tc>
        <w:tc>
          <w:tcPr>
            <w:tcW w:w="1434" w:type="dxa"/>
            <w:shd w:val="clear" w:color="auto" w:fill="FFFFFF" w:themeFill="background1"/>
            <w:vAlign w:val="center"/>
          </w:tcPr>
          <w:p w14:paraId="04D0F7E6" w14:textId="77777777" w:rsidR="000417EF" w:rsidRPr="00425028" w:rsidRDefault="000417EF" w:rsidP="00B71E6B">
            <w:pPr>
              <w:rPr>
                <w:sz w:val="18"/>
                <w:szCs w:val="18"/>
              </w:rPr>
            </w:pPr>
            <w:r w:rsidRPr="00425028">
              <w:rPr>
                <w:sz w:val="18"/>
                <w:szCs w:val="18"/>
              </w:rPr>
              <w:t>6</w:t>
            </w:r>
          </w:p>
        </w:tc>
        <w:tc>
          <w:tcPr>
            <w:tcW w:w="1475" w:type="dxa"/>
            <w:shd w:val="clear" w:color="auto" w:fill="FFFFFF" w:themeFill="background1"/>
            <w:vAlign w:val="center"/>
          </w:tcPr>
          <w:p w14:paraId="5FC2EE1F" w14:textId="77777777" w:rsidR="000417EF" w:rsidRPr="00425028" w:rsidRDefault="000417EF" w:rsidP="00B71E6B">
            <w:pPr>
              <w:rPr>
                <w:sz w:val="18"/>
                <w:szCs w:val="18"/>
              </w:rPr>
            </w:pPr>
            <w:r w:rsidRPr="00425028">
              <w:rPr>
                <w:sz w:val="18"/>
                <w:szCs w:val="18"/>
              </w:rPr>
              <w:t>1%</w:t>
            </w:r>
          </w:p>
        </w:tc>
        <w:tc>
          <w:tcPr>
            <w:tcW w:w="1233" w:type="dxa"/>
            <w:shd w:val="clear" w:color="auto" w:fill="FFFFFF" w:themeFill="background1"/>
            <w:vAlign w:val="center"/>
          </w:tcPr>
          <w:p w14:paraId="5436049C" w14:textId="77777777" w:rsidR="000417EF" w:rsidRPr="00425028" w:rsidRDefault="000417EF" w:rsidP="00B71E6B">
            <w:pPr>
              <w:rPr>
                <w:sz w:val="18"/>
                <w:szCs w:val="18"/>
              </w:rPr>
            </w:pPr>
            <w:r w:rsidRPr="00425028">
              <w:rPr>
                <w:sz w:val="18"/>
                <w:szCs w:val="18"/>
              </w:rPr>
              <w:t>South: 1</w:t>
            </w:r>
          </w:p>
          <w:p w14:paraId="375BBD59" w14:textId="77777777" w:rsidR="000417EF" w:rsidRPr="00425028" w:rsidRDefault="000417EF" w:rsidP="00B71E6B">
            <w:pPr>
              <w:rPr>
                <w:sz w:val="18"/>
                <w:szCs w:val="18"/>
              </w:rPr>
            </w:pPr>
            <w:r w:rsidRPr="00425028">
              <w:rPr>
                <w:sz w:val="18"/>
                <w:szCs w:val="18"/>
              </w:rPr>
              <w:t xml:space="preserve">North: </w:t>
            </w:r>
            <w:r w:rsidRPr="0093171C">
              <w:rPr>
                <w:color w:val="ED0000"/>
                <w:sz w:val="18"/>
                <w:szCs w:val="18"/>
              </w:rPr>
              <w:t>0</w:t>
            </w:r>
          </w:p>
          <w:p w14:paraId="557BCFA7" w14:textId="77777777" w:rsidR="000417EF" w:rsidRPr="00425028" w:rsidRDefault="000417EF" w:rsidP="00B71E6B">
            <w:pPr>
              <w:rPr>
                <w:sz w:val="18"/>
                <w:szCs w:val="18"/>
              </w:rPr>
            </w:pPr>
            <w:r w:rsidRPr="00425028">
              <w:rPr>
                <w:sz w:val="18"/>
                <w:szCs w:val="18"/>
              </w:rPr>
              <w:t>North West: 5</w:t>
            </w:r>
          </w:p>
        </w:tc>
      </w:tr>
      <w:tr w:rsidR="000417EF" w:rsidRPr="00425028" w14:paraId="4D52A15B" w14:textId="77777777" w:rsidTr="00F553AD">
        <w:trPr>
          <w:trHeight w:val="567"/>
        </w:trPr>
        <w:tc>
          <w:tcPr>
            <w:tcW w:w="1068" w:type="dxa"/>
            <w:vMerge/>
            <w:vAlign w:val="center"/>
          </w:tcPr>
          <w:p w14:paraId="124D044F" w14:textId="77777777" w:rsidR="000417EF" w:rsidRPr="00425028" w:rsidRDefault="000417EF" w:rsidP="00B71E6B">
            <w:pPr>
              <w:rPr>
                <w:sz w:val="18"/>
                <w:szCs w:val="18"/>
                <w:lang w:val="en-US"/>
              </w:rPr>
            </w:pPr>
          </w:p>
        </w:tc>
        <w:tc>
          <w:tcPr>
            <w:tcW w:w="1621" w:type="dxa"/>
            <w:vAlign w:val="center"/>
          </w:tcPr>
          <w:p w14:paraId="2FAB0FB6" w14:textId="77777777" w:rsidR="000417EF" w:rsidRPr="00425028" w:rsidRDefault="000417EF" w:rsidP="00B71E6B">
            <w:pPr>
              <w:rPr>
                <w:sz w:val="18"/>
                <w:szCs w:val="18"/>
                <w:lang w:val="en-US"/>
              </w:rPr>
            </w:pPr>
            <w:r w:rsidRPr="00425028">
              <w:rPr>
                <w:sz w:val="18"/>
                <w:szCs w:val="18"/>
                <w:lang w:val="en-US"/>
              </w:rPr>
              <w:t>Couple, two children (one &lt;5, one &lt;10)</w:t>
            </w:r>
          </w:p>
        </w:tc>
        <w:tc>
          <w:tcPr>
            <w:tcW w:w="1745" w:type="dxa"/>
            <w:vAlign w:val="center"/>
          </w:tcPr>
          <w:p w14:paraId="508677C2" w14:textId="4E81E1B2" w:rsidR="000417EF" w:rsidRPr="00425028" w:rsidRDefault="000417EF" w:rsidP="00B71E6B">
            <w:pPr>
              <w:rPr>
                <w:sz w:val="18"/>
                <w:szCs w:val="18"/>
                <w:lang w:val="en-US"/>
              </w:rPr>
            </w:pPr>
            <w:r w:rsidRPr="00425028">
              <w:rPr>
                <w:sz w:val="18"/>
                <w:szCs w:val="18"/>
                <w:lang w:val="en-US"/>
              </w:rPr>
              <w:t xml:space="preserve">Minimum wage + Parenting Payment (partnered) </w:t>
            </w:r>
          </w:p>
        </w:tc>
        <w:tc>
          <w:tcPr>
            <w:tcW w:w="1134" w:type="dxa"/>
            <w:shd w:val="clear" w:color="auto" w:fill="FFFFFF" w:themeFill="background1"/>
          </w:tcPr>
          <w:p w14:paraId="51AD219F" w14:textId="77777777" w:rsidR="000417EF" w:rsidRPr="00425028" w:rsidRDefault="000417EF" w:rsidP="00B71E6B">
            <w:pPr>
              <w:rPr>
                <w:sz w:val="18"/>
                <w:szCs w:val="18"/>
              </w:rPr>
            </w:pPr>
          </w:p>
          <w:p w14:paraId="79EFA9EC" w14:textId="77777777" w:rsidR="000417EF" w:rsidRPr="00425028" w:rsidRDefault="000417EF" w:rsidP="00B71E6B">
            <w:pPr>
              <w:rPr>
                <w:sz w:val="18"/>
                <w:szCs w:val="18"/>
              </w:rPr>
            </w:pPr>
            <w:r w:rsidRPr="00425028">
              <w:rPr>
                <w:sz w:val="18"/>
                <w:szCs w:val="18"/>
              </w:rPr>
              <w:t>$434</w:t>
            </w:r>
          </w:p>
        </w:tc>
        <w:tc>
          <w:tcPr>
            <w:tcW w:w="1434" w:type="dxa"/>
            <w:shd w:val="clear" w:color="auto" w:fill="FFFFFF" w:themeFill="background1"/>
            <w:vAlign w:val="center"/>
          </w:tcPr>
          <w:p w14:paraId="7A56C8C7" w14:textId="77777777" w:rsidR="000417EF" w:rsidRPr="00425028" w:rsidRDefault="000417EF" w:rsidP="00B71E6B">
            <w:pPr>
              <w:rPr>
                <w:sz w:val="18"/>
                <w:szCs w:val="18"/>
              </w:rPr>
            </w:pPr>
            <w:r w:rsidRPr="00425028">
              <w:rPr>
                <w:sz w:val="18"/>
                <w:szCs w:val="18"/>
              </w:rPr>
              <w:t>56</w:t>
            </w:r>
          </w:p>
        </w:tc>
        <w:tc>
          <w:tcPr>
            <w:tcW w:w="1475" w:type="dxa"/>
            <w:shd w:val="clear" w:color="auto" w:fill="FFFFFF" w:themeFill="background1"/>
            <w:vAlign w:val="center"/>
          </w:tcPr>
          <w:p w14:paraId="6E6178D8" w14:textId="77777777" w:rsidR="000417EF" w:rsidRPr="00425028" w:rsidRDefault="000417EF" w:rsidP="00B71E6B">
            <w:pPr>
              <w:rPr>
                <w:sz w:val="18"/>
                <w:szCs w:val="18"/>
              </w:rPr>
            </w:pPr>
            <w:r w:rsidRPr="00425028">
              <w:rPr>
                <w:sz w:val="18"/>
                <w:szCs w:val="18"/>
              </w:rPr>
              <w:t>7%</w:t>
            </w:r>
          </w:p>
        </w:tc>
        <w:tc>
          <w:tcPr>
            <w:tcW w:w="1233" w:type="dxa"/>
            <w:shd w:val="clear" w:color="auto" w:fill="FFFFFF" w:themeFill="background1"/>
            <w:vAlign w:val="center"/>
          </w:tcPr>
          <w:p w14:paraId="2C65EEBB" w14:textId="77777777" w:rsidR="000417EF" w:rsidRPr="00425028" w:rsidRDefault="000417EF" w:rsidP="00B71E6B">
            <w:pPr>
              <w:rPr>
                <w:sz w:val="18"/>
                <w:szCs w:val="18"/>
              </w:rPr>
            </w:pPr>
            <w:r w:rsidRPr="00425028">
              <w:rPr>
                <w:sz w:val="18"/>
                <w:szCs w:val="18"/>
              </w:rPr>
              <w:t>South: 6</w:t>
            </w:r>
          </w:p>
          <w:p w14:paraId="5D8443F0" w14:textId="77777777" w:rsidR="000417EF" w:rsidRPr="00425028" w:rsidRDefault="000417EF" w:rsidP="00B71E6B">
            <w:pPr>
              <w:rPr>
                <w:sz w:val="18"/>
                <w:szCs w:val="18"/>
              </w:rPr>
            </w:pPr>
            <w:r w:rsidRPr="00425028">
              <w:rPr>
                <w:sz w:val="18"/>
                <w:szCs w:val="18"/>
              </w:rPr>
              <w:t>North: 27</w:t>
            </w:r>
          </w:p>
          <w:p w14:paraId="362F3D62" w14:textId="77777777" w:rsidR="000417EF" w:rsidRPr="00425028" w:rsidRDefault="000417EF" w:rsidP="00B71E6B">
            <w:pPr>
              <w:rPr>
                <w:sz w:val="18"/>
                <w:szCs w:val="18"/>
              </w:rPr>
            </w:pPr>
            <w:r w:rsidRPr="00425028">
              <w:rPr>
                <w:sz w:val="18"/>
                <w:szCs w:val="18"/>
              </w:rPr>
              <w:t>North West: 23</w:t>
            </w:r>
          </w:p>
        </w:tc>
      </w:tr>
      <w:tr w:rsidR="000417EF" w:rsidRPr="00425028" w14:paraId="201F6A25" w14:textId="77777777" w:rsidTr="00F553AD">
        <w:trPr>
          <w:trHeight w:val="567"/>
        </w:trPr>
        <w:tc>
          <w:tcPr>
            <w:tcW w:w="1068" w:type="dxa"/>
            <w:vMerge/>
            <w:vAlign w:val="center"/>
          </w:tcPr>
          <w:p w14:paraId="76050835" w14:textId="77777777" w:rsidR="000417EF" w:rsidRPr="00425028" w:rsidRDefault="000417EF" w:rsidP="00B71E6B">
            <w:pPr>
              <w:rPr>
                <w:sz w:val="18"/>
                <w:szCs w:val="18"/>
                <w:lang w:val="en-US"/>
              </w:rPr>
            </w:pPr>
          </w:p>
        </w:tc>
        <w:tc>
          <w:tcPr>
            <w:tcW w:w="1621" w:type="dxa"/>
            <w:vAlign w:val="center"/>
          </w:tcPr>
          <w:p w14:paraId="3A18C587" w14:textId="77777777" w:rsidR="000417EF" w:rsidRPr="00425028" w:rsidRDefault="000417EF" w:rsidP="00B71E6B">
            <w:pPr>
              <w:rPr>
                <w:sz w:val="18"/>
                <w:szCs w:val="18"/>
                <w:lang w:val="en-US"/>
              </w:rPr>
            </w:pPr>
            <w:r w:rsidRPr="00425028">
              <w:rPr>
                <w:sz w:val="18"/>
                <w:szCs w:val="18"/>
                <w:lang w:val="en-US"/>
              </w:rPr>
              <w:t>Couple, two children (one &lt;5, one &lt;10)</w:t>
            </w:r>
          </w:p>
        </w:tc>
        <w:tc>
          <w:tcPr>
            <w:tcW w:w="1745" w:type="dxa"/>
            <w:vAlign w:val="center"/>
          </w:tcPr>
          <w:p w14:paraId="635E91A6" w14:textId="3A04CEF4" w:rsidR="000417EF" w:rsidRPr="00425028" w:rsidRDefault="000417EF" w:rsidP="00B71E6B">
            <w:pPr>
              <w:rPr>
                <w:sz w:val="18"/>
                <w:szCs w:val="18"/>
                <w:lang w:val="en-US"/>
              </w:rPr>
            </w:pPr>
            <w:r w:rsidRPr="00425028">
              <w:rPr>
                <w:sz w:val="18"/>
                <w:szCs w:val="18"/>
                <w:lang w:val="en-US"/>
              </w:rPr>
              <w:t xml:space="preserve">Minimum wage </w:t>
            </w:r>
          </w:p>
        </w:tc>
        <w:tc>
          <w:tcPr>
            <w:tcW w:w="1134" w:type="dxa"/>
            <w:shd w:val="clear" w:color="auto" w:fill="FFFFFF" w:themeFill="background1"/>
          </w:tcPr>
          <w:p w14:paraId="3E0683B1" w14:textId="77777777" w:rsidR="000417EF" w:rsidRPr="00425028" w:rsidRDefault="000417EF" w:rsidP="00B71E6B">
            <w:pPr>
              <w:rPr>
                <w:sz w:val="18"/>
                <w:szCs w:val="18"/>
              </w:rPr>
            </w:pPr>
          </w:p>
          <w:p w14:paraId="1AF6F6D8" w14:textId="77777777" w:rsidR="000417EF" w:rsidRPr="00425028" w:rsidRDefault="000417EF" w:rsidP="00B71E6B">
            <w:pPr>
              <w:rPr>
                <w:sz w:val="18"/>
                <w:szCs w:val="18"/>
              </w:rPr>
            </w:pPr>
            <w:r w:rsidRPr="00425028">
              <w:rPr>
                <w:sz w:val="18"/>
                <w:szCs w:val="18"/>
              </w:rPr>
              <w:t>$549</w:t>
            </w:r>
          </w:p>
        </w:tc>
        <w:tc>
          <w:tcPr>
            <w:tcW w:w="1434" w:type="dxa"/>
            <w:shd w:val="clear" w:color="auto" w:fill="FFFFFF" w:themeFill="background1"/>
            <w:vAlign w:val="center"/>
          </w:tcPr>
          <w:p w14:paraId="0F687245" w14:textId="7C4A8B4A" w:rsidR="000417EF" w:rsidRPr="00425028" w:rsidRDefault="000417EF" w:rsidP="00B71E6B">
            <w:pPr>
              <w:rPr>
                <w:sz w:val="18"/>
                <w:szCs w:val="18"/>
              </w:rPr>
            </w:pPr>
            <w:r w:rsidRPr="00425028">
              <w:rPr>
                <w:sz w:val="18"/>
                <w:szCs w:val="18"/>
              </w:rPr>
              <w:t>20</w:t>
            </w:r>
            <w:r w:rsidR="000C670C" w:rsidRPr="00425028">
              <w:rPr>
                <w:sz w:val="18"/>
                <w:szCs w:val="18"/>
              </w:rPr>
              <w:t>2</w:t>
            </w:r>
          </w:p>
        </w:tc>
        <w:tc>
          <w:tcPr>
            <w:tcW w:w="1475" w:type="dxa"/>
            <w:shd w:val="clear" w:color="auto" w:fill="FFFFFF" w:themeFill="background1"/>
            <w:vAlign w:val="center"/>
          </w:tcPr>
          <w:p w14:paraId="34F48494" w14:textId="730112BF" w:rsidR="000417EF" w:rsidRPr="00425028" w:rsidRDefault="000417EF" w:rsidP="00B71E6B">
            <w:pPr>
              <w:rPr>
                <w:sz w:val="18"/>
                <w:szCs w:val="18"/>
              </w:rPr>
            </w:pPr>
            <w:r w:rsidRPr="00425028">
              <w:rPr>
                <w:sz w:val="18"/>
                <w:szCs w:val="18"/>
              </w:rPr>
              <w:t>2</w:t>
            </w:r>
            <w:r w:rsidR="005464A9" w:rsidRPr="00425028">
              <w:rPr>
                <w:sz w:val="18"/>
                <w:szCs w:val="18"/>
              </w:rPr>
              <w:t>4</w:t>
            </w:r>
            <w:r w:rsidRPr="00425028">
              <w:rPr>
                <w:sz w:val="18"/>
                <w:szCs w:val="18"/>
              </w:rPr>
              <w:t>%</w:t>
            </w:r>
          </w:p>
        </w:tc>
        <w:tc>
          <w:tcPr>
            <w:tcW w:w="1233" w:type="dxa"/>
            <w:shd w:val="clear" w:color="auto" w:fill="FFFFFF" w:themeFill="background1"/>
            <w:vAlign w:val="center"/>
          </w:tcPr>
          <w:p w14:paraId="238EEE7F" w14:textId="77777777" w:rsidR="000417EF" w:rsidRPr="00425028" w:rsidRDefault="000417EF" w:rsidP="00B71E6B">
            <w:pPr>
              <w:rPr>
                <w:sz w:val="18"/>
                <w:szCs w:val="18"/>
              </w:rPr>
            </w:pPr>
            <w:r w:rsidRPr="00425028">
              <w:rPr>
                <w:sz w:val="18"/>
                <w:szCs w:val="18"/>
              </w:rPr>
              <w:t>South: 59</w:t>
            </w:r>
          </w:p>
          <w:p w14:paraId="3D60319D" w14:textId="0B3910A4" w:rsidR="000417EF" w:rsidRPr="00425028" w:rsidRDefault="000417EF" w:rsidP="00B71E6B">
            <w:pPr>
              <w:rPr>
                <w:sz w:val="18"/>
                <w:szCs w:val="18"/>
              </w:rPr>
            </w:pPr>
            <w:r w:rsidRPr="00425028">
              <w:rPr>
                <w:sz w:val="18"/>
                <w:szCs w:val="18"/>
              </w:rPr>
              <w:t xml:space="preserve">North: </w:t>
            </w:r>
            <w:r w:rsidR="00A83F8A" w:rsidRPr="00425028">
              <w:rPr>
                <w:sz w:val="18"/>
                <w:szCs w:val="18"/>
              </w:rPr>
              <w:t>89</w:t>
            </w:r>
          </w:p>
          <w:p w14:paraId="2E5C25B5" w14:textId="52CE7DBC" w:rsidR="000417EF" w:rsidRPr="00425028" w:rsidRDefault="000417EF" w:rsidP="00B71E6B">
            <w:pPr>
              <w:rPr>
                <w:sz w:val="18"/>
                <w:szCs w:val="18"/>
              </w:rPr>
            </w:pPr>
            <w:r w:rsidRPr="00425028">
              <w:rPr>
                <w:sz w:val="18"/>
                <w:szCs w:val="18"/>
              </w:rPr>
              <w:t>North West: 5</w:t>
            </w:r>
            <w:r w:rsidR="00B80683" w:rsidRPr="00425028">
              <w:rPr>
                <w:sz w:val="18"/>
                <w:szCs w:val="18"/>
              </w:rPr>
              <w:t>4</w:t>
            </w:r>
          </w:p>
        </w:tc>
      </w:tr>
    </w:tbl>
    <w:p w14:paraId="5F081D15" w14:textId="3158B7F3" w:rsidR="000417EF" w:rsidRPr="00425028" w:rsidRDefault="000417EF" w:rsidP="00B71E6B">
      <w:pPr>
        <w:sectPr w:rsidR="000417EF" w:rsidRPr="00425028" w:rsidSect="006E29EB">
          <w:pgSz w:w="11906" w:h="16838"/>
          <w:pgMar w:top="567" w:right="284" w:bottom="567" w:left="567" w:header="709" w:footer="709" w:gutter="0"/>
          <w:cols w:space="708"/>
          <w:docGrid w:linePitch="360"/>
        </w:sectPr>
      </w:pPr>
    </w:p>
    <w:p w14:paraId="587B4214" w14:textId="77777777" w:rsidR="00F643D3" w:rsidRPr="00425028" w:rsidRDefault="00F643D3" w:rsidP="00B71E6B">
      <w:pPr>
        <w:pStyle w:val="Heading1"/>
        <w:rPr>
          <w:rFonts w:ascii="Avenir Next LT Pro" w:hAnsi="Avenir Next LT Pro"/>
        </w:rPr>
      </w:pPr>
      <w:bookmarkStart w:id="14" w:name="_Toc195101858"/>
      <w:bookmarkStart w:id="15" w:name="_Toc196228978"/>
      <w:r w:rsidRPr="00425028">
        <w:rPr>
          <w:rFonts w:ascii="Avenir Next LT Pro" w:hAnsi="Avenir Next LT Pro"/>
        </w:rPr>
        <w:t>Regional analysis</w:t>
      </w:r>
      <w:bookmarkEnd w:id="14"/>
      <w:bookmarkEnd w:id="15"/>
    </w:p>
    <w:p w14:paraId="0BA2D103" w14:textId="77777777" w:rsidR="00F643D3" w:rsidRPr="00425028" w:rsidRDefault="00F643D3" w:rsidP="00B71E6B">
      <w:pPr>
        <w:pStyle w:val="Heading2"/>
        <w:rPr>
          <w:rFonts w:ascii="Avenir Next LT Pro" w:hAnsi="Avenir Next LT Pro"/>
        </w:rPr>
      </w:pPr>
      <w:bookmarkStart w:id="16" w:name="_Toc195101859"/>
      <w:bookmarkStart w:id="17" w:name="_Toc196228979"/>
      <w:r w:rsidRPr="00425028">
        <w:rPr>
          <w:rFonts w:ascii="Avenir Next LT Pro" w:hAnsi="Avenir Next LT Pro"/>
        </w:rPr>
        <w:t>South</w:t>
      </w:r>
      <w:bookmarkEnd w:id="16"/>
      <w:bookmarkEnd w:id="17"/>
    </w:p>
    <w:p w14:paraId="0039081B" w14:textId="77777777" w:rsidR="00F643D3" w:rsidRPr="00425028" w:rsidRDefault="00F643D3" w:rsidP="00B71E6B">
      <w:pPr>
        <w:pStyle w:val="Subtitle"/>
      </w:pPr>
      <w:r w:rsidRPr="00425028">
        <w:t>Availability</w:t>
      </w:r>
    </w:p>
    <w:p w14:paraId="26F8A723" w14:textId="520FEBB5" w:rsidR="00F643D3" w:rsidRPr="00425028" w:rsidRDefault="00F643D3" w:rsidP="00B71E6B">
      <w:r w:rsidRPr="00425028">
        <w:t>The number of properties advertised has decreased by a third (32%) in the south of the state.</w:t>
      </w:r>
      <w:r w:rsidRPr="00425028">
        <w:rPr>
          <w:rStyle w:val="FootnoteReference"/>
        </w:rPr>
        <w:footnoteReference w:id="6"/>
      </w:r>
      <w:r w:rsidRPr="00425028">
        <w:t xml:space="preserve"> This is the largest fall </w:t>
      </w:r>
      <w:r w:rsidR="0090312C" w:rsidRPr="00425028">
        <w:t>over</w:t>
      </w:r>
      <w:r w:rsidRPr="00425028">
        <w:t xml:space="preserve"> the last decade, </w:t>
      </w:r>
      <w:r w:rsidR="00247082" w:rsidRPr="00425028">
        <w:t>except for</w:t>
      </w:r>
      <w:r w:rsidRPr="00425028">
        <w:t xml:space="preserve"> the pandemic-affected </w:t>
      </w:r>
      <w:r w:rsidR="0090312C" w:rsidRPr="00425028">
        <w:t>decline between 2020 and 2021</w:t>
      </w:r>
      <w:r w:rsidRPr="00425028">
        <w:t xml:space="preserve">. </w:t>
      </w:r>
    </w:p>
    <w:p w14:paraId="2C30AD74" w14:textId="262480AD" w:rsidR="00F643D3" w:rsidRDefault="0090312C" w:rsidP="00B71E6B">
      <w:r w:rsidRPr="00425028">
        <w:t>Because the</w:t>
      </w:r>
      <w:r w:rsidR="00F643D3" w:rsidRPr="00425028">
        <w:t xml:space="preserve"> population of Greater Hobart</w:t>
      </w:r>
      <w:r w:rsidRPr="00425028">
        <w:t xml:space="preserve"> has remained stable, </w:t>
      </w:r>
      <w:r w:rsidR="00261B5D" w:rsidRPr="00425028">
        <w:t>the number of people applying for each property is likely to be much higher.</w:t>
      </w:r>
      <w:r w:rsidR="00F643D3" w:rsidRPr="00425028">
        <w:t xml:space="preserve"> </w:t>
      </w:r>
    </w:p>
    <w:p w14:paraId="4E557C6F" w14:textId="6F7E0750" w:rsidR="009C6D2E" w:rsidRPr="009C6D2E" w:rsidRDefault="009C6D2E" w:rsidP="00B71E6B">
      <w:pPr>
        <w:rPr>
          <w:b/>
          <w:bCs/>
        </w:rPr>
      </w:pPr>
      <w:r w:rsidRPr="009C6D2E">
        <w:rPr>
          <w:b/>
          <w:bCs/>
        </w:rPr>
        <w:t>Figure 3.</w:t>
      </w:r>
    </w:p>
    <w:p w14:paraId="627B04CB" w14:textId="77777777" w:rsidR="00F643D3" w:rsidRPr="00425028" w:rsidRDefault="00F643D3" w:rsidP="00B71E6B">
      <w:r w:rsidRPr="00425028">
        <w:rPr>
          <w:noProof/>
          <w:lang w:val="en-US"/>
        </w:rPr>
        <w:drawing>
          <wp:inline distT="0" distB="0" distL="0" distR="0" wp14:anchorId="3F70E9A0" wp14:editId="376F231F">
            <wp:extent cx="5486400" cy="3200400"/>
            <wp:effectExtent l="0" t="0" r="0" b="0"/>
            <wp:docPr id="816029443" name="Chart 816029443" descr="Column grap depicting number of properties in the South. Beginning with a high of 1304 in 2013, falling to a low of 339 in 2022, rising back to 659 in 2024, then finally falling to 449 in 20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964BF11" w14:textId="6C66AC92" w:rsidR="007016BB" w:rsidRPr="007016BB" w:rsidRDefault="007016BB" w:rsidP="007016BB">
      <w:pPr>
        <w:rPr>
          <w:i/>
          <w:iCs/>
        </w:rPr>
      </w:pPr>
      <w:r>
        <w:rPr>
          <w:i/>
          <w:iCs/>
        </w:rPr>
        <w:t>Source: Anglicare Tasmania</w:t>
      </w:r>
    </w:p>
    <w:p w14:paraId="60EB2ACE" w14:textId="77777777" w:rsidR="007016BB" w:rsidRDefault="007016BB">
      <w:pPr>
        <w:rPr>
          <w:rFonts w:eastAsiaTheme="majorEastAsia" w:cstheme="majorBidi"/>
          <w:color w:val="595959" w:themeColor="text1" w:themeTint="A6"/>
          <w:spacing w:val="15"/>
          <w:sz w:val="28"/>
          <w:szCs w:val="28"/>
        </w:rPr>
      </w:pPr>
      <w:r>
        <w:br w:type="page"/>
      </w:r>
    </w:p>
    <w:p w14:paraId="09D0FC92" w14:textId="5902F12D" w:rsidR="00F643D3" w:rsidRPr="00425028" w:rsidRDefault="007016BB" w:rsidP="00B71E6B">
      <w:pPr>
        <w:pStyle w:val="Subtitle"/>
      </w:pPr>
      <w:r>
        <w:t>A</w:t>
      </w:r>
      <w:r w:rsidR="00F643D3" w:rsidRPr="00425028">
        <w:t>ffordability</w:t>
      </w:r>
    </w:p>
    <w:p w14:paraId="317610B5" w14:textId="77777777" w:rsidR="00F643D3" w:rsidRPr="00425028" w:rsidRDefault="00F643D3" w:rsidP="00F235D7">
      <w:pPr>
        <w:pStyle w:val="Heading3"/>
      </w:pPr>
      <w:bookmarkStart w:id="18" w:name="_Toc196228980"/>
      <w:bookmarkStart w:id="19" w:name="_Hlk193982310"/>
      <w:r w:rsidRPr="00425028">
        <w:t>Singles</w:t>
      </w:r>
      <w:bookmarkEnd w:id="18"/>
    </w:p>
    <w:p w14:paraId="196BB4EA" w14:textId="7A938C00" w:rsidR="00F643D3" w:rsidRPr="00425028" w:rsidRDefault="00F643D3" w:rsidP="00B71E6B">
      <w:r w:rsidRPr="00425028">
        <w:t xml:space="preserve">We found 121 sharehouse rooms advertised in the South this year, ranging from an unusually cheap $125 to $350 a week. The average price was $233. This gives a person on minimum wage 69 affordable possibilities, 36 for a person on </w:t>
      </w:r>
      <w:r w:rsidR="00332BA4" w:rsidRPr="00425028">
        <w:t xml:space="preserve">Age or </w:t>
      </w:r>
      <w:r w:rsidRPr="00425028">
        <w:t xml:space="preserve">Disability Pension, </w:t>
      </w:r>
      <w:r w:rsidR="005C6D59">
        <w:t>one</w:t>
      </w:r>
      <w:r w:rsidR="009906F3" w:rsidRPr="00425028">
        <w:t xml:space="preserve"> for a </w:t>
      </w:r>
      <w:r w:rsidRPr="00425028">
        <w:t>person on Job</w:t>
      </w:r>
      <w:r w:rsidR="005C6D59">
        <w:t>S</w:t>
      </w:r>
      <w:r w:rsidRPr="00425028">
        <w:t>eeker, and</w:t>
      </w:r>
      <w:r w:rsidR="009906F3" w:rsidRPr="00425028">
        <w:t xml:space="preserve"> none for</w:t>
      </w:r>
      <w:r w:rsidRPr="00425028">
        <w:t xml:space="preserve"> a person on Youth Allowance.</w:t>
      </w:r>
      <w:r w:rsidR="007210AF" w:rsidRPr="00425028">
        <w:t xml:space="preserve"> Not e</w:t>
      </w:r>
      <w:r w:rsidRPr="00425028">
        <w:t xml:space="preserve">ven a </w:t>
      </w:r>
      <w:r w:rsidR="007210AF" w:rsidRPr="00425028">
        <w:t xml:space="preserve">person working </w:t>
      </w:r>
      <w:r w:rsidR="009B6177" w:rsidRPr="00425028">
        <w:t>full-time</w:t>
      </w:r>
      <w:r w:rsidR="00144B7C" w:rsidRPr="00425028">
        <w:t xml:space="preserve"> earning </w:t>
      </w:r>
      <w:r w:rsidR="0090312C" w:rsidRPr="00425028">
        <w:t xml:space="preserve">minimum </w:t>
      </w:r>
      <w:r w:rsidRPr="00425028">
        <w:t xml:space="preserve">wage can afford an unshared unit; their budget is $240 and the cheapest Hobart bedsit is $285. </w:t>
      </w:r>
    </w:p>
    <w:p w14:paraId="54084195" w14:textId="77777777" w:rsidR="00F643D3" w:rsidRPr="00425028" w:rsidRDefault="00F643D3" w:rsidP="00F235D7">
      <w:pPr>
        <w:pStyle w:val="Heading3"/>
      </w:pPr>
      <w:bookmarkStart w:id="20" w:name="_Toc196228981"/>
      <w:r w:rsidRPr="00425028">
        <w:t>Older people</w:t>
      </w:r>
      <w:bookmarkEnd w:id="20"/>
    </w:p>
    <w:p w14:paraId="5BC8E365" w14:textId="2A22C2E8" w:rsidR="00F643D3" w:rsidRPr="00425028" w:rsidRDefault="00F643D3" w:rsidP="00B71E6B">
      <w:r w:rsidRPr="00425028">
        <w:t xml:space="preserve">A couple on the Age Pension, looking for a small unit in Hobart, will find just 2 properties they can afford. One is </w:t>
      </w:r>
      <w:r w:rsidR="0090312C" w:rsidRPr="00425028">
        <w:t>the $285</w:t>
      </w:r>
      <w:r w:rsidRPr="00425028">
        <w:t xml:space="preserve"> Hobart bedsit </w:t>
      </w:r>
      <w:r w:rsidR="0090312C" w:rsidRPr="00425028">
        <w:t>and</w:t>
      </w:r>
      <w:r w:rsidRPr="00425028">
        <w:t xml:space="preserve"> the other </w:t>
      </w:r>
      <w:r w:rsidR="00BB0DBB" w:rsidRPr="00425028">
        <w:t>is in</w:t>
      </w:r>
      <w:r w:rsidR="00037BD6" w:rsidRPr="00425028">
        <w:t xml:space="preserve"> </w:t>
      </w:r>
      <w:r w:rsidRPr="00425028">
        <w:t>Collinsvale</w:t>
      </w:r>
      <w:r w:rsidR="00037BD6" w:rsidRPr="00425028">
        <w:t xml:space="preserve"> </w:t>
      </w:r>
      <w:r w:rsidR="007568F2" w:rsidRPr="00425028">
        <w:t>almost 20km from the CBD</w:t>
      </w:r>
      <w:r w:rsidRPr="00425028">
        <w:t>. A ground floor unit in New Town close to public transport will cost them 42% of their income.</w:t>
      </w:r>
    </w:p>
    <w:p w14:paraId="44C8739B" w14:textId="56840B19" w:rsidR="00F643D3" w:rsidRPr="00425028" w:rsidRDefault="00F643D3" w:rsidP="00B71E6B">
      <w:r w:rsidRPr="00425028">
        <w:t xml:space="preserve">A single Age pensioner in Hobart cannot afford to rent a property unless they </w:t>
      </w:r>
      <w:r w:rsidR="007568F2" w:rsidRPr="00425028">
        <w:t>choose</w:t>
      </w:r>
      <w:r w:rsidRPr="00425028">
        <w:t xml:space="preserve"> to live in a sharehouse. In practice, </w:t>
      </w:r>
      <w:r w:rsidR="009A1951" w:rsidRPr="00425028">
        <w:t>this is often not an appropriate option for people in this age group and fewer than 6% of renters in sharehouses are aged over 65 years.</w:t>
      </w:r>
      <w:r w:rsidR="00F77C20" w:rsidRPr="00425028">
        <w:rPr>
          <w:rStyle w:val="FootnoteReference"/>
        </w:rPr>
        <w:footnoteReference w:id="7"/>
      </w:r>
    </w:p>
    <w:p w14:paraId="5907D9F3" w14:textId="77777777" w:rsidR="00F643D3" w:rsidRPr="00425028" w:rsidRDefault="00F643D3" w:rsidP="00F235D7">
      <w:pPr>
        <w:pStyle w:val="Heading3"/>
      </w:pPr>
      <w:bookmarkStart w:id="21" w:name="_Toc196228982"/>
      <w:r w:rsidRPr="00425028">
        <w:t>Single parent families</w:t>
      </w:r>
      <w:bookmarkEnd w:id="21"/>
    </w:p>
    <w:p w14:paraId="1D41148C" w14:textId="140A8934" w:rsidR="00F643D3" w:rsidRPr="00425028" w:rsidRDefault="00C740E4" w:rsidP="00B71E6B">
      <w:r w:rsidRPr="00425028">
        <w:t xml:space="preserve">Single parent families will struggle to find an affordable rental even if they are </w:t>
      </w:r>
      <w:r w:rsidR="00023324" w:rsidRPr="00425028">
        <w:t>in paid work</w:t>
      </w:r>
      <w:r w:rsidR="00F643D3" w:rsidRPr="00425028">
        <w:t xml:space="preserve">. There are 6 properties in the south of the state that a single parent </w:t>
      </w:r>
      <w:r w:rsidR="00023324" w:rsidRPr="00425028">
        <w:t>working for the minimum wage</w:t>
      </w:r>
      <w:r w:rsidR="00564B54" w:rsidRPr="00425028">
        <w:t xml:space="preserve"> </w:t>
      </w:r>
      <w:r w:rsidR="00F643D3" w:rsidRPr="00425028">
        <w:t xml:space="preserve">with two children can afford. Competition for them is likely to be high. Parents </w:t>
      </w:r>
      <w:r w:rsidR="005552CF" w:rsidRPr="00425028">
        <w:t xml:space="preserve">relying </w:t>
      </w:r>
      <w:r w:rsidR="00F643D3" w:rsidRPr="00425028">
        <w:t>on income support payments will find one or two unusually cheap units they can afford, but if they are</w:t>
      </w:r>
      <w:r w:rsidR="00B71E3A">
        <w:t xml:space="preserve"> not able</w:t>
      </w:r>
      <w:r w:rsidR="00F643D3" w:rsidRPr="00425028">
        <w:t xml:space="preserve"> to secure one of these, they will be spending 45%-50% of their income on rent. This is classified as extreme rental stress and means their children will be growing up in poverty.</w:t>
      </w:r>
    </w:p>
    <w:p w14:paraId="64BE0D75" w14:textId="77777777" w:rsidR="00F643D3" w:rsidRPr="00425028" w:rsidRDefault="00F643D3" w:rsidP="00F235D7">
      <w:pPr>
        <w:pStyle w:val="Heading3"/>
      </w:pPr>
      <w:bookmarkStart w:id="22" w:name="_Toc196228983"/>
      <w:r w:rsidRPr="00425028">
        <w:t>Couple families</w:t>
      </w:r>
      <w:bookmarkEnd w:id="22"/>
    </w:p>
    <w:p w14:paraId="6A173019" w14:textId="129C1221" w:rsidR="00F643D3" w:rsidRPr="00425028" w:rsidRDefault="00F643D3" w:rsidP="00B71E6B">
      <w:r w:rsidRPr="00425028">
        <w:t>Families in Hobart will find that 3-bedroom properties start around $430 a week in Gagebrook, and average over $600. A family with two adults earning full</w:t>
      </w:r>
      <w:r w:rsidR="009E4BFD" w:rsidRPr="00425028">
        <w:t xml:space="preserve"> </w:t>
      </w:r>
      <w:r w:rsidRPr="00425028">
        <w:t xml:space="preserve">time minimum wage can afford 59, or just over 20%, of these properties. If only one adult </w:t>
      </w:r>
      <w:r w:rsidR="00A24A8A" w:rsidRPr="00425028">
        <w:t xml:space="preserve">is in paid </w:t>
      </w:r>
      <w:r w:rsidRPr="00425028">
        <w:t>work</w:t>
      </w:r>
      <w:r w:rsidR="00192F46" w:rsidRPr="00425028">
        <w:t xml:space="preserve"> for the minimum wage</w:t>
      </w:r>
      <w:r w:rsidRPr="00425028">
        <w:t xml:space="preserve"> and the other receives </w:t>
      </w:r>
      <w:r w:rsidR="00790DE6" w:rsidRPr="00425028">
        <w:t>income support payments</w:t>
      </w:r>
      <w:r w:rsidRPr="00425028">
        <w:t xml:space="preserve">, this drops to just 6 properties. </w:t>
      </w:r>
    </w:p>
    <w:p w14:paraId="169D0CD2" w14:textId="6F41D46D" w:rsidR="00F643D3" w:rsidRPr="00425028" w:rsidRDefault="00F643D3" w:rsidP="00B71E6B">
      <w:r w:rsidRPr="00425028">
        <w:t>If both parents become unemployed and go onto Job</w:t>
      </w:r>
      <w:r w:rsidR="00FF5DC1">
        <w:t>S</w:t>
      </w:r>
      <w:r w:rsidRPr="00425028">
        <w:t xml:space="preserve">eeker, their budget for rent goes from $549 a week to just $335. </w:t>
      </w:r>
      <w:r w:rsidR="008B2058" w:rsidRPr="00425028">
        <w:t xml:space="preserve">They will find only one appropriate property in the South they can </w:t>
      </w:r>
      <w:r w:rsidR="00E66CB3" w:rsidRPr="00425028">
        <w:t>afford and</w:t>
      </w:r>
      <w:r w:rsidR="00EC28D6" w:rsidRPr="00425028">
        <w:t xml:space="preserve"> will be at risk of homelessness</w:t>
      </w:r>
      <w:r w:rsidR="008B2058" w:rsidRPr="00425028">
        <w:t>.</w:t>
      </w:r>
      <w:r w:rsidRPr="00425028">
        <w:t xml:space="preserve"> </w:t>
      </w:r>
    </w:p>
    <w:bookmarkEnd w:id="19"/>
    <w:p w14:paraId="220190AF" w14:textId="77777777" w:rsidR="00F643D3" w:rsidRPr="00425028" w:rsidRDefault="00F643D3" w:rsidP="00B71E6B">
      <w:pPr>
        <w:rPr>
          <w:rFonts w:eastAsiaTheme="majorEastAsia" w:cstheme="majorBidi"/>
          <w:color w:val="0F4761" w:themeColor="accent1" w:themeShade="BF"/>
          <w:sz w:val="26"/>
          <w:szCs w:val="26"/>
        </w:rPr>
      </w:pPr>
      <w:r w:rsidRPr="00425028">
        <w:br w:type="page"/>
      </w:r>
    </w:p>
    <w:p w14:paraId="31184C7D" w14:textId="77777777" w:rsidR="00F643D3" w:rsidRPr="00425028" w:rsidRDefault="00F643D3" w:rsidP="00B71E6B">
      <w:pPr>
        <w:pStyle w:val="Heading2"/>
        <w:rPr>
          <w:rFonts w:ascii="Avenir Next LT Pro" w:hAnsi="Avenir Next LT Pro"/>
        </w:rPr>
      </w:pPr>
      <w:bookmarkStart w:id="23" w:name="_Toc195101860"/>
      <w:bookmarkStart w:id="24" w:name="_Toc196228984"/>
      <w:r w:rsidRPr="00425028">
        <w:rPr>
          <w:rFonts w:ascii="Avenir Next LT Pro" w:hAnsi="Avenir Next LT Pro"/>
        </w:rPr>
        <w:t>North</w:t>
      </w:r>
      <w:bookmarkEnd w:id="23"/>
      <w:bookmarkEnd w:id="24"/>
    </w:p>
    <w:p w14:paraId="0C3B12C2" w14:textId="77777777" w:rsidR="00F643D3" w:rsidRPr="00425028" w:rsidRDefault="00F643D3" w:rsidP="00B71E6B">
      <w:pPr>
        <w:pStyle w:val="Subtitle"/>
      </w:pPr>
      <w:r w:rsidRPr="00425028">
        <w:t>Availability</w:t>
      </w:r>
    </w:p>
    <w:p w14:paraId="514B4A8F" w14:textId="1BB88DF2" w:rsidR="00F643D3" w:rsidRDefault="00F643D3" w:rsidP="00B71E6B">
      <w:r w:rsidRPr="00425028">
        <w:t>The number of prope</w:t>
      </w:r>
      <w:r w:rsidR="009906F3" w:rsidRPr="00425028">
        <w:t>r</w:t>
      </w:r>
      <w:r w:rsidRPr="00425028">
        <w:t xml:space="preserve">ties advertised in the North has decreased by 8%, compared to the </w:t>
      </w:r>
      <w:r w:rsidR="00C740E4" w:rsidRPr="00425028">
        <w:t xml:space="preserve">larger </w:t>
      </w:r>
      <w:r w:rsidRPr="00425028">
        <w:t xml:space="preserve">falls in the South and North West. Availability in the North </w:t>
      </w:r>
      <w:r w:rsidR="00C740E4" w:rsidRPr="00425028">
        <w:t>has been</w:t>
      </w:r>
      <w:r w:rsidRPr="00425028">
        <w:t xml:space="preserve"> relatively steady since the pandemic, although it has not recovered to pre-pandemic levels.</w:t>
      </w:r>
    </w:p>
    <w:p w14:paraId="31C8FD0C" w14:textId="2E37666B" w:rsidR="00714E5A" w:rsidRPr="00714E5A" w:rsidRDefault="00714E5A" w:rsidP="00B71E6B">
      <w:pPr>
        <w:rPr>
          <w:b/>
          <w:bCs/>
        </w:rPr>
      </w:pPr>
      <w:r w:rsidRPr="00714E5A">
        <w:rPr>
          <w:b/>
          <w:bCs/>
        </w:rPr>
        <w:t>Figure 4.</w:t>
      </w:r>
    </w:p>
    <w:p w14:paraId="50781EA0" w14:textId="77777777" w:rsidR="00F643D3" w:rsidRPr="00425028" w:rsidRDefault="00F643D3" w:rsidP="00B71E6B">
      <w:r w:rsidRPr="00425028">
        <w:rPr>
          <w:noProof/>
          <w:lang w:val="en-US"/>
        </w:rPr>
        <w:drawing>
          <wp:inline distT="0" distB="0" distL="0" distR="0" wp14:anchorId="71A76C5D" wp14:editId="67603331">
            <wp:extent cx="5486400" cy="3200400"/>
            <wp:effectExtent l="0" t="0" r="0" b="0"/>
            <wp:docPr id="2" name="Chart 2" descr="Column graph depicting number of properties advertised in the North. Falling from a high of 809 in 2013, to a low of 209 in 2021, then remaining between 270 and 300 since."/>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1426AF5" w14:textId="3C8A6181" w:rsidR="007016BB" w:rsidRPr="007016BB" w:rsidRDefault="007016BB" w:rsidP="007016BB">
      <w:pPr>
        <w:rPr>
          <w:i/>
          <w:iCs/>
        </w:rPr>
      </w:pPr>
      <w:r w:rsidRPr="007016BB">
        <w:rPr>
          <w:i/>
          <w:iCs/>
        </w:rPr>
        <w:t>Source: Anglicare Tasmania</w:t>
      </w:r>
    </w:p>
    <w:p w14:paraId="581D1EC7" w14:textId="77777777" w:rsidR="007016BB" w:rsidRDefault="007016BB">
      <w:pPr>
        <w:rPr>
          <w:rFonts w:eastAsiaTheme="majorEastAsia" w:cstheme="majorBidi"/>
          <w:color w:val="595959" w:themeColor="text1" w:themeTint="A6"/>
          <w:spacing w:val="15"/>
          <w:sz w:val="28"/>
          <w:szCs w:val="28"/>
        </w:rPr>
      </w:pPr>
      <w:r>
        <w:br w:type="page"/>
      </w:r>
    </w:p>
    <w:p w14:paraId="2B3BAF53" w14:textId="4C0E353C" w:rsidR="00F643D3" w:rsidRPr="00425028" w:rsidRDefault="00F643D3" w:rsidP="00B71E6B">
      <w:pPr>
        <w:pStyle w:val="Subtitle"/>
      </w:pPr>
      <w:r w:rsidRPr="00425028">
        <w:t>Affordability</w:t>
      </w:r>
    </w:p>
    <w:p w14:paraId="2BC1DCC5" w14:textId="77777777" w:rsidR="00F643D3" w:rsidRPr="00425028" w:rsidRDefault="00F643D3" w:rsidP="00F235D7">
      <w:pPr>
        <w:pStyle w:val="Heading3"/>
      </w:pPr>
      <w:bookmarkStart w:id="25" w:name="_Toc196228985"/>
      <w:r w:rsidRPr="00425028">
        <w:t>Singles</w:t>
      </w:r>
      <w:bookmarkEnd w:id="25"/>
    </w:p>
    <w:p w14:paraId="473F2E55" w14:textId="6F31EFEE" w:rsidR="00F643D3" w:rsidRPr="00425028" w:rsidRDefault="00F643D3" w:rsidP="00B71E6B">
      <w:r w:rsidRPr="00425028">
        <w:t xml:space="preserve">Launceston </w:t>
      </w:r>
      <w:r w:rsidR="00C740E4" w:rsidRPr="00425028">
        <w:t>has far fewer sharehouses for rent compared to Hobart</w:t>
      </w:r>
      <w:r w:rsidRPr="00425028">
        <w:t xml:space="preserve">, which impacts on affordability for single people. We found just 35 sharehouses advertised in the North, at an average of $225 a week. </w:t>
      </w:r>
      <w:r w:rsidR="00002A4F" w:rsidRPr="00425028">
        <w:t>Singles working for the minimum wage</w:t>
      </w:r>
      <w:r w:rsidRPr="00425028">
        <w:t xml:space="preserve"> will find about half of them affordable, plus a few apartments. </w:t>
      </w:r>
      <w:r w:rsidR="00B7730E" w:rsidRPr="00425028">
        <w:t xml:space="preserve">People receiving </w:t>
      </w:r>
      <w:r w:rsidRPr="00425028">
        <w:t xml:space="preserve">Age or Disability Support Pensions can afford 11 of </w:t>
      </w:r>
      <w:r w:rsidR="00B7730E" w:rsidRPr="00425028">
        <w:t>all properties advertised</w:t>
      </w:r>
      <w:r w:rsidRPr="00425028">
        <w:t xml:space="preserve">, and those </w:t>
      </w:r>
      <w:r w:rsidR="00B7730E" w:rsidRPr="00425028">
        <w:t xml:space="preserve">relying on </w:t>
      </w:r>
      <w:r w:rsidRPr="00425028">
        <w:t>Job</w:t>
      </w:r>
      <w:r w:rsidR="00FF5DC1">
        <w:t>S</w:t>
      </w:r>
      <w:r w:rsidRPr="00425028">
        <w:t>eeker or Youth Allowance will not find anywhere they can afford to live.</w:t>
      </w:r>
    </w:p>
    <w:p w14:paraId="5DE158A1" w14:textId="77777777" w:rsidR="00F643D3" w:rsidRPr="00425028" w:rsidRDefault="00F643D3" w:rsidP="00F235D7">
      <w:pPr>
        <w:pStyle w:val="Heading3"/>
      </w:pPr>
      <w:bookmarkStart w:id="26" w:name="_Toc196228986"/>
      <w:r w:rsidRPr="00425028">
        <w:t>Older people</w:t>
      </w:r>
      <w:bookmarkEnd w:id="26"/>
    </w:p>
    <w:p w14:paraId="29120BF4" w14:textId="466D00C1" w:rsidR="00F643D3" w:rsidRPr="00425028" w:rsidRDefault="00F643D3" w:rsidP="00B71E6B">
      <w:r w:rsidRPr="00425028">
        <w:t xml:space="preserve">Older couples looking for a unit in the North will find about 10 affordable possibilities, </w:t>
      </w:r>
      <w:r w:rsidR="00B7730E" w:rsidRPr="00425028">
        <w:t>although some of these are in regional</w:t>
      </w:r>
      <w:r w:rsidRPr="00425028">
        <w:t xml:space="preserve"> locations such as Scamander or Bridport. </w:t>
      </w:r>
    </w:p>
    <w:p w14:paraId="346165F6" w14:textId="6FCE3F73" w:rsidR="00F643D3" w:rsidRPr="00425028" w:rsidRDefault="00F643D3" w:rsidP="00B71E6B">
      <w:r w:rsidRPr="00425028">
        <w:t xml:space="preserve">A single Age pensioner who wishes to live alone will find two affordable units. </w:t>
      </w:r>
      <w:r w:rsidR="00660BD5" w:rsidRPr="00425028">
        <w:t>They</w:t>
      </w:r>
      <w:r w:rsidRPr="00425028">
        <w:t xml:space="preserve"> are more likely to try to stretch their pension than live in a </w:t>
      </w:r>
      <w:r w:rsidR="009906F3" w:rsidRPr="00425028">
        <w:t>sharehouse and</w:t>
      </w:r>
      <w:r w:rsidRPr="00425028">
        <w:t xml:space="preserve"> may be spending 40-50% of their income on rent.</w:t>
      </w:r>
    </w:p>
    <w:p w14:paraId="17914B70" w14:textId="77777777" w:rsidR="00F643D3" w:rsidRPr="00425028" w:rsidRDefault="00F643D3" w:rsidP="00F235D7">
      <w:pPr>
        <w:pStyle w:val="Heading3"/>
      </w:pPr>
      <w:bookmarkStart w:id="27" w:name="_Toc196228987"/>
      <w:r w:rsidRPr="00425028">
        <w:t>Single parent families</w:t>
      </w:r>
      <w:bookmarkEnd w:id="27"/>
    </w:p>
    <w:p w14:paraId="62AE98E4" w14:textId="6BB8A6A7" w:rsidR="003F78E3" w:rsidRPr="00425028" w:rsidRDefault="00F643D3" w:rsidP="00B71E6B">
      <w:r w:rsidRPr="00425028">
        <w:t xml:space="preserve">Single parents in Launceston cannot afford a private rental property unless they are </w:t>
      </w:r>
      <w:r w:rsidR="00660BD5" w:rsidRPr="00425028">
        <w:t>in paid work</w:t>
      </w:r>
      <w:r w:rsidRPr="00425028">
        <w:t xml:space="preserve">. </w:t>
      </w:r>
      <w:r w:rsidR="003F78E3" w:rsidRPr="00425028">
        <w:t>A single parent who works full time for the minimum wage will find 26 3-bedroom properties within their budget, although finding one close to work and school may be more difficult.</w:t>
      </w:r>
    </w:p>
    <w:p w14:paraId="3C07BC96" w14:textId="1438D0CA" w:rsidR="00F643D3" w:rsidRPr="00425028" w:rsidRDefault="00F643D3" w:rsidP="00B71E6B">
      <w:r w:rsidRPr="00425028">
        <w:t>Those who are unemployed</w:t>
      </w:r>
      <w:r w:rsidR="006E29EB" w:rsidRPr="00425028">
        <w:t xml:space="preserve">, </w:t>
      </w:r>
      <w:r w:rsidR="00DD1386" w:rsidRPr="00425028">
        <w:t>unable to work</w:t>
      </w:r>
      <w:r w:rsidR="006E29EB" w:rsidRPr="00425028">
        <w:t xml:space="preserve">, or parenting full time </w:t>
      </w:r>
      <w:r w:rsidRPr="00425028">
        <w:t xml:space="preserve">will struggle to </w:t>
      </w:r>
      <w:r w:rsidR="00B7730E" w:rsidRPr="00425028">
        <w:t>afford a rental property for their family</w:t>
      </w:r>
      <w:r w:rsidRPr="00425028">
        <w:t>. The cheapest two-bedroom apartment in Launceston is $350, 49% of a single parent's income on Parenting Payment.</w:t>
      </w:r>
    </w:p>
    <w:p w14:paraId="52A45EC6" w14:textId="77777777" w:rsidR="00F643D3" w:rsidRPr="00425028" w:rsidRDefault="00F643D3" w:rsidP="00F235D7">
      <w:pPr>
        <w:pStyle w:val="Heading3"/>
      </w:pPr>
      <w:bookmarkStart w:id="28" w:name="_Toc196228988"/>
      <w:r w:rsidRPr="00425028">
        <w:t>Couple families</w:t>
      </w:r>
      <w:bookmarkEnd w:id="28"/>
    </w:p>
    <w:p w14:paraId="06D4A747" w14:textId="4CA12787" w:rsidR="00F643D3" w:rsidRPr="00425028" w:rsidRDefault="00F643D3" w:rsidP="00B71E6B">
      <w:r w:rsidRPr="00425028">
        <w:t>A family with two parents</w:t>
      </w:r>
      <w:r w:rsidR="00515DCE" w:rsidRPr="00425028">
        <w:t xml:space="preserve"> in paid work</w:t>
      </w:r>
      <w:r w:rsidRPr="00425028">
        <w:t xml:space="preserve"> </w:t>
      </w:r>
      <w:r w:rsidR="00192F46" w:rsidRPr="00425028">
        <w:t xml:space="preserve">for the minimum wage </w:t>
      </w:r>
      <w:r w:rsidRPr="00425028">
        <w:t>have a budget of $549 for rent, which on paper will comfortably get them a 3-bedroom house in the Launceston area. Even a family with only one wage-earner can expect to find something in their budget. However</w:t>
      </w:r>
      <w:r w:rsidR="00B40ED3" w:rsidRPr="00425028">
        <w:t xml:space="preserve">, </w:t>
      </w:r>
      <w:r w:rsidRPr="00425028">
        <w:t>with only a limited number of homes on the rental market, families may struggle</w:t>
      </w:r>
      <w:r w:rsidR="00B7730E" w:rsidRPr="00425028">
        <w:t xml:space="preserve"> to find a suitable home,</w:t>
      </w:r>
      <w:r w:rsidRPr="00425028">
        <w:t xml:space="preserve"> especially if they have </w:t>
      </w:r>
      <w:r w:rsidR="00B40ED3" w:rsidRPr="00425028">
        <w:t>specific needs such as a rental that allow</w:t>
      </w:r>
      <w:r w:rsidR="000A35CB" w:rsidRPr="00425028">
        <w:t>s</w:t>
      </w:r>
      <w:r w:rsidR="00B40ED3" w:rsidRPr="00425028">
        <w:t xml:space="preserve"> pets</w:t>
      </w:r>
      <w:r w:rsidRPr="00425028">
        <w:t xml:space="preserve">. </w:t>
      </w:r>
    </w:p>
    <w:p w14:paraId="2721FE00" w14:textId="1382B66C" w:rsidR="00F643D3" w:rsidRPr="00425028" w:rsidRDefault="00B7730E" w:rsidP="00B71E6B">
      <w:r w:rsidRPr="00425028">
        <w:t xml:space="preserve">Families in which the </w:t>
      </w:r>
      <w:r w:rsidR="00B40ED3" w:rsidRPr="00425028">
        <w:t>adults</w:t>
      </w:r>
      <w:r w:rsidR="00F643D3" w:rsidRPr="00425028">
        <w:t xml:space="preserve"> are </w:t>
      </w:r>
      <w:r w:rsidR="00243E87" w:rsidRPr="00425028">
        <w:t>not in paid work</w:t>
      </w:r>
      <w:r w:rsidR="00F643D3" w:rsidRPr="00425028">
        <w:t xml:space="preserve"> can expect to live in poverty, overcrowding, or homelessness in Launceston, because there is not a single appropriate rental property </w:t>
      </w:r>
      <w:r w:rsidR="00B40ED3" w:rsidRPr="00425028">
        <w:t>they</w:t>
      </w:r>
      <w:r w:rsidR="00F643D3" w:rsidRPr="00425028">
        <w:t xml:space="preserve"> can afford.</w:t>
      </w:r>
    </w:p>
    <w:p w14:paraId="5E1A0A1C" w14:textId="77777777" w:rsidR="00F643D3" w:rsidRPr="00425028" w:rsidRDefault="00F643D3" w:rsidP="00B71E6B">
      <w:pPr>
        <w:rPr>
          <w:rFonts w:eastAsiaTheme="majorEastAsia" w:cstheme="majorBidi"/>
          <w:color w:val="0F4761" w:themeColor="accent1" w:themeShade="BF"/>
          <w:sz w:val="26"/>
          <w:szCs w:val="26"/>
        </w:rPr>
      </w:pPr>
      <w:r w:rsidRPr="00425028">
        <w:br w:type="page"/>
      </w:r>
    </w:p>
    <w:p w14:paraId="2802B249" w14:textId="77777777" w:rsidR="00F643D3" w:rsidRPr="00425028" w:rsidRDefault="00F643D3" w:rsidP="00B71E6B">
      <w:pPr>
        <w:pStyle w:val="Heading2"/>
        <w:rPr>
          <w:rFonts w:ascii="Avenir Next LT Pro" w:hAnsi="Avenir Next LT Pro"/>
        </w:rPr>
      </w:pPr>
      <w:bookmarkStart w:id="29" w:name="_Toc195101861"/>
      <w:bookmarkStart w:id="30" w:name="_Toc196228989"/>
      <w:r w:rsidRPr="00425028">
        <w:rPr>
          <w:rFonts w:ascii="Avenir Next LT Pro" w:hAnsi="Avenir Next LT Pro"/>
        </w:rPr>
        <w:t>North West</w:t>
      </w:r>
      <w:bookmarkEnd w:id="29"/>
      <w:bookmarkEnd w:id="30"/>
    </w:p>
    <w:p w14:paraId="0A7E5365" w14:textId="77777777" w:rsidR="00F643D3" w:rsidRPr="00425028" w:rsidRDefault="00F643D3" w:rsidP="00B71E6B">
      <w:pPr>
        <w:pStyle w:val="Subtitle"/>
      </w:pPr>
      <w:r w:rsidRPr="00425028">
        <w:t>Availability</w:t>
      </w:r>
    </w:p>
    <w:p w14:paraId="2B51F800" w14:textId="6176AF4F" w:rsidR="00F643D3" w:rsidRDefault="00F643D3" w:rsidP="00B71E6B">
      <w:r w:rsidRPr="00425028">
        <w:t>The</w:t>
      </w:r>
      <w:r w:rsidR="00B7730E" w:rsidRPr="00425028">
        <w:t xml:space="preserve">re were 27% fewer properties available </w:t>
      </w:r>
      <w:r w:rsidRPr="00425028">
        <w:t xml:space="preserve">in the North West compared to last year. The North West suffers from a chronic </w:t>
      </w:r>
      <w:r w:rsidR="00B7730E" w:rsidRPr="00425028">
        <w:t xml:space="preserve">lack </w:t>
      </w:r>
      <w:r w:rsidRPr="00425028">
        <w:t xml:space="preserve">of homes </w:t>
      </w:r>
      <w:r w:rsidR="00B7730E" w:rsidRPr="00425028">
        <w:t>advertised for rent</w:t>
      </w:r>
      <w:r w:rsidRPr="00425028">
        <w:t>, exacerbated by the regional population distribution. With numerous smaller population centres, there are likely to be very few rentals available in any one town.</w:t>
      </w:r>
      <w:r w:rsidRPr="00425028">
        <w:rPr>
          <w:rStyle w:val="FootnoteReference"/>
        </w:rPr>
        <w:footnoteReference w:id="8"/>
      </w:r>
      <w:r w:rsidRPr="00425028">
        <w:t xml:space="preserve"> In this year's sample, for example, </w:t>
      </w:r>
      <w:r w:rsidR="00B40ED3" w:rsidRPr="00425028">
        <w:t xml:space="preserve">there were only 30 properties </w:t>
      </w:r>
      <w:r w:rsidRPr="00425028">
        <w:t>in Devonport and 41 in Burnie.</w:t>
      </w:r>
    </w:p>
    <w:p w14:paraId="084A046E" w14:textId="0ED67E72" w:rsidR="00714E5A" w:rsidRPr="00714E5A" w:rsidRDefault="00714E5A" w:rsidP="00B71E6B">
      <w:pPr>
        <w:rPr>
          <w:b/>
          <w:bCs/>
        </w:rPr>
      </w:pPr>
      <w:r w:rsidRPr="00714E5A">
        <w:rPr>
          <w:b/>
          <w:bCs/>
        </w:rPr>
        <w:t>Figure 5.</w:t>
      </w:r>
    </w:p>
    <w:p w14:paraId="02A3D538" w14:textId="77777777" w:rsidR="00F643D3" w:rsidRPr="00425028" w:rsidRDefault="00F643D3" w:rsidP="00B71E6B">
      <w:r w:rsidRPr="00425028">
        <w:rPr>
          <w:noProof/>
          <w:lang w:val="en-US"/>
        </w:rPr>
        <w:drawing>
          <wp:inline distT="0" distB="0" distL="0" distR="0" wp14:anchorId="5F63121F" wp14:editId="5E6C5F2C">
            <wp:extent cx="5486400" cy="3200400"/>
            <wp:effectExtent l="0" t="0" r="0" b="0"/>
            <wp:docPr id="3" name="Chart 3" descr="Column graph depicting number of properties in the North West. Falling from a high of 563 in 2013, to a low of 87 in 2021, rising back to 171 in 2024, finally falling to 125 in 20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CD5F6BC" w14:textId="307C6566" w:rsidR="007016BB" w:rsidRPr="007016BB" w:rsidRDefault="007016BB" w:rsidP="007016BB">
      <w:pPr>
        <w:rPr>
          <w:i/>
          <w:iCs/>
        </w:rPr>
      </w:pPr>
      <w:r>
        <w:rPr>
          <w:i/>
          <w:iCs/>
        </w:rPr>
        <w:t>Source: Anglicare Tasmania</w:t>
      </w:r>
    </w:p>
    <w:p w14:paraId="6770423E" w14:textId="77777777" w:rsidR="007016BB" w:rsidRDefault="007016BB">
      <w:pPr>
        <w:rPr>
          <w:rFonts w:eastAsiaTheme="majorEastAsia" w:cstheme="majorBidi"/>
          <w:color w:val="595959" w:themeColor="text1" w:themeTint="A6"/>
          <w:spacing w:val="15"/>
          <w:sz w:val="28"/>
          <w:szCs w:val="28"/>
        </w:rPr>
      </w:pPr>
      <w:r>
        <w:br w:type="page"/>
      </w:r>
    </w:p>
    <w:p w14:paraId="6237882E" w14:textId="476777EB" w:rsidR="00F643D3" w:rsidRPr="00425028" w:rsidRDefault="00F643D3" w:rsidP="00B71E6B">
      <w:pPr>
        <w:pStyle w:val="Subtitle"/>
      </w:pPr>
      <w:r w:rsidRPr="00425028">
        <w:t>Affordability</w:t>
      </w:r>
    </w:p>
    <w:p w14:paraId="07702775" w14:textId="77777777" w:rsidR="00F643D3" w:rsidRPr="00425028" w:rsidRDefault="00F643D3" w:rsidP="00F235D7">
      <w:pPr>
        <w:pStyle w:val="Heading3"/>
      </w:pPr>
      <w:bookmarkStart w:id="31" w:name="_Toc196228990"/>
      <w:r w:rsidRPr="00425028">
        <w:t>Singles</w:t>
      </w:r>
      <w:bookmarkEnd w:id="31"/>
    </w:p>
    <w:p w14:paraId="74A65658" w14:textId="16431D8C" w:rsidR="00F643D3" w:rsidRPr="00425028" w:rsidRDefault="00BC5DB7" w:rsidP="00B71E6B">
      <w:r w:rsidRPr="00425028">
        <w:t>In the North West, 9 of the homes advertised</w:t>
      </w:r>
      <w:r w:rsidR="00F643D3" w:rsidRPr="00425028">
        <w:t xml:space="preserve"> </w:t>
      </w:r>
      <w:r w:rsidRPr="00425028">
        <w:t xml:space="preserve">are affordable </w:t>
      </w:r>
      <w:r w:rsidR="00F643D3" w:rsidRPr="00425028">
        <w:t xml:space="preserve">for a person earning minimum wage. Eight are sharehouse rooms, and one is a large property in Queenstown. It may take weeks or months for something close to work to become available, and price may have to take second </w:t>
      </w:r>
      <w:r w:rsidR="00664166">
        <w:t>priority</w:t>
      </w:r>
      <w:r w:rsidR="00F643D3" w:rsidRPr="00425028">
        <w:t xml:space="preserve"> to location.</w:t>
      </w:r>
    </w:p>
    <w:p w14:paraId="2C4B5991" w14:textId="1873A0A6" w:rsidR="00F643D3" w:rsidRPr="00425028" w:rsidRDefault="00F643D3" w:rsidP="00B71E6B">
      <w:r w:rsidRPr="00425028">
        <w:t xml:space="preserve">For those who </w:t>
      </w:r>
      <w:r w:rsidR="00DA3EA3" w:rsidRPr="00425028">
        <w:t>are not in paid work</w:t>
      </w:r>
      <w:r w:rsidRPr="00425028">
        <w:t>, the cheapest property in the North West is a shiftworker's room in Rosebery for $150, which is still beyond the budget of a person on Job</w:t>
      </w:r>
      <w:r w:rsidR="00E54BBF">
        <w:t>S</w:t>
      </w:r>
      <w:r w:rsidRPr="00425028">
        <w:t xml:space="preserve">eeker or Youth Allowance. A </w:t>
      </w:r>
      <w:r w:rsidR="0011245E">
        <w:t xml:space="preserve">person on the </w:t>
      </w:r>
      <w:r w:rsidRPr="00425028">
        <w:t>Disability</w:t>
      </w:r>
      <w:r w:rsidR="0011245E">
        <w:t xml:space="preserve"> Support Pension</w:t>
      </w:r>
      <w:r w:rsidRPr="00425028">
        <w:t xml:space="preserve"> </w:t>
      </w:r>
      <w:r w:rsidR="00CE631A" w:rsidRPr="00425028">
        <w:t>with needs that</w:t>
      </w:r>
      <w:r w:rsidRPr="00425028">
        <w:t xml:space="preserve"> cannot be</w:t>
      </w:r>
      <w:r w:rsidR="00CE631A" w:rsidRPr="00425028">
        <w:t xml:space="preserve"> met</w:t>
      </w:r>
      <w:r w:rsidRPr="00425028">
        <w:t xml:space="preserve"> in a sharehouse will need to spend 43% of their income for the cheapest flat we could find in Burnie, putting them in rental stress.</w:t>
      </w:r>
    </w:p>
    <w:p w14:paraId="61B7E338" w14:textId="77777777" w:rsidR="00F643D3" w:rsidRPr="00425028" w:rsidRDefault="00F643D3" w:rsidP="00F235D7">
      <w:pPr>
        <w:pStyle w:val="Heading3"/>
      </w:pPr>
      <w:bookmarkStart w:id="32" w:name="_Toc196228991"/>
      <w:r w:rsidRPr="00425028">
        <w:t>Older people</w:t>
      </w:r>
      <w:bookmarkEnd w:id="32"/>
    </w:p>
    <w:p w14:paraId="6694C97C" w14:textId="41AD2411" w:rsidR="00F643D3" w:rsidRPr="00425028" w:rsidRDefault="00F643D3" w:rsidP="00B71E6B">
      <w:r w:rsidRPr="00425028">
        <w:t xml:space="preserve">An older couple </w:t>
      </w:r>
      <w:r w:rsidR="00A732B2" w:rsidRPr="00425028">
        <w:t>receiving</w:t>
      </w:r>
      <w:r w:rsidR="00581FBB" w:rsidRPr="00425028">
        <w:t xml:space="preserve"> the Age </w:t>
      </w:r>
      <w:r w:rsidR="00AB785D" w:rsidRPr="00425028">
        <w:t>P</w:t>
      </w:r>
      <w:r w:rsidR="00581FBB" w:rsidRPr="00425028">
        <w:t xml:space="preserve">ension </w:t>
      </w:r>
      <w:r w:rsidRPr="00425028">
        <w:t xml:space="preserve">can afford 8 properties </w:t>
      </w:r>
      <w:r w:rsidR="0060612F" w:rsidRPr="00425028">
        <w:t>i</w:t>
      </w:r>
      <w:r w:rsidRPr="00425028">
        <w:t>n the North West</w:t>
      </w:r>
      <w:r w:rsidR="00FC67C6" w:rsidRPr="00425028">
        <w:t>, half of which are in Queenstown</w:t>
      </w:r>
      <w:r w:rsidRPr="00425028">
        <w:t xml:space="preserve">. If they require accessible features, have a small pet, or want to live in a particular area, maybe close to family, they </w:t>
      </w:r>
      <w:r w:rsidR="00BC5DB7" w:rsidRPr="00425028">
        <w:t xml:space="preserve">may </w:t>
      </w:r>
      <w:r w:rsidRPr="00425028">
        <w:t>struggle to find a property that meets their criteria, even if they are willing to pay higher prices.</w:t>
      </w:r>
    </w:p>
    <w:p w14:paraId="75029AB2" w14:textId="31CDFC6A" w:rsidR="00F643D3" w:rsidRPr="00425028" w:rsidRDefault="00F643D3" w:rsidP="00B71E6B">
      <w:r w:rsidRPr="00425028">
        <w:t xml:space="preserve">An older single person receiving the Age </w:t>
      </w:r>
      <w:r w:rsidR="00AB785D" w:rsidRPr="00425028">
        <w:t xml:space="preserve">Pension </w:t>
      </w:r>
      <w:r w:rsidRPr="00425028">
        <w:t xml:space="preserve">cannot afford to live anywhere but a sharehouse. </w:t>
      </w:r>
    </w:p>
    <w:p w14:paraId="7FF59A24" w14:textId="77777777" w:rsidR="00F643D3" w:rsidRPr="00425028" w:rsidRDefault="00F643D3" w:rsidP="00F235D7">
      <w:pPr>
        <w:pStyle w:val="Heading3"/>
      </w:pPr>
      <w:bookmarkStart w:id="33" w:name="_Toc196228992"/>
      <w:r w:rsidRPr="00425028">
        <w:t>Single parent families</w:t>
      </w:r>
      <w:bookmarkEnd w:id="33"/>
    </w:p>
    <w:p w14:paraId="0C276479" w14:textId="5C619E92" w:rsidR="00F643D3" w:rsidRPr="00425028" w:rsidRDefault="00F643D3" w:rsidP="00B71E6B">
      <w:r w:rsidRPr="00425028">
        <w:t xml:space="preserve">The North West is the only region where single parents </w:t>
      </w:r>
      <w:r w:rsidR="00506DDB" w:rsidRPr="00425028">
        <w:t xml:space="preserve">relying </w:t>
      </w:r>
      <w:r w:rsidRPr="00425028">
        <w:t xml:space="preserve">on Parenting </w:t>
      </w:r>
      <w:r w:rsidR="00A458F5" w:rsidRPr="00425028">
        <w:t>P</w:t>
      </w:r>
      <w:r w:rsidRPr="00425028">
        <w:t xml:space="preserve">ayments can afford to rent a home for their </w:t>
      </w:r>
      <w:r w:rsidR="00BC5DB7" w:rsidRPr="00425028">
        <w:t>family</w:t>
      </w:r>
      <w:r w:rsidRPr="00425028">
        <w:t xml:space="preserve">. </w:t>
      </w:r>
      <w:r w:rsidR="00BC5DB7" w:rsidRPr="00425028">
        <w:t>However,</w:t>
      </w:r>
      <w:r w:rsidR="007356C3" w:rsidRPr="00425028">
        <w:t xml:space="preserve"> the appropriate and affordable </w:t>
      </w:r>
      <w:r w:rsidRPr="00425028">
        <w:t xml:space="preserve">properties are located on the West Coast, with limited access to transport and services. Burnie and Devonport </w:t>
      </w:r>
      <w:r w:rsidR="00BC5DB7" w:rsidRPr="00425028">
        <w:t>ha</w:t>
      </w:r>
      <w:r w:rsidR="00486E01" w:rsidRPr="00425028">
        <w:t>ve</w:t>
      </w:r>
      <w:r w:rsidR="00BC5DB7" w:rsidRPr="00425028">
        <w:t xml:space="preserve"> only </w:t>
      </w:r>
      <w:r w:rsidR="008E123D" w:rsidRPr="00425028">
        <w:t>one</w:t>
      </w:r>
      <w:r w:rsidRPr="00425028">
        <w:t xml:space="preserve"> 2-bedroom home </w:t>
      </w:r>
      <w:r w:rsidR="008E123D" w:rsidRPr="00425028">
        <w:t xml:space="preserve">advertised for </w:t>
      </w:r>
      <w:r w:rsidRPr="00425028">
        <w:t xml:space="preserve">under $300 </w:t>
      </w:r>
      <w:r w:rsidRPr="00425028" w:rsidDel="00BC5DB7">
        <w:t>a week.</w:t>
      </w:r>
      <w:r w:rsidRPr="00425028">
        <w:t xml:space="preserve"> A single parent earning minimum wage can afford 23 appropriate houses in our sample, </w:t>
      </w:r>
      <w:r w:rsidR="00E34666" w:rsidRPr="00425028">
        <w:t xml:space="preserve">only </w:t>
      </w:r>
      <w:r w:rsidR="004D57D9" w:rsidRPr="00425028">
        <w:t>some of which</w:t>
      </w:r>
      <w:r w:rsidRPr="00425028">
        <w:t xml:space="preserve"> will be </w:t>
      </w:r>
      <w:r w:rsidRPr="00425028" w:rsidDel="004D57D9">
        <w:t>close to work and school.</w:t>
      </w:r>
    </w:p>
    <w:p w14:paraId="5E462024" w14:textId="77777777" w:rsidR="00F643D3" w:rsidRPr="00425028" w:rsidRDefault="00F643D3" w:rsidP="00F235D7">
      <w:pPr>
        <w:pStyle w:val="Heading3"/>
      </w:pPr>
      <w:bookmarkStart w:id="34" w:name="_Toc196228993"/>
      <w:r w:rsidRPr="00425028">
        <w:t>Couple families</w:t>
      </w:r>
      <w:bookmarkEnd w:id="34"/>
    </w:p>
    <w:p w14:paraId="434BE908" w14:textId="1499CE6C" w:rsidR="00F643D3" w:rsidRPr="00425028" w:rsidRDefault="00F643D3" w:rsidP="00B71E6B">
      <w:r w:rsidRPr="00425028">
        <w:t>There are 7</w:t>
      </w:r>
      <w:r w:rsidR="009F7B8E" w:rsidRPr="00425028">
        <w:t>4</w:t>
      </w:r>
      <w:r w:rsidRPr="00425028">
        <w:t xml:space="preserve"> homes</w:t>
      </w:r>
      <w:r w:rsidR="004D57D9" w:rsidRPr="00425028">
        <w:t xml:space="preserve"> with 3 or more bedrooms</w:t>
      </w:r>
      <w:r w:rsidRPr="00425028">
        <w:t xml:space="preserve"> advertised in the North West. Of those 7</w:t>
      </w:r>
      <w:r w:rsidR="009F7B8E" w:rsidRPr="00425028">
        <w:t>4</w:t>
      </w:r>
      <w:r w:rsidRPr="00425028">
        <w:t xml:space="preserve">, around 20 are unaffordable </w:t>
      </w:r>
      <w:r w:rsidR="004D57D9" w:rsidRPr="00425028">
        <w:t>for</w:t>
      </w:r>
      <w:r w:rsidRPr="00425028">
        <w:t xml:space="preserve"> low-income families. From the remainder, a family </w:t>
      </w:r>
      <w:r w:rsidR="00D204A8" w:rsidRPr="00425028">
        <w:t xml:space="preserve">will </w:t>
      </w:r>
      <w:r w:rsidR="004D57D9" w:rsidRPr="00425028">
        <w:t xml:space="preserve">be choosing from </w:t>
      </w:r>
      <w:r w:rsidR="00D204A8" w:rsidRPr="00425028">
        <w:t>fewer than</w:t>
      </w:r>
      <w:r w:rsidR="008A6B92" w:rsidRPr="00425028">
        <w:t xml:space="preserve"> </w:t>
      </w:r>
      <w:r w:rsidR="006324C9" w:rsidRPr="00425028">
        <w:t>1</w:t>
      </w:r>
      <w:r w:rsidR="005B4BC9" w:rsidRPr="00425028">
        <w:t>4 homes</w:t>
      </w:r>
      <w:r w:rsidRPr="00425028">
        <w:t xml:space="preserve"> in </w:t>
      </w:r>
      <w:r w:rsidR="00D204A8" w:rsidRPr="00425028">
        <w:t>any one</w:t>
      </w:r>
      <w:r w:rsidR="005B4BC9" w:rsidRPr="00425028">
        <w:t xml:space="preserve"> postcode</w:t>
      </w:r>
      <w:r w:rsidRPr="00425028">
        <w:t xml:space="preserve">. </w:t>
      </w:r>
    </w:p>
    <w:p w14:paraId="5237BD95" w14:textId="7E858F0E" w:rsidR="00F643D3" w:rsidRPr="00425028" w:rsidRDefault="00F643D3" w:rsidP="00B71E6B">
      <w:r w:rsidRPr="00425028">
        <w:t>A family relying on Job</w:t>
      </w:r>
      <w:r w:rsidR="00E54BBF">
        <w:t>S</w:t>
      </w:r>
      <w:r w:rsidRPr="00425028">
        <w:t>eeker will find 5 affordable homes on the West Coast</w:t>
      </w:r>
      <w:r w:rsidR="004D57D9" w:rsidRPr="00425028">
        <w:t>. I</w:t>
      </w:r>
      <w:r w:rsidRPr="00425028">
        <w:t>f this location is not practical for them, the cheapest 3-bedroom house is $335 a week in Burnie, only just outside their price range. However</w:t>
      </w:r>
      <w:r w:rsidR="004D57D9" w:rsidRPr="00425028">
        <w:t>,</w:t>
      </w:r>
      <w:r w:rsidRPr="00425028">
        <w:t xml:space="preserve"> the great majority will be over $400.</w:t>
      </w:r>
    </w:p>
    <w:p w14:paraId="5C921570" w14:textId="77777777" w:rsidR="0010563C" w:rsidRPr="00425028" w:rsidRDefault="0010563C" w:rsidP="00B71E6B">
      <w:r w:rsidRPr="00425028">
        <w:br w:type="page"/>
      </w:r>
    </w:p>
    <w:p w14:paraId="2324D35B" w14:textId="42362ED1" w:rsidR="0010563C" w:rsidRPr="00425028" w:rsidRDefault="00581EBB" w:rsidP="00B71E6B">
      <w:pPr>
        <w:pStyle w:val="Heading1"/>
        <w:rPr>
          <w:rFonts w:ascii="Avenir Next LT Pro" w:hAnsi="Avenir Next LT Pro"/>
        </w:rPr>
      </w:pPr>
      <w:bookmarkStart w:id="35" w:name="_Toc195101862"/>
      <w:bookmarkStart w:id="36" w:name="_Toc196228994"/>
      <w:r w:rsidRPr="00425028">
        <w:rPr>
          <w:rFonts w:ascii="Avenir Next LT Pro" w:hAnsi="Avenir Next LT Pro"/>
        </w:rPr>
        <w:t xml:space="preserve">Impacts on </w:t>
      </w:r>
      <w:r w:rsidR="007C2794" w:rsidRPr="00425028">
        <w:rPr>
          <w:rFonts w:ascii="Avenir Next LT Pro" w:hAnsi="Avenir Next LT Pro"/>
        </w:rPr>
        <w:t>people and their lives</w:t>
      </w:r>
      <w:bookmarkEnd w:id="35"/>
      <w:bookmarkEnd w:id="36"/>
    </w:p>
    <w:p w14:paraId="100A3721" w14:textId="56051D47" w:rsidR="00084B96" w:rsidRPr="00425028" w:rsidRDefault="00623885" w:rsidP="00B71E6B">
      <w:r w:rsidRPr="00425028">
        <w:t>Angl</w:t>
      </w:r>
      <w:r w:rsidR="00FA3C15" w:rsidRPr="00425028">
        <w:t>icare’s frontline workers see the impact of the lack of affordable housing on Tasmanians</w:t>
      </w:r>
      <w:r w:rsidR="00B511D9" w:rsidRPr="00425028">
        <w:t>.</w:t>
      </w:r>
    </w:p>
    <w:p w14:paraId="718AE2D0" w14:textId="64CDF9EE" w:rsidR="006A09C5" w:rsidRPr="00425028" w:rsidRDefault="003E0C10" w:rsidP="00B71E6B">
      <w:r w:rsidRPr="00425028">
        <w:t xml:space="preserve">Our clients </w:t>
      </w:r>
      <w:r w:rsidR="008F7F55" w:rsidRPr="00425028">
        <w:t xml:space="preserve">are </w:t>
      </w:r>
      <w:r w:rsidR="00035741" w:rsidRPr="00425028">
        <w:t>diverse,</w:t>
      </w:r>
      <w:r w:rsidR="0036262E" w:rsidRPr="00425028">
        <w:t xml:space="preserve"> and</w:t>
      </w:r>
      <w:r w:rsidR="008F7F55" w:rsidRPr="00425028">
        <w:t xml:space="preserve"> they each have unique </w:t>
      </w:r>
      <w:r w:rsidR="00B35B05" w:rsidRPr="00425028">
        <w:t>experience</w:t>
      </w:r>
      <w:r w:rsidR="00E20B24" w:rsidRPr="00425028">
        <w:t>s.</w:t>
      </w:r>
      <w:r w:rsidR="0036262E" w:rsidRPr="00425028">
        <w:t xml:space="preserve"> </w:t>
      </w:r>
      <w:r w:rsidR="00112616" w:rsidRPr="00425028">
        <w:t>However, t</w:t>
      </w:r>
      <w:r w:rsidR="00C63DCB" w:rsidRPr="00425028">
        <w:t>here is a</w:t>
      </w:r>
      <w:r w:rsidR="00112616" w:rsidRPr="00425028">
        <w:t>n increasingly</w:t>
      </w:r>
      <w:r w:rsidR="001866F3" w:rsidRPr="00425028">
        <w:t xml:space="preserve"> common factor </w:t>
      </w:r>
      <w:r w:rsidR="008C3511" w:rsidRPr="00425028">
        <w:t xml:space="preserve">in </w:t>
      </w:r>
      <w:r w:rsidR="00112616" w:rsidRPr="00425028">
        <w:t>their storie</w:t>
      </w:r>
      <w:r w:rsidR="00063B92" w:rsidRPr="00425028">
        <w:t>s</w:t>
      </w:r>
      <w:r w:rsidR="00625461" w:rsidRPr="00425028">
        <w:t>. W</w:t>
      </w:r>
      <w:r w:rsidR="0036262E" w:rsidRPr="00425028">
        <w:t xml:space="preserve">hether they are seeking housing support, financial counselling, </w:t>
      </w:r>
      <w:r w:rsidR="00DC7D7D" w:rsidRPr="00425028">
        <w:t xml:space="preserve">child and family services, </w:t>
      </w:r>
      <w:r w:rsidR="001551EA" w:rsidRPr="00425028">
        <w:t xml:space="preserve">mental health support, </w:t>
      </w:r>
      <w:r w:rsidR="00E523D2" w:rsidRPr="00425028">
        <w:t>al</w:t>
      </w:r>
      <w:r w:rsidR="00D2465F" w:rsidRPr="00425028">
        <w:t xml:space="preserve">cohol and other drug support, </w:t>
      </w:r>
      <w:r w:rsidR="00613D5C" w:rsidRPr="00425028">
        <w:t xml:space="preserve">or are </w:t>
      </w:r>
      <w:r w:rsidR="0011245E">
        <w:t>experiencing</w:t>
      </w:r>
      <w:r w:rsidR="00F661F5" w:rsidRPr="00425028">
        <w:t xml:space="preserve"> domestic and family violence</w:t>
      </w:r>
      <w:r w:rsidR="00E54BBF">
        <w:t>,</w:t>
      </w:r>
      <w:r w:rsidR="00035741" w:rsidRPr="00425028">
        <w:t xml:space="preserve"> </w:t>
      </w:r>
      <w:r w:rsidR="00035741" w:rsidRPr="00425028">
        <w:rPr>
          <w:b/>
          <w:bCs/>
        </w:rPr>
        <w:t xml:space="preserve">secure, affordable housing is often the single change that would make the most difference. </w:t>
      </w:r>
      <w:r w:rsidR="00035741" w:rsidRPr="00425028">
        <w:t>Without it, other supports are less effective.</w:t>
      </w:r>
    </w:p>
    <w:p w14:paraId="7C56C823" w14:textId="6AD8D700" w:rsidR="0096221D" w:rsidRPr="00425028" w:rsidRDefault="00144366" w:rsidP="00B71E6B">
      <w:r w:rsidRPr="00425028">
        <w:t xml:space="preserve">Anglicare Tasmania has operated the Housing Connect Front Door </w:t>
      </w:r>
      <w:r w:rsidR="00F73059" w:rsidRPr="00425028">
        <w:t xml:space="preserve">service </w:t>
      </w:r>
      <w:r w:rsidRPr="00425028">
        <w:t>statewide since 1 July 202</w:t>
      </w:r>
      <w:r w:rsidR="00C56B77" w:rsidRPr="00425028">
        <w:t>4</w:t>
      </w:r>
      <w:r w:rsidR="007A55A0" w:rsidRPr="00425028">
        <w:t xml:space="preserve"> and publishes a quarterly snapshot </w:t>
      </w:r>
      <w:r w:rsidR="00DD52DD" w:rsidRPr="00425028">
        <w:t>of its operations</w:t>
      </w:r>
      <w:r w:rsidR="007A55A0" w:rsidRPr="00425028">
        <w:t xml:space="preserve">. </w:t>
      </w:r>
      <w:r w:rsidR="00F9658C" w:rsidRPr="00425028">
        <w:t>The first quarterly snaps</w:t>
      </w:r>
      <w:r w:rsidR="008618EA" w:rsidRPr="00425028">
        <w:t xml:space="preserve">hot, </w:t>
      </w:r>
      <w:hyperlink r:id="rId20" w:history="1">
        <w:r w:rsidR="00092AC2" w:rsidRPr="00425028">
          <w:rPr>
            <w:rStyle w:val="Hyperlink"/>
            <w:i/>
            <w:iCs/>
          </w:rPr>
          <w:t>More Houses Needed</w:t>
        </w:r>
      </w:hyperlink>
      <w:r w:rsidR="00092AC2" w:rsidRPr="00425028">
        <w:rPr>
          <w:i/>
          <w:iCs/>
        </w:rPr>
        <w:t xml:space="preserve">, </w:t>
      </w:r>
      <w:r w:rsidR="00DB5AF4" w:rsidRPr="00425028">
        <w:t>concluded that</w:t>
      </w:r>
      <w:r w:rsidR="00092AC2" w:rsidRPr="00425028">
        <w:t>:</w:t>
      </w:r>
    </w:p>
    <w:p w14:paraId="0C656DFC" w14:textId="68E9E924" w:rsidR="008D3176" w:rsidRPr="00425028" w:rsidRDefault="008D3176" w:rsidP="00B71E6B">
      <w:pPr>
        <w:pStyle w:val="IntenseQuote"/>
      </w:pPr>
      <w:r w:rsidRPr="00425028">
        <w:t>a lack of affordable housing is the key barrier to ensuring Tasmanians can be assisted into a secure home, are safe from domestic and family violence and can thrive and achieve their goals.</w:t>
      </w:r>
    </w:p>
    <w:p w14:paraId="79F98E35" w14:textId="244F815C" w:rsidR="001824DC" w:rsidRPr="00425028" w:rsidRDefault="001824DC" w:rsidP="00B71E6B">
      <w:r w:rsidRPr="00425028">
        <w:t xml:space="preserve">In </w:t>
      </w:r>
      <w:r w:rsidR="0072728E" w:rsidRPr="00425028">
        <w:t xml:space="preserve">Anglicare’s </w:t>
      </w:r>
      <w:r w:rsidR="00BA5302" w:rsidRPr="00425028">
        <w:t xml:space="preserve">2024 report </w:t>
      </w:r>
      <w:hyperlink r:id="rId21" w:history="1">
        <w:r w:rsidR="00BA5302" w:rsidRPr="00425028">
          <w:rPr>
            <w:rStyle w:val="Hyperlink"/>
            <w:i/>
          </w:rPr>
          <w:t>Stretched Too Far</w:t>
        </w:r>
      </w:hyperlink>
      <w:r w:rsidR="00BA5302" w:rsidRPr="00425028">
        <w:t xml:space="preserve">, </w:t>
      </w:r>
      <w:r w:rsidR="00B14602" w:rsidRPr="00425028">
        <w:t>frontline workers</w:t>
      </w:r>
      <w:r w:rsidRPr="00425028">
        <w:t xml:space="preserve"> </w:t>
      </w:r>
      <w:r w:rsidR="00C76C23" w:rsidRPr="00425028">
        <w:t xml:space="preserve">in other service areas </w:t>
      </w:r>
      <w:r w:rsidRPr="00425028">
        <w:t>report</w:t>
      </w:r>
      <w:r w:rsidR="00664166">
        <w:t>ed</w:t>
      </w:r>
      <w:r w:rsidRPr="00425028">
        <w:t xml:space="preserve"> that</w:t>
      </w:r>
      <w:r w:rsidR="00BA5302" w:rsidRPr="00425028">
        <w:t xml:space="preserve"> increased housing costs are a major factor driving the cost of living beyond the </w:t>
      </w:r>
      <w:r w:rsidR="00A90253" w:rsidRPr="00425028">
        <w:t>capacity</w:t>
      </w:r>
      <w:r w:rsidR="00B43B44" w:rsidRPr="00425028">
        <w:t xml:space="preserve"> of the family budget</w:t>
      </w:r>
      <w:r w:rsidR="00EE4442" w:rsidRPr="00425028">
        <w:t>.</w:t>
      </w:r>
      <w:r w:rsidR="00CD260C" w:rsidRPr="00425028">
        <w:t xml:space="preserve"> </w:t>
      </w:r>
      <w:r w:rsidR="00A90253" w:rsidRPr="00425028">
        <w:t>This leaves families having</w:t>
      </w:r>
      <w:r w:rsidR="00D3534A" w:rsidRPr="00425028">
        <w:t xml:space="preserve"> to make choices between </w:t>
      </w:r>
      <w:r w:rsidR="008F3FB2" w:rsidRPr="00425028">
        <w:t xml:space="preserve">essentials such as </w:t>
      </w:r>
      <w:r w:rsidR="00D3534A" w:rsidRPr="00425028">
        <w:t>heating their homes, buying food</w:t>
      </w:r>
      <w:r w:rsidR="00FA369C" w:rsidRPr="00425028">
        <w:t xml:space="preserve"> or </w:t>
      </w:r>
      <w:r w:rsidR="0011722E" w:rsidRPr="00425028">
        <w:t>seeing their GP</w:t>
      </w:r>
      <w:r w:rsidR="00FA369C" w:rsidRPr="00425028">
        <w:t>.</w:t>
      </w:r>
    </w:p>
    <w:p w14:paraId="0553FAB5" w14:textId="77777777" w:rsidR="008071D9" w:rsidRPr="00425028" w:rsidRDefault="008071D9" w:rsidP="002D76B9">
      <w:pPr>
        <w:pStyle w:val="IntenseQuote"/>
        <w:spacing w:after="0"/>
      </w:pPr>
      <w:r w:rsidRPr="00425028">
        <w:t xml:space="preserve">‘Families are being forced to move into places with higher rent that are known to be unaffordable, just to get accommodation’ </w:t>
      </w:r>
    </w:p>
    <w:p w14:paraId="0CD14EA0" w14:textId="424CD33F" w:rsidR="008071D9" w:rsidRPr="00425028" w:rsidRDefault="008071D9" w:rsidP="002D76B9">
      <w:pPr>
        <w:pStyle w:val="IntenseQuote"/>
        <w:spacing w:before="0"/>
      </w:pPr>
      <w:r w:rsidRPr="00425028">
        <w:rPr>
          <w:rFonts w:cs="Calibri"/>
        </w:rPr>
        <w:t>—</w:t>
      </w:r>
      <w:r w:rsidRPr="00425028">
        <w:t xml:space="preserve"> Financial Counsellor, Launceston </w:t>
      </w:r>
    </w:p>
    <w:p w14:paraId="05603431" w14:textId="77777777" w:rsidR="00B7419D" w:rsidRPr="00425028" w:rsidRDefault="00B7419D" w:rsidP="002D76B9">
      <w:pPr>
        <w:pStyle w:val="IntenseQuote"/>
        <w:spacing w:after="0"/>
      </w:pPr>
      <w:r w:rsidRPr="00425028">
        <w:t>‘Some can’t afford [medical care] because their rent is just too high’</w:t>
      </w:r>
    </w:p>
    <w:p w14:paraId="6C91FB97" w14:textId="2FA2A9B5" w:rsidR="00540822" w:rsidRPr="00425028" w:rsidRDefault="003F2493" w:rsidP="002D76B9">
      <w:pPr>
        <w:pStyle w:val="IntenseQuote"/>
        <w:spacing w:before="0"/>
      </w:pPr>
      <w:r w:rsidRPr="00425028">
        <w:t>—</w:t>
      </w:r>
      <w:r w:rsidR="00B7419D" w:rsidRPr="00425028">
        <w:t xml:space="preserve"> Child and Family Worker, Devonport</w:t>
      </w:r>
    </w:p>
    <w:p w14:paraId="55903D31" w14:textId="7C0F81F5" w:rsidR="00930917" w:rsidRPr="00425028" w:rsidRDefault="008C187C" w:rsidP="00B71E6B">
      <w:r w:rsidRPr="00425028">
        <w:t xml:space="preserve">Rental affordability has broad impacts in the community, especially people on low incomes, young people, people seeking employment, older people, and people with a disability. </w:t>
      </w:r>
    </w:p>
    <w:p w14:paraId="672A21E6" w14:textId="783FD4E5" w:rsidR="008C187C" w:rsidRPr="00425028" w:rsidRDefault="00D00987" w:rsidP="00B71E6B">
      <w:r w:rsidRPr="00425028">
        <w:t>The</w:t>
      </w:r>
      <w:r w:rsidR="008C187C" w:rsidRPr="00425028">
        <w:t xml:space="preserve"> stories</w:t>
      </w:r>
      <w:r w:rsidR="00172945" w:rsidRPr="00425028">
        <w:t xml:space="preserve"> in this Rental Affordability Snapshot</w:t>
      </w:r>
      <w:r w:rsidR="008C187C" w:rsidRPr="00425028">
        <w:t xml:space="preserve"> of Lance, and John and Marie, demonstra</w:t>
      </w:r>
      <w:r w:rsidRPr="00425028">
        <w:t>te</w:t>
      </w:r>
      <w:r w:rsidR="008C187C" w:rsidRPr="00425028">
        <w:t xml:space="preserve"> some difficulties for older people on low incomes with additional needs in the current rental market.</w:t>
      </w:r>
    </w:p>
    <w:p w14:paraId="5036BF5E" w14:textId="7C55A2CE" w:rsidR="0010563C" w:rsidRPr="00425028" w:rsidRDefault="00AB4780" w:rsidP="00B71E6B">
      <w:r w:rsidRPr="00425028">
        <w:t>To show</w:t>
      </w:r>
      <w:r w:rsidR="002D1F2A" w:rsidRPr="00425028">
        <w:t xml:space="preserve"> </w:t>
      </w:r>
      <w:r w:rsidR="003C4729" w:rsidRPr="00425028">
        <w:t xml:space="preserve">in more depth how </w:t>
      </w:r>
      <w:r w:rsidR="002D1F2A" w:rsidRPr="00425028">
        <w:t>the</w:t>
      </w:r>
      <w:r w:rsidR="0036474A" w:rsidRPr="00425028">
        <w:t xml:space="preserve"> lack of </w:t>
      </w:r>
      <w:r w:rsidR="00FF04FF" w:rsidRPr="00425028">
        <w:t>affordable private rentals impacts</w:t>
      </w:r>
      <w:r w:rsidR="0036474A" w:rsidRPr="00425028">
        <w:t xml:space="preserve"> </w:t>
      </w:r>
      <w:r w:rsidR="00FF04FF" w:rsidRPr="00425028">
        <w:t>people accessing services other than housing, t</w:t>
      </w:r>
      <w:r w:rsidR="0096221D" w:rsidRPr="00425028">
        <w:t xml:space="preserve">his year’s </w:t>
      </w:r>
      <w:r w:rsidR="009B5672">
        <w:t>S</w:t>
      </w:r>
      <w:r w:rsidR="0096221D" w:rsidRPr="00425028">
        <w:t>napshot</w:t>
      </w:r>
      <w:r w:rsidR="0010563C" w:rsidRPr="00425028">
        <w:t xml:space="preserve"> </w:t>
      </w:r>
      <w:r w:rsidR="0096221D" w:rsidRPr="00425028">
        <w:t>highlights</w:t>
      </w:r>
      <w:r w:rsidR="0010563C" w:rsidRPr="00425028">
        <w:t xml:space="preserve"> some experiences of Anglicare clients who have experienced both domestic and family violence (DFV) and housing insecurity. </w:t>
      </w:r>
    </w:p>
    <w:p w14:paraId="4083059F" w14:textId="77777777" w:rsidR="002D76B9" w:rsidRPr="00425028" w:rsidRDefault="002D76B9">
      <w:pPr>
        <w:rPr>
          <w:rFonts w:eastAsiaTheme="majorEastAsia" w:cstheme="majorBidi"/>
          <w:color w:val="0F4761" w:themeColor="accent1" w:themeShade="BF"/>
          <w:sz w:val="32"/>
          <w:szCs w:val="32"/>
        </w:rPr>
      </w:pPr>
      <w:bookmarkStart w:id="37" w:name="_Toc195101863"/>
      <w:r w:rsidRPr="00425028">
        <w:br w:type="page"/>
      </w:r>
    </w:p>
    <w:p w14:paraId="4B8A90C3" w14:textId="65D1E675" w:rsidR="006332DD" w:rsidRPr="00425028" w:rsidRDefault="00A95407" w:rsidP="00B71E6B">
      <w:pPr>
        <w:pStyle w:val="Heading2"/>
        <w:rPr>
          <w:rFonts w:ascii="Avenir Next LT Pro" w:hAnsi="Avenir Next LT Pro"/>
        </w:rPr>
      </w:pPr>
      <w:bookmarkStart w:id="38" w:name="_Toc196228995"/>
      <w:r w:rsidRPr="00425028">
        <w:rPr>
          <w:rFonts w:ascii="Avenir Next LT Pro" w:hAnsi="Avenir Next LT Pro"/>
        </w:rPr>
        <w:t>Older people and people with a disability may find nowhere they can afford</w:t>
      </w:r>
      <w:bookmarkEnd w:id="37"/>
      <w:bookmarkEnd w:id="38"/>
    </w:p>
    <w:p w14:paraId="2A71E629" w14:textId="7897D2FE" w:rsidR="006332DD" w:rsidRPr="00425028" w:rsidRDefault="005344D4" w:rsidP="00B71E6B">
      <w:r w:rsidRPr="00425028">
        <w:rPr>
          <w:noProof/>
          <w:lang w:val="en-US"/>
        </w:rPr>
        <mc:AlternateContent>
          <mc:Choice Requires="wps">
            <w:drawing>
              <wp:inline distT="0" distB="0" distL="0" distR="0" wp14:anchorId="256EDB25" wp14:editId="59BC259E">
                <wp:extent cx="5557962" cy="6162261"/>
                <wp:effectExtent l="0" t="0" r="508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7962" cy="6162261"/>
                        </a:xfrm>
                        <a:prstGeom prst="rect">
                          <a:avLst/>
                        </a:prstGeom>
                        <a:solidFill>
                          <a:schemeClr val="tx2">
                            <a:lumMod val="10000"/>
                            <a:lumOff val="90000"/>
                          </a:schemeClr>
                        </a:solidFill>
                        <a:ln w="9525">
                          <a:noFill/>
                          <a:miter lim="800000"/>
                          <a:headEnd/>
                          <a:tailEnd/>
                        </a:ln>
                      </wps:spPr>
                      <wps:txbx>
                        <w:txbxContent>
                          <w:p w14:paraId="0511795D" w14:textId="77777777" w:rsidR="00693652" w:rsidRPr="00DC3280" w:rsidRDefault="00693652" w:rsidP="00DC3280">
                            <w:pPr>
                              <w:pStyle w:val="Subtitle"/>
                              <w:rPr>
                                <w:rStyle w:val="Strong"/>
                                <w:b w:val="0"/>
                                <w:bCs w:val="0"/>
                              </w:rPr>
                            </w:pPr>
                            <w:r w:rsidRPr="00DC3280">
                              <w:rPr>
                                <w:rStyle w:val="Strong"/>
                                <w:b w:val="0"/>
                                <w:bCs w:val="0"/>
                              </w:rPr>
                              <w:t>Lance</w:t>
                            </w:r>
                          </w:p>
                          <w:p w14:paraId="0A699664" w14:textId="77777777" w:rsidR="00693652" w:rsidRDefault="00693652" w:rsidP="00693652">
                            <w:r>
                              <w:t>Recovering from a serious car accident isn't easy when you're 70. Lance needed emergency surgery and spent months in rehab learning to walk again. Ongoing injuries mean he's never going to be able to return to his former active lifestyle.</w:t>
                            </w:r>
                          </w:p>
                          <w:p w14:paraId="0FBB3740" w14:textId="77777777" w:rsidR="00693652" w:rsidRDefault="00693652" w:rsidP="00693652">
                            <w:r>
                              <w:t xml:space="preserve">Lance hated being in hospital, and he was stuck there for longer than he needed to be. While other patients came and went, Lance couldn't go home, because home was a caravan that he could no longer physically enter. The hospital couldn't discharge him unless he had suitable accommodation, so he had to stay there, taking up a bed, while housing services struggled to find a place for him to live. </w:t>
                            </w:r>
                          </w:p>
                          <w:p w14:paraId="1C433937" w14:textId="77777777" w:rsidR="00693652" w:rsidRDefault="00693652" w:rsidP="00693652">
                            <w:r>
                              <w:t>Eventually, the hospital social worker found a rental unit for him at a retirement village, which got him out of hospital and has enabled him to relearn how to do things around the house for himself. The problem is that it costs $480 a week, which is 70% of Lance's income. That's not sustainable in the long term, especially since he's going to have ongoing medical costs to deal with.</w:t>
                            </w:r>
                          </w:p>
                          <w:p w14:paraId="59F6B7D7" w14:textId="77777777" w:rsidR="00693652" w:rsidRDefault="00693652" w:rsidP="00693652">
                            <w:r>
                              <w:t xml:space="preserve">To continue his long-term rehabilitation, Lance needs an accessible home close to shops, medical services and public transport. His injuries have forced him to give up his drivers licence. Everyone agrees he's not at the point of needing residential aged care, and he would like to keep his independence as long as possible. </w:t>
                            </w:r>
                          </w:p>
                          <w:p w14:paraId="68F78A2C" w14:textId="77777777" w:rsidR="00693652" w:rsidRDefault="00693652" w:rsidP="00693652">
                            <w:r>
                              <w:t>Budget: $201</w:t>
                            </w:r>
                          </w:p>
                          <w:p w14:paraId="7B7C965E" w14:textId="6D72D3F7" w:rsidR="00693652" w:rsidRDefault="00693652" w:rsidP="00693652">
                            <w:r>
                              <w:t xml:space="preserve">Affordable: </w:t>
                            </w:r>
                            <w:r w:rsidR="00780A2D">
                              <w:t>0</w:t>
                            </w:r>
                          </w:p>
                          <w:p w14:paraId="2C98BCD5" w14:textId="09FE25A6" w:rsidR="005344D4" w:rsidRDefault="00693652" w:rsidP="00693652">
                            <w:r>
                              <w:t>Cheapest appropriate: $</w:t>
                            </w:r>
                            <w:r w:rsidR="001E45D9">
                              <w:t>210</w:t>
                            </w:r>
                            <w:r>
                              <w:t xml:space="preserve"> (</w:t>
                            </w:r>
                            <w:r w:rsidR="001E45D9">
                              <w:t>unit</w:t>
                            </w:r>
                            <w:r>
                              <w:t xml:space="preserve">, </w:t>
                            </w:r>
                            <w:r w:rsidR="001E45D9">
                              <w:t>Claremont</w:t>
                            </w:r>
                            <w:r w:rsidR="004B1AD5">
                              <w:t>,</w:t>
                            </w:r>
                            <w:r>
                              <w:t xml:space="preserve"> </w:t>
                            </w:r>
                            <w:r w:rsidR="0092728F">
                              <w:t xml:space="preserve">unknown if meets </w:t>
                            </w:r>
                            <w:r w:rsidR="00EA1E69">
                              <w:t>accessib</w:t>
                            </w:r>
                            <w:r w:rsidR="00F47F87">
                              <w:t>ility</w:t>
                            </w:r>
                            <w:r w:rsidR="0092728F">
                              <w:t xml:space="preserve"> needs</w:t>
                            </w:r>
                            <w:r w:rsidR="000C69BD">
                              <w:t>)</w:t>
                            </w:r>
                          </w:p>
                        </w:txbxContent>
                      </wps:txbx>
                      <wps:bodyPr rot="0" vert="horz" wrap="square" lIns="91440" tIns="45720" rIns="91440" bIns="45720" anchor="t" anchorCtr="0">
                        <a:no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6EDB25" id="_x0000_t202" coordsize="21600,21600" o:spt="202" path="m,l,21600r21600,l21600,xe">
                <v:stroke joinstyle="miter"/>
                <v:path gradientshapeok="t" o:connecttype="rect"/>
              </v:shapetype>
              <v:shape id="Text Box 2" o:spid="_x0000_s1026" type="#_x0000_t202" style="width:437.65pt;height:48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" fillcolor="#dceaf7 [351]" stroked="f">
                <v:textbox>
                  <w:txbxContent>
                    <w:p w14:paraId="0511795D" w14:textId="77777777" w:rsidR="00693652" w:rsidRPr="00DC3280" w:rsidRDefault="00693652" w:rsidP="00DC3280">
                      <w:pPr>
                        <w:pStyle w:val="Subtitle"/>
                        <w:rPr>
                          <w:rStyle w:val="Strong"/>
                          <w:b w:val="0"/>
                          <w:bCs w:val="0"/>
                        </w:rPr>
                      </w:pPr>
                      <w:r w:rsidRPr="00DC3280">
                        <w:rPr>
                          <w:rStyle w:val="Strong"/>
                          <w:b w:val="0"/>
                          <w:bCs w:val="0"/>
                        </w:rPr>
                        <w:t>Lance</w:t>
                      </w:r>
                    </w:p>
                    <w:p w14:paraId="0A699664" w14:textId="77777777" w:rsidR="00693652" w:rsidRDefault="00693652" w:rsidP="00693652">
                      <w:r>
                        <w:t>Recovering from a serious car accident isn't easy when you're 70. Lance needed emergency surgery and spent months in rehab learning to walk again. Ongoing injuries mean he's never going to be able to return to his former active lifestyle.</w:t>
                      </w:r>
                    </w:p>
                    <w:p w14:paraId="0FBB3740" w14:textId="77777777" w:rsidR="00693652" w:rsidRDefault="00693652" w:rsidP="00693652">
                      <w:r>
                        <w:t xml:space="preserve">Lance hated being in hospital, and he was stuck there for longer than he needed to be. While other patients came and went, Lance couldn't go home, because home was a caravan that he could no longer physically enter. The hospital couldn't discharge him unless he had suitable accommodation, so he had to stay there, taking up a bed, while housing services struggled to find a place for him to live. </w:t>
                      </w:r>
                    </w:p>
                    <w:p w14:paraId="1C433937" w14:textId="77777777" w:rsidR="00693652" w:rsidRDefault="00693652" w:rsidP="00693652">
                      <w:r>
                        <w:t>Eventually, the hospital social worker found a rental unit for him at a retirement village, which got him out of hospital and has enabled him to relearn how to do things around the house for himself. The problem is that it costs $480 a week, which is 70% of Lance's income. That's not sustainable in the long term, especially since he's going to have ongoing medical costs to deal with.</w:t>
                      </w:r>
                    </w:p>
                    <w:p w14:paraId="59F6B7D7" w14:textId="77777777" w:rsidR="00693652" w:rsidRDefault="00693652" w:rsidP="00693652">
                      <w:r>
                        <w:t xml:space="preserve">To continue his long-term rehabilitation, Lance needs an accessible home close to shops, medical services and public transport. His injuries have forced him to give up his drivers licence. Everyone agrees he's not at the point of needing residential aged care, and he would like to keep his independence as long as possible. </w:t>
                      </w:r>
                    </w:p>
                    <w:p w14:paraId="68F78A2C" w14:textId="77777777" w:rsidR="00693652" w:rsidRDefault="00693652" w:rsidP="00693652">
                      <w:r>
                        <w:t>Budget: $201</w:t>
                      </w:r>
                    </w:p>
                    <w:p w14:paraId="7B7C965E" w14:textId="6D72D3F7" w:rsidR="00693652" w:rsidRDefault="00693652" w:rsidP="00693652">
                      <w:r>
                        <w:t xml:space="preserve">Affordable: </w:t>
                      </w:r>
                      <w:r w:rsidR="00780A2D">
                        <w:t>0</w:t>
                      </w:r>
                    </w:p>
                    <w:p w14:paraId="2C98BCD5" w14:textId="09FE25A6" w:rsidR="005344D4" w:rsidRDefault="00693652" w:rsidP="00693652">
                      <w:r>
                        <w:t>Cheapest appropriate: $</w:t>
                      </w:r>
                      <w:r w:rsidR="001E45D9">
                        <w:t>210</w:t>
                      </w:r>
                      <w:r>
                        <w:t xml:space="preserve"> (</w:t>
                      </w:r>
                      <w:r w:rsidR="001E45D9">
                        <w:t>unit</w:t>
                      </w:r>
                      <w:r>
                        <w:t xml:space="preserve">, </w:t>
                      </w:r>
                      <w:r w:rsidR="001E45D9">
                        <w:t>Claremont</w:t>
                      </w:r>
                      <w:r w:rsidR="004B1AD5">
                        <w:t>,</w:t>
                      </w:r>
                      <w:r>
                        <w:t xml:space="preserve"> </w:t>
                      </w:r>
                      <w:r w:rsidR="0092728F">
                        <w:t xml:space="preserve">unknown if meets </w:t>
                      </w:r>
                      <w:r w:rsidR="00EA1E69">
                        <w:t>accessib</w:t>
                      </w:r>
                      <w:r w:rsidR="00F47F87">
                        <w:t>ility</w:t>
                      </w:r>
                      <w:r w:rsidR="0092728F">
                        <w:t xml:space="preserve"> needs</w:t>
                      </w:r>
                      <w:r w:rsidR="000C69BD">
                        <w:t>)</w:t>
                      </w:r>
                    </w:p>
                  </w:txbxContent>
                </v:textbox>
                <w10:anchorlock/>
              </v:shape>
            </w:pict>
          </mc:Fallback>
        </mc:AlternateContent>
      </w:r>
    </w:p>
    <w:p w14:paraId="1790FDAE" w14:textId="77777777" w:rsidR="007920FF" w:rsidRDefault="007920FF">
      <w:r>
        <w:br w:type="page"/>
      </w:r>
    </w:p>
    <w:p w14:paraId="26C0930F" w14:textId="34CF80E7" w:rsidR="003D225D" w:rsidRDefault="00B37D50" w:rsidP="00B71E6B">
      <w:r w:rsidRPr="00425028">
        <w:t>As an older person</w:t>
      </w:r>
      <w:r w:rsidR="000F1284" w:rsidRPr="00425028">
        <w:t xml:space="preserve"> on the Age pension</w:t>
      </w:r>
      <w:r w:rsidRPr="00425028">
        <w:t xml:space="preserve">, </w:t>
      </w:r>
      <w:r w:rsidR="000F1284" w:rsidRPr="00425028">
        <w:t xml:space="preserve">Lance </w:t>
      </w:r>
      <w:r w:rsidRPr="00425028">
        <w:t xml:space="preserve">can’t increase his income to afford more properties. People </w:t>
      </w:r>
      <w:r w:rsidR="00506B08" w:rsidRPr="00425028">
        <w:t xml:space="preserve">like Lance </w:t>
      </w:r>
      <w:r w:rsidRPr="00425028">
        <w:t xml:space="preserve">earning the lowest incomes are priced out of the rental market or outcompeted for the few affordable rentals by higher-earning applicants. </w:t>
      </w:r>
      <w:r w:rsidR="00E33847" w:rsidRPr="00425028">
        <w:t>An increase to social housing is urgently needed</w:t>
      </w:r>
      <w:r w:rsidR="00BC12F4" w:rsidRPr="00425028">
        <w:t xml:space="preserve"> to provide secure rental housing for people on the lowest incomes.</w:t>
      </w:r>
      <w:r w:rsidR="00DC3280">
        <w:t xml:space="preserve"> </w:t>
      </w:r>
    </w:p>
    <w:p w14:paraId="09D0AAA5" w14:textId="78D858A3" w:rsidR="00C55545" w:rsidRPr="00425028" w:rsidRDefault="009B5672" w:rsidP="00B71E6B">
      <w:r>
        <w:t xml:space="preserve">The </w:t>
      </w:r>
      <w:r w:rsidR="00506B08" w:rsidRPr="00425028">
        <w:t>A</w:t>
      </w:r>
      <w:r w:rsidR="00F422A6" w:rsidRPr="00425028">
        <w:t xml:space="preserve">ustralian </w:t>
      </w:r>
      <w:r w:rsidR="00506B08" w:rsidRPr="00425028">
        <w:t>H</w:t>
      </w:r>
      <w:r w:rsidR="00F422A6" w:rsidRPr="00425028">
        <w:t xml:space="preserve">ousing and </w:t>
      </w:r>
      <w:r w:rsidR="00506B08" w:rsidRPr="00425028">
        <w:t>U</w:t>
      </w:r>
      <w:r w:rsidR="00F422A6" w:rsidRPr="00425028">
        <w:t xml:space="preserve">rban </w:t>
      </w:r>
      <w:r w:rsidR="00506B08" w:rsidRPr="00425028">
        <w:t>R</w:t>
      </w:r>
      <w:r w:rsidR="00F422A6" w:rsidRPr="00425028">
        <w:t xml:space="preserve">esearch </w:t>
      </w:r>
      <w:r w:rsidR="00506B08" w:rsidRPr="00425028">
        <w:t>I</w:t>
      </w:r>
      <w:r w:rsidR="00F422A6" w:rsidRPr="00425028">
        <w:t>nstitute (</w:t>
      </w:r>
      <w:r w:rsidR="00506B08" w:rsidRPr="00425028">
        <w:t>AHURI</w:t>
      </w:r>
      <w:r w:rsidR="00F422A6" w:rsidRPr="00425028">
        <w:t>)</w:t>
      </w:r>
      <w:r w:rsidR="00506B08" w:rsidRPr="00425028">
        <w:t xml:space="preserve"> completed a long-term analysis of Census data to examine changes in the supply of, and demand for, affordable and available private rental housing for lower-income households from 1996–2021. This analysis</w:t>
      </w:r>
      <w:r w:rsidR="009A53A8" w:rsidRPr="00425028">
        <w:t xml:space="preserve"> </w:t>
      </w:r>
      <w:r w:rsidR="00506B08" w:rsidRPr="00425028">
        <w:t>reveal</w:t>
      </w:r>
      <w:r w:rsidR="000E5231" w:rsidRPr="00425028">
        <w:t>ed</w:t>
      </w:r>
      <w:r w:rsidR="00506B08" w:rsidRPr="00425028">
        <w:t xml:space="preserve"> the cumulative impact of market failure: </w:t>
      </w:r>
    </w:p>
    <w:p w14:paraId="03B93ADA" w14:textId="33D908E5" w:rsidR="007016BB" w:rsidRDefault="00506B08" w:rsidP="007920FF">
      <w:pPr>
        <w:pStyle w:val="IntenseQuote"/>
        <w:rPr>
          <w:sz w:val="32"/>
          <w:szCs w:val="32"/>
        </w:rPr>
      </w:pPr>
      <w:r w:rsidRPr="007016BB">
        <w:t>relying on a private market to support the essential and basic need for housing for an ever-growing share of the population, including people in later life, is ultimately socially and economically unsustainable.</w:t>
      </w:r>
      <w:r w:rsidRPr="007016BB">
        <w:rPr>
          <w:sz w:val="16"/>
          <w:szCs w:val="16"/>
          <w:vertAlign w:val="superscript"/>
        </w:rPr>
        <w:footnoteReference w:id="9"/>
      </w:r>
      <w:bookmarkStart w:id="39" w:name="_Toc195101864"/>
      <w:bookmarkStart w:id="40" w:name="_Toc196228996"/>
      <w:r w:rsidR="007016BB">
        <w:br w:type="page"/>
      </w:r>
    </w:p>
    <w:p w14:paraId="4B708D69" w14:textId="09CFCB5C" w:rsidR="00CC425B" w:rsidRPr="00425028" w:rsidRDefault="0039008B" w:rsidP="00B71E6B">
      <w:pPr>
        <w:pStyle w:val="Heading2"/>
        <w:rPr>
          <w:rFonts w:ascii="Avenir Next LT Pro" w:hAnsi="Avenir Next LT Pro"/>
        </w:rPr>
      </w:pPr>
      <w:r w:rsidRPr="00425028">
        <w:rPr>
          <w:rFonts w:ascii="Avenir Next LT Pro" w:hAnsi="Avenir Next LT Pro"/>
        </w:rPr>
        <w:t xml:space="preserve">Families </w:t>
      </w:r>
      <w:r w:rsidR="00536AE8" w:rsidRPr="00425028">
        <w:rPr>
          <w:rFonts w:ascii="Avenir Next LT Pro" w:hAnsi="Avenir Next LT Pro"/>
        </w:rPr>
        <w:t xml:space="preserve">may </w:t>
      </w:r>
      <w:r w:rsidR="269D96FC" w:rsidRPr="00425028">
        <w:rPr>
          <w:rFonts w:ascii="Avenir Next LT Pro" w:hAnsi="Avenir Next LT Pro"/>
        </w:rPr>
        <w:t>have</w:t>
      </w:r>
      <w:r w:rsidRPr="00425028">
        <w:rPr>
          <w:rFonts w:ascii="Avenir Next LT Pro" w:hAnsi="Avenir Next LT Pro"/>
        </w:rPr>
        <w:t xml:space="preserve"> a wide range of needs</w:t>
      </w:r>
      <w:bookmarkEnd w:id="39"/>
      <w:bookmarkEnd w:id="40"/>
    </w:p>
    <w:p w14:paraId="37EDC000" w14:textId="2E9A5EA5" w:rsidR="00CC425B" w:rsidRPr="00425028" w:rsidRDefault="00412615" w:rsidP="00B71E6B">
      <w:r w:rsidRPr="00425028">
        <w:rPr>
          <w:noProof/>
          <w:lang w:val="en-US"/>
        </w:rPr>
        <mc:AlternateContent>
          <mc:Choice Requires="wps">
            <w:drawing>
              <wp:anchor distT="45720" distB="45720" distL="114300" distR="114300" simplePos="0" relativeHeight="251654144" behindDoc="0" locked="0" layoutInCell="1" allowOverlap="1" wp14:anchorId="73AD8C16" wp14:editId="29AC00D8">
                <wp:simplePos x="0" y="0"/>
                <wp:positionH relativeFrom="margin">
                  <wp:align>right</wp:align>
                </wp:positionH>
                <wp:positionV relativeFrom="paragraph">
                  <wp:posOffset>248480</wp:posOffset>
                </wp:positionV>
                <wp:extent cx="5686425" cy="5581650"/>
                <wp:effectExtent l="0" t="0" r="9525" b="0"/>
                <wp:wrapSquare wrapText="bothSides"/>
                <wp:docPr id="1974871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5581815"/>
                        </a:xfrm>
                        <a:prstGeom prst="rect">
                          <a:avLst/>
                        </a:prstGeom>
                        <a:solidFill>
                          <a:srgbClr val="E97132">
                            <a:lumMod val="40000"/>
                            <a:lumOff val="60000"/>
                          </a:srgbClr>
                        </a:solidFill>
                        <a:ln w="9525">
                          <a:noFill/>
                          <a:miter lim="800000"/>
                          <a:headEnd/>
                          <a:tailEnd/>
                        </a:ln>
                      </wps:spPr>
                      <wps:txbx>
                        <w:txbxContent>
                          <w:p w14:paraId="77D7D808" w14:textId="77777777" w:rsidR="00CC425B" w:rsidRPr="00CC425B" w:rsidRDefault="00CC425B" w:rsidP="00B71E6B">
                            <w:pPr>
                              <w:pStyle w:val="Subtitle"/>
                            </w:pPr>
                            <w:r w:rsidRPr="00CC425B">
                              <w:t>John, Marie, Zane and Patrick</w:t>
                            </w:r>
                          </w:p>
                          <w:p w14:paraId="2E87A26B" w14:textId="7A825359" w:rsidR="00CC425B" w:rsidRPr="00CC425B" w:rsidRDefault="00CC425B" w:rsidP="00B71E6B">
                            <w:r w:rsidRPr="00CC425B">
                              <w:t>John and Marie never expected to be raising children again in their 70s, but</w:t>
                            </w:r>
                            <w:r w:rsidR="000B5118">
                              <w:t xml:space="preserve"> their grandsons needed a fresh start</w:t>
                            </w:r>
                            <w:r w:rsidRPr="00CC425B">
                              <w:t xml:space="preserve"> after some family </w:t>
                            </w:r>
                            <w:r w:rsidR="000B5118">
                              <w:t>issues</w:t>
                            </w:r>
                            <w:r w:rsidRPr="00CC425B">
                              <w:t xml:space="preserve">, </w:t>
                            </w:r>
                            <w:r w:rsidR="000B5118">
                              <w:t xml:space="preserve">so </w:t>
                            </w:r>
                            <w:r w:rsidRPr="00CC425B">
                              <w:t xml:space="preserve">that's what they're doing. </w:t>
                            </w:r>
                            <w:r w:rsidR="00320837">
                              <w:t xml:space="preserve">They </w:t>
                            </w:r>
                            <w:r w:rsidRPr="00CC425B">
                              <w:t>moved to Tasmania where a family member</w:t>
                            </w:r>
                            <w:r w:rsidR="00320837">
                              <w:t xml:space="preserve"> offered to </w:t>
                            </w:r>
                            <w:r w:rsidRPr="00CC425B">
                              <w:t>rent them a property. That was five years ago, and now Zane is 11 and Patrick is 13. It's an expensive age, with school fees, sports and activities, technology, clothing and transport. Already they're just barely making ends meet.</w:t>
                            </w:r>
                          </w:p>
                          <w:p w14:paraId="246EB1EC" w14:textId="77777777" w:rsidR="00CC425B" w:rsidRPr="00CC425B" w:rsidRDefault="00CC425B" w:rsidP="00B71E6B">
                            <w:r w:rsidRPr="00CC425B">
                              <w:t xml:space="preserve">Now the house they've been living in is going to be sold. John and Marie are facing a rental market that is not only unaffordable, but inaccessible in more ways than one. Neither of them is comfortable using the internet, so it's difficult to even find rental advertisements. When they do manage to view a property, it often turns out to be literally inaccessible – John is nearly 80 and can't climb steps. </w:t>
                            </w:r>
                          </w:p>
                          <w:p w14:paraId="45AC7669" w14:textId="77777777" w:rsidR="00CC425B" w:rsidRPr="00CC425B" w:rsidRDefault="00CC425B" w:rsidP="00B71E6B">
                            <w:r w:rsidRPr="00CC425B">
                              <w:t>Luckily they're located on the North West coast, where it's not impossible to find a 3-bedroom property in their price range. But there are very few available properties, not all are physically accessible, and lots of other families are also looking for cheap 3-bedroom rentals. Moving to another town would be a last resort, because Zane is stressed about starting high school soon and Marie's afraid he'll have a bad time if he has to leave his friends. The boys went through a lot when they were younger and for them to have a good future ahead, they need the stability of a roof over their heads.</w:t>
                            </w:r>
                          </w:p>
                          <w:p w14:paraId="04478585" w14:textId="77777777" w:rsidR="00CC425B" w:rsidRPr="00CC425B" w:rsidRDefault="00CC425B" w:rsidP="00B71E6B">
                            <w:r w:rsidRPr="00CC425B">
                              <w:t>Budget: $423</w:t>
                            </w:r>
                          </w:p>
                          <w:p w14:paraId="46D9FDF5" w14:textId="4B073F93" w:rsidR="00CC425B" w:rsidRPr="00CC425B" w:rsidRDefault="00CC425B" w:rsidP="00B71E6B">
                            <w:r w:rsidRPr="00CC425B">
                              <w:t>Affordable: 4</w:t>
                            </w:r>
                            <w:r w:rsidR="00591966">
                              <w:t>2</w:t>
                            </w:r>
                          </w:p>
                          <w:p w14:paraId="2AA4AEF9" w14:textId="2B983F47" w:rsidR="00CC425B" w:rsidRPr="00CC425B" w:rsidRDefault="00CC425B" w:rsidP="00B71E6B">
                            <w:r w:rsidRPr="00CC425B">
                              <w:t>Affordable and local: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AD8C16" id="_x0000_s1027" type="#_x0000_t202" style="position:absolute;margin-left:396.55pt;margin-top:19.55pt;width:447.75pt;height:439.5pt;z-index:2516541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" fillcolor="#f6c6ad" stroked="f">
                <v:textbox>
                  <w:txbxContent>
                    <w:p w14:paraId="77D7D808" w14:textId="77777777" w:rsidR="00CC425B" w:rsidRPr="00CC425B" w:rsidRDefault="00CC425B" w:rsidP="00B71E6B">
                      <w:pPr>
                        <w:pStyle w:val="Subtitle"/>
                      </w:pPr>
                      <w:r w:rsidRPr="00CC425B">
                        <w:t>John, Marie, Zane and Patrick</w:t>
                      </w:r>
                    </w:p>
                    <w:p w14:paraId="2E87A26B" w14:textId="7A825359" w:rsidR="00CC425B" w:rsidRPr="00CC425B" w:rsidRDefault="00CC425B" w:rsidP="00B71E6B">
                      <w:r w:rsidRPr="00CC425B">
                        <w:t>John and Marie never expected to be raising children again in their 70s, but</w:t>
                      </w:r>
                      <w:r w:rsidR="000B5118">
                        <w:t xml:space="preserve"> their grandsons needed a fresh start</w:t>
                      </w:r>
                      <w:r w:rsidRPr="00CC425B">
                        <w:t xml:space="preserve"> after some family </w:t>
                      </w:r>
                      <w:r w:rsidR="000B5118">
                        <w:t>issues</w:t>
                      </w:r>
                      <w:r w:rsidRPr="00CC425B">
                        <w:t xml:space="preserve">, </w:t>
                      </w:r>
                      <w:r w:rsidR="000B5118">
                        <w:t xml:space="preserve">so </w:t>
                      </w:r>
                      <w:r w:rsidRPr="00CC425B">
                        <w:t xml:space="preserve">that's what they're doing. </w:t>
                      </w:r>
                      <w:r w:rsidR="00320837">
                        <w:t xml:space="preserve">They </w:t>
                      </w:r>
                      <w:r w:rsidRPr="00CC425B">
                        <w:t>moved to Tasmania where a family member</w:t>
                      </w:r>
                      <w:r w:rsidR="00320837">
                        <w:t xml:space="preserve"> offered to </w:t>
                      </w:r>
                      <w:r w:rsidRPr="00CC425B">
                        <w:t>rent them a property. That was five years ago, and now Zane is 11 and Patrick is 13. It's an expensive age, with school fees, sports and activities, technology, clothing and transport. Already they're just barely making ends meet.</w:t>
                      </w:r>
                    </w:p>
                    <w:p w14:paraId="246EB1EC" w14:textId="77777777" w:rsidR="00CC425B" w:rsidRPr="00CC425B" w:rsidRDefault="00CC425B" w:rsidP="00B71E6B">
                      <w:r w:rsidRPr="00CC425B">
                        <w:t xml:space="preserve">Now the house they've been living in is going to be sold. John and Marie are facing a rental market that is not only unaffordable, but inaccessible in more ways than one. Neither of them is comfortable using the internet, so it's difficult to even find rental advertisements. When they do manage to view a property, it often turns out to be literally inaccessible – John is nearly 80 and can't climb steps. </w:t>
                      </w:r>
                    </w:p>
                    <w:p w14:paraId="45AC7669" w14:textId="77777777" w:rsidR="00CC425B" w:rsidRPr="00CC425B" w:rsidRDefault="00CC425B" w:rsidP="00B71E6B">
                      <w:r w:rsidRPr="00CC425B">
                        <w:t>Luckily they're located on the North West coast, where it's not impossible to find a 3-bedroom property in their price range. But there are very few available properties, not all are physically accessible, and lots of other families are also looking for cheap 3-bedroom rentals. Moving to another town would be a last resort, because Zane is stressed about starting high school soon and Marie's afraid he'll have a bad time if he has to leave his friends. The boys went through a lot when they were younger and for them to have a good future ahead, they need the stability of a roof over their heads.</w:t>
                      </w:r>
                    </w:p>
                    <w:p w14:paraId="04478585" w14:textId="77777777" w:rsidR="00CC425B" w:rsidRPr="00CC425B" w:rsidRDefault="00CC425B" w:rsidP="00B71E6B">
                      <w:r w:rsidRPr="00CC425B">
                        <w:t>Budget: $423</w:t>
                      </w:r>
                    </w:p>
                    <w:p w14:paraId="46D9FDF5" w14:textId="4B073F93" w:rsidR="00CC425B" w:rsidRPr="00CC425B" w:rsidRDefault="00CC425B" w:rsidP="00B71E6B">
                      <w:r w:rsidRPr="00CC425B">
                        <w:t>Affordable: 4</w:t>
                      </w:r>
                      <w:r w:rsidR="00591966">
                        <w:t>2</w:t>
                      </w:r>
                    </w:p>
                    <w:p w14:paraId="2AA4AEF9" w14:textId="2B983F47" w:rsidR="00CC425B" w:rsidRPr="00CC425B" w:rsidRDefault="00CC425B" w:rsidP="00B71E6B">
                      <w:r w:rsidRPr="00CC425B">
                        <w:t>Affordable and local: 3</w:t>
                      </w:r>
                    </w:p>
                  </w:txbxContent>
                </v:textbox>
                <w10:wrap type="square" anchorx="margin"/>
              </v:shape>
            </w:pict>
          </mc:Fallback>
        </mc:AlternateContent>
      </w:r>
    </w:p>
    <w:p w14:paraId="73E7C219" w14:textId="4B185836" w:rsidR="003B7F88" w:rsidRPr="00425028" w:rsidRDefault="00BF5A6F" w:rsidP="00B71E6B">
      <w:pPr>
        <w:rPr>
          <w:rFonts w:eastAsiaTheme="majorEastAsia" w:cstheme="majorBidi"/>
          <w:color w:val="0F4761" w:themeColor="accent1" w:themeShade="BF"/>
          <w:sz w:val="40"/>
          <w:szCs w:val="40"/>
        </w:rPr>
      </w:pPr>
      <w:r w:rsidRPr="00425028">
        <w:t>Many f</w:t>
      </w:r>
      <w:r w:rsidR="00315605" w:rsidRPr="00425028">
        <w:t>amilies</w:t>
      </w:r>
      <w:r w:rsidR="008B4E79" w:rsidRPr="00425028">
        <w:t xml:space="preserve"> have additional needs to consider</w:t>
      </w:r>
      <w:r w:rsidR="00315605" w:rsidRPr="00425028">
        <w:t xml:space="preserve"> </w:t>
      </w:r>
      <w:r w:rsidR="00CC354B" w:rsidRPr="00425028">
        <w:t>as well as affordability</w:t>
      </w:r>
      <w:r w:rsidR="00CC425B" w:rsidRPr="00425028">
        <w:t xml:space="preserve">, including </w:t>
      </w:r>
      <w:r w:rsidR="00E41162" w:rsidRPr="00425028">
        <w:t xml:space="preserve">proximity </w:t>
      </w:r>
      <w:r w:rsidR="00CC425B" w:rsidRPr="00425028">
        <w:t xml:space="preserve">to schools, support networks, and services. </w:t>
      </w:r>
      <w:r w:rsidRPr="00425028">
        <w:t>The adults in the household may not be able to increase their income to afford more suitable properties</w:t>
      </w:r>
      <w:r w:rsidR="00591966" w:rsidRPr="00425028">
        <w:t>, like John and Marie,</w:t>
      </w:r>
      <w:r w:rsidR="009E4DBB" w:rsidRPr="00425028">
        <w:t xml:space="preserve"> and may have to consider a property above their budget</w:t>
      </w:r>
      <w:r w:rsidR="008E253F" w:rsidRPr="00425028">
        <w:t xml:space="preserve">. </w:t>
      </w:r>
    </w:p>
    <w:p w14:paraId="3C6E1B58" w14:textId="77777777" w:rsidR="004135B6" w:rsidRPr="00425028" w:rsidRDefault="004135B6">
      <w:pPr>
        <w:rPr>
          <w:rFonts w:eastAsiaTheme="majorEastAsia" w:cstheme="majorBidi"/>
          <w:color w:val="0F4761" w:themeColor="accent1" w:themeShade="BF"/>
          <w:sz w:val="40"/>
          <w:szCs w:val="40"/>
        </w:rPr>
      </w:pPr>
      <w:bookmarkStart w:id="41" w:name="_Toc195101865"/>
      <w:r w:rsidRPr="00425028">
        <w:br w:type="page"/>
      </w:r>
    </w:p>
    <w:p w14:paraId="791777DE" w14:textId="584DD195" w:rsidR="00B62325" w:rsidRPr="00425028" w:rsidRDefault="00CB2703" w:rsidP="00B71E6B">
      <w:pPr>
        <w:pStyle w:val="Heading1"/>
        <w:rPr>
          <w:rFonts w:ascii="Avenir Next LT Pro" w:hAnsi="Avenir Next LT Pro"/>
        </w:rPr>
      </w:pPr>
      <w:bookmarkStart w:id="42" w:name="_Toc196228997"/>
      <w:r w:rsidRPr="00425028">
        <w:rPr>
          <w:rFonts w:ascii="Avenir Next LT Pro" w:hAnsi="Avenir Next LT Pro"/>
        </w:rPr>
        <w:t xml:space="preserve">Why housing </w:t>
      </w:r>
      <w:r w:rsidR="005B2DA6" w:rsidRPr="00425028">
        <w:rPr>
          <w:rFonts w:ascii="Avenir Next LT Pro" w:hAnsi="Avenir Next LT Pro"/>
        </w:rPr>
        <w:t>is important in addressing</w:t>
      </w:r>
      <w:r w:rsidR="00B62325" w:rsidRPr="00425028">
        <w:rPr>
          <w:rFonts w:ascii="Avenir Next LT Pro" w:hAnsi="Avenir Next LT Pro"/>
        </w:rPr>
        <w:t xml:space="preserve"> domestic and family violence</w:t>
      </w:r>
      <w:bookmarkEnd w:id="42"/>
      <w:r w:rsidR="00B62325" w:rsidRPr="00425028">
        <w:rPr>
          <w:rFonts w:ascii="Avenir Next LT Pro" w:hAnsi="Avenir Next LT Pro"/>
        </w:rPr>
        <w:t xml:space="preserve"> </w:t>
      </w:r>
      <w:bookmarkEnd w:id="41"/>
    </w:p>
    <w:p w14:paraId="73EA65EA" w14:textId="5A5E0D91" w:rsidR="00814245" w:rsidRPr="00425028" w:rsidRDefault="00B54FB2" w:rsidP="00B71E6B">
      <w:r w:rsidRPr="00425028">
        <w:t>Domestic and family violence</w:t>
      </w:r>
      <w:r w:rsidR="00DA180B" w:rsidRPr="00425028">
        <w:t xml:space="preserve"> (DFV)</w:t>
      </w:r>
      <w:r w:rsidRPr="00425028">
        <w:t xml:space="preserve"> is a major cause of homelessness. </w:t>
      </w:r>
      <w:r w:rsidR="00DB2D8E" w:rsidRPr="00425028">
        <w:t>In 2023–24, 39% of all clients of Specialist Homelessness Services agencies in Australia had experienced family or domestic violence.</w:t>
      </w:r>
      <w:r w:rsidR="00DB2D8E" w:rsidRPr="00425028">
        <w:rPr>
          <w:rStyle w:val="FootnoteReference"/>
        </w:rPr>
        <w:footnoteReference w:id="10"/>
      </w:r>
      <w:r w:rsidR="00DB2D8E" w:rsidRPr="00425028">
        <w:t xml:space="preserve"> </w:t>
      </w:r>
      <w:r w:rsidR="003B7F88" w:rsidRPr="00425028">
        <w:t xml:space="preserve">Ideally </w:t>
      </w:r>
      <w:r w:rsidR="00E03A7F">
        <w:t>people</w:t>
      </w:r>
      <w:r w:rsidR="003B7F88" w:rsidRPr="00425028">
        <w:t xml:space="preserve"> would not need to move from their home when experiencing </w:t>
      </w:r>
      <w:r w:rsidR="00814245" w:rsidRPr="00425028">
        <w:t>DFV</w:t>
      </w:r>
      <w:r w:rsidR="0010523A" w:rsidRPr="00425028">
        <w:t>,</w:t>
      </w:r>
      <w:r w:rsidR="003B7F88" w:rsidRPr="00425028">
        <w:t xml:space="preserve"> </w:t>
      </w:r>
      <w:r w:rsidR="0010523A" w:rsidRPr="00425028">
        <w:t>b</w:t>
      </w:r>
      <w:r w:rsidR="003B7F88" w:rsidRPr="00425028">
        <w:t xml:space="preserve">ut they often need to leave for their own safety. </w:t>
      </w:r>
    </w:p>
    <w:p w14:paraId="7991AF56" w14:textId="177A83BC" w:rsidR="000600B7" w:rsidRPr="00425028" w:rsidRDefault="003B7F88" w:rsidP="00B71E6B">
      <w:r w:rsidRPr="00425028">
        <w:t xml:space="preserve">Analysis from AHURI shows that many people who have left home due to a violent partner become homeless for </w:t>
      </w:r>
      <w:r w:rsidR="00FD310E" w:rsidRPr="00425028">
        <w:t>a period</w:t>
      </w:r>
      <w:r w:rsidR="00F5757B" w:rsidRPr="00425028">
        <w:t>. This</w:t>
      </w:r>
      <w:r w:rsidRPr="00425028">
        <w:t xml:space="preserve"> includ</w:t>
      </w:r>
      <w:r w:rsidR="00F5757B" w:rsidRPr="00425028">
        <w:t>es</w:t>
      </w:r>
      <w:r w:rsidRPr="00425028">
        <w:t xml:space="preserve"> staying at a friend or relative’s house, in a refuge or shelter, motel/hotel or caravan park, a boarding house, or sleeping rough.</w:t>
      </w:r>
      <w:r w:rsidRPr="00425028">
        <w:rPr>
          <w:rStyle w:val="FootnoteReference"/>
        </w:rPr>
        <w:footnoteReference w:id="11"/>
      </w:r>
      <w:r w:rsidRPr="00425028">
        <w:t xml:space="preserve"> </w:t>
      </w:r>
      <w:r w:rsidR="00B62325" w:rsidRPr="00425028">
        <w:t xml:space="preserve">Availability of suitable affordable housing is critical to minimising harmful impacts </w:t>
      </w:r>
      <w:r w:rsidR="003F6BB8" w:rsidRPr="00425028">
        <w:t>of violence</w:t>
      </w:r>
      <w:r w:rsidR="00BE05DA">
        <w:t xml:space="preserve">, </w:t>
      </w:r>
      <w:r w:rsidR="00B62325" w:rsidRPr="00425028">
        <w:t xml:space="preserve">including </w:t>
      </w:r>
      <w:r w:rsidR="00BE05DA">
        <w:t xml:space="preserve">the impact on </w:t>
      </w:r>
      <w:r w:rsidR="00B62325" w:rsidRPr="00425028">
        <w:t xml:space="preserve">children. </w:t>
      </w:r>
    </w:p>
    <w:p w14:paraId="343A7782" w14:textId="77777777" w:rsidR="005B10C8" w:rsidRPr="00425028" w:rsidRDefault="003B7F88" w:rsidP="00B71E6B">
      <w:pPr>
        <w:pStyle w:val="IntenseQuote"/>
      </w:pPr>
      <w:r w:rsidRPr="00425028">
        <w:t>Our 20-year Strategy aims to support Tasmanians most in need of assistance. In the first four years, we are focused on elevating assistance to Aboriginal Tasmanians, women and children, young people and households experiencing family violence.</w:t>
      </w:r>
    </w:p>
    <w:p w14:paraId="446B8905" w14:textId="196EDCCA" w:rsidR="003B7F88" w:rsidRPr="00425028" w:rsidRDefault="005B10C8" w:rsidP="00B71E6B">
      <w:pPr>
        <w:pStyle w:val="IntenseQuote"/>
      </w:pPr>
      <w:r w:rsidRPr="00425028">
        <w:t xml:space="preserve">— Tasmanian Housing Strategy 2023-2043 </w:t>
      </w:r>
    </w:p>
    <w:p w14:paraId="7AB66C0A" w14:textId="1922660A" w:rsidR="00B54FB2" w:rsidRPr="00425028" w:rsidRDefault="00B54FB2" w:rsidP="00B71E6B">
      <w:r w:rsidRPr="00425028">
        <w:t>Anglicare Tasmania operate</w:t>
      </w:r>
      <w:r w:rsidR="7F03FC03" w:rsidRPr="00425028">
        <w:t>s</w:t>
      </w:r>
      <w:r w:rsidRPr="00425028">
        <w:t xml:space="preserve"> the Housing Connect Front Door </w:t>
      </w:r>
      <w:r w:rsidR="00814245" w:rsidRPr="00425028">
        <w:t xml:space="preserve">service </w:t>
      </w:r>
      <w:r w:rsidRPr="00425028">
        <w:t>statewide</w:t>
      </w:r>
      <w:r w:rsidR="00A77B83" w:rsidRPr="00425028">
        <w:t>,</w:t>
      </w:r>
      <w:r w:rsidRPr="00425028">
        <w:t xml:space="preserve"> the entry point for people to access housing support. From Front Door service data we know that statewide:</w:t>
      </w:r>
    </w:p>
    <w:p w14:paraId="435BB551" w14:textId="77777777" w:rsidR="00B54FB2" w:rsidRPr="00425028" w:rsidRDefault="00B54FB2" w:rsidP="00B71E6B">
      <w:pPr>
        <w:pStyle w:val="ListParagraph"/>
        <w:numPr>
          <w:ilvl w:val="0"/>
          <w:numId w:val="4"/>
        </w:numPr>
      </w:pPr>
      <w:r w:rsidRPr="00425028">
        <w:t>1 in 5 clients seeking housing support are experiencing DFV</w:t>
      </w:r>
    </w:p>
    <w:p w14:paraId="55EEA664" w14:textId="0AF93C10" w:rsidR="00DB2DD9" w:rsidRPr="00425028" w:rsidRDefault="00B54FB2" w:rsidP="00B71E6B">
      <w:pPr>
        <w:pStyle w:val="ListParagraph"/>
        <w:numPr>
          <w:ilvl w:val="0"/>
          <w:numId w:val="4"/>
        </w:numPr>
      </w:pPr>
      <w:r w:rsidRPr="00425028">
        <w:t xml:space="preserve">DFV is the </w:t>
      </w:r>
      <w:r w:rsidRPr="00425028">
        <w:rPr>
          <w:b/>
          <w:bCs/>
        </w:rPr>
        <w:t>main reason</w:t>
      </w:r>
      <w:r w:rsidRPr="00425028">
        <w:t xml:space="preserve"> 1 in 10 clients are seeking housing support</w:t>
      </w:r>
      <w:r w:rsidRPr="00425028">
        <w:rPr>
          <w:rStyle w:val="FootnoteReference"/>
        </w:rPr>
        <w:footnoteReference w:id="12"/>
      </w:r>
    </w:p>
    <w:p w14:paraId="64E80CCE" w14:textId="77777777" w:rsidR="001754A6" w:rsidRPr="00425028" w:rsidRDefault="00A342A5" w:rsidP="00B71E6B">
      <w:r w:rsidRPr="00425028">
        <w:t>Research from Impact Economics and Policy commissioned by the Tasmanian Government in partnership with Shelter Tasmania and Hobart Women’s Shelter found that ‘an estimated 933 Tasmanian women are returning to a violent partner or entering homelessness after experiencing family violence each year due to a lack of housing.’</w:t>
      </w:r>
      <w:r w:rsidRPr="00425028">
        <w:rPr>
          <w:rStyle w:val="FootnoteReference"/>
        </w:rPr>
        <w:footnoteReference w:id="13"/>
      </w:r>
    </w:p>
    <w:p w14:paraId="0A1BF580" w14:textId="0F4745C1" w:rsidR="000600B7" w:rsidRPr="00425028" w:rsidRDefault="00B62325" w:rsidP="00B71E6B">
      <w:r w:rsidRPr="00425028">
        <w:t xml:space="preserve">Anglicare’s recent research </w:t>
      </w:r>
      <w:hyperlink r:id="rId22" w:history="1">
        <w:r w:rsidRPr="00425028">
          <w:rPr>
            <w:rStyle w:val="Hyperlink"/>
            <w:i/>
          </w:rPr>
          <w:t>Unsafe and Unhoused</w:t>
        </w:r>
      </w:hyperlink>
      <w:r w:rsidRPr="00425028">
        <w:t xml:space="preserve"> found that a lack of affordable and available housing in North</w:t>
      </w:r>
      <w:r w:rsidR="00E14CB5" w:rsidRPr="00425028">
        <w:t xml:space="preserve"> </w:t>
      </w:r>
      <w:r w:rsidRPr="00425028">
        <w:t>West Tasmania is a significant barrier to safety and recovery</w:t>
      </w:r>
      <w:r w:rsidR="00BE05DA">
        <w:t xml:space="preserve"> for people leaving DFV</w:t>
      </w:r>
      <w:r w:rsidRPr="00425028">
        <w:t>.</w:t>
      </w:r>
      <w:r w:rsidRPr="00425028">
        <w:rPr>
          <w:rStyle w:val="FootnoteReference"/>
        </w:rPr>
        <w:footnoteReference w:id="14"/>
      </w:r>
      <w:r w:rsidRPr="00425028">
        <w:t xml:space="preserve"> </w:t>
      </w:r>
      <w:r w:rsidR="00A342A5" w:rsidRPr="00425028">
        <w:t xml:space="preserve">Some stories featured in this report continue to highlight the issue in the region. </w:t>
      </w:r>
      <w:r w:rsidR="000600B7" w:rsidRPr="00425028">
        <w:t>Crisis accommodation options</w:t>
      </w:r>
      <w:r w:rsidR="00A342A5" w:rsidRPr="00425028">
        <w:t xml:space="preserve"> for people leaving DFV</w:t>
      </w:r>
      <w:r w:rsidR="000600B7" w:rsidRPr="00425028">
        <w:t xml:space="preserve"> are often full and wait times for Rapid Rehousing </w:t>
      </w:r>
      <w:r w:rsidR="00BE05DA">
        <w:t xml:space="preserve">for </w:t>
      </w:r>
      <w:r w:rsidR="0089452F">
        <w:t>F</w:t>
      </w:r>
      <w:r w:rsidR="00BE05DA">
        <w:t xml:space="preserve">amily </w:t>
      </w:r>
      <w:r w:rsidR="0089452F">
        <w:t>V</w:t>
      </w:r>
      <w:r w:rsidR="00BE05DA">
        <w:t xml:space="preserve">iolence </w:t>
      </w:r>
      <w:r w:rsidR="000600B7" w:rsidRPr="00425028">
        <w:t>and social housing can be long.</w:t>
      </w:r>
      <w:r w:rsidR="00BE05DA">
        <w:t xml:space="preserve"> </w:t>
      </w:r>
    </w:p>
    <w:p w14:paraId="35EB4E3F" w14:textId="2410A850" w:rsidR="00B62325" w:rsidRPr="00425028" w:rsidRDefault="00B62325" w:rsidP="00B71E6B">
      <w:r w:rsidRPr="00425028">
        <w:t xml:space="preserve">People leaving DFV have a </w:t>
      </w:r>
      <w:r w:rsidR="00313C56" w:rsidRPr="00425028">
        <w:t xml:space="preserve">lot </w:t>
      </w:r>
      <w:r w:rsidRPr="00425028">
        <w:t>to consider</w:t>
      </w:r>
      <w:r w:rsidR="00BE05DA">
        <w:t xml:space="preserve"> when seeking housing, </w:t>
      </w:r>
      <w:r w:rsidRPr="00425028">
        <w:t>includ</w:t>
      </w:r>
      <w:r w:rsidR="00BE05DA">
        <w:t>ing</w:t>
      </w:r>
      <w:r w:rsidRPr="00425028">
        <w:t xml:space="preserve"> the needs of children,</w:t>
      </w:r>
      <w:r w:rsidR="00313C56" w:rsidRPr="00425028">
        <w:t xml:space="preserve"> access</w:t>
      </w:r>
      <w:r w:rsidRPr="00425028">
        <w:t xml:space="preserve"> </w:t>
      </w:r>
      <w:r w:rsidR="00286F92" w:rsidRPr="00425028">
        <w:t>to</w:t>
      </w:r>
      <w:r w:rsidRPr="00425028">
        <w:t xml:space="preserve"> employment, access to services and support networks. They</w:t>
      </w:r>
      <w:r w:rsidR="00313C56" w:rsidRPr="00425028">
        <w:t xml:space="preserve"> may </w:t>
      </w:r>
      <w:r w:rsidRPr="00425028">
        <w:t xml:space="preserve">be </w:t>
      </w:r>
      <w:r w:rsidR="00067BC8" w:rsidRPr="00425028">
        <w:t>facing a lot of</w:t>
      </w:r>
      <w:r w:rsidRPr="00425028">
        <w:t xml:space="preserve"> other costs such as moving, transport</w:t>
      </w:r>
      <w:r w:rsidR="00483A0B" w:rsidRPr="00425028">
        <w:t>,</w:t>
      </w:r>
      <w:r w:rsidRPr="00425028">
        <w:t xml:space="preserve"> and medical expenses</w:t>
      </w:r>
      <w:r w:rsidR="00313C56" w:rsidRPr="00425028">
        <w:t>, as well as progressing stressful legal matters and managing interaction with several services</w:t>
      </w:r>
      <w:r w:rsidRPr="00425028">
        <w:t>. Leaving a violent relationship is a time of emotional distress</w:t>
      </w:r>
      <w:r w:rsidR="00067BC8" w:rsidRPr="00425028">
        <w:t xml:space="preserve"> and th</w:t>
      </w:r>
      <w:r w:rsidRPr="00425028">
        <w:t xml:space="preserve">e </w:t>
      </w:r>
      <w:r w:rsidR="00646EC7" w:rsidRPr="00425028">
        <w:t xml:space="preserve">financial </w:t>
      </w:r>
      <w:r w:rsidRPr="00425028">
        <w:t xml:space="preserve">impacts of leaving can be significant. </w:t>
      </w:r>
    </w:p>
    <w:p w14:paraId="47889908" w14:textId="77777777" w:rsidR="00F93C1C" w:rsidRPr="00425028" w:rsidRDefault="00F93C1C" w:rsidP="00F93C1C">
      <w:pPr>
        <w:pStyle w:val="IntenseQuote"/>
      </w:pPr>
      <w:r w:rsidRPr="00425028">
        <w:t>‘Access to stable and adequate housing is a basic human need. It has a significant impact on the health and wellbeing of families and children as it provides a safe environment, autonomy, and security which is needed for full participation in social, educational, economic, and community life. Research has linked negative home environments during the first 1000 days with a host of developmental issues, including (but not limited to): inferior language development; behaviour problems; insufficient school readiness; aggression, anxiety and depression; and impaired cognitive development.’</w:t>
      </w:r>
      <w:r w:rsidRPr="00425028">
        <w:rPr>
          <w:rStyle w:val="FootnoteReference"/>
        </w:rPr>
        <w:footnoteReference w:id="15"/>
      </w:r>
    </w:p>
    <w:p w14:paraId="7B2CA092" w14:textId="77777777" w:rsidR="00F93C1C" w:rsidRPr="00425028" w:rsidRDefault="00F93C1C" w:rsidP="00B71E6B"/>
    <w:p w14:paraId="45AF1C00" w14:textId="7D5AB528" w:rsidR="000600B7" w:rsidRPr="00425028" w:rsidRDefault="00B62325" w:rsidP="00B71E6B">
      <w:r w:rsidRPr="00425028">
        <w:t>In a tight rental market, landlords have many applicants to choose from and may select tenants with the highest income.</w:t>
      </w:r>
      <w:r w:rsidR="00FE47D3" w:rsidRPr="00425028">
        <w:t xml:space="preserve"> Landlords may discriminate against </w:t>
      </w:r>
      <w:r w:rsidR="00E82B72" w:rsidRPr="00425028">
        <w:t xml:space="preserve">people with </w:t>
      </w:r>
      <w:r w:rsidR="00FE47D3" w:rsidRPr="00425028">
        <w:t>children</w:t>
      </w:r>
      <w:r w:rsidR="00B1034C" w:rsidRPr="00425028">
        <w:t xml:space="preserve"> </w:t>
      </w:r>
      <w:r w:rsidR="001061DA" w:rsidRPr="00425028">
        <w:t xml:space="preserve">who </w:t>
      </w:r>
      <w:r w:rsidR="00B1034C" w:rsidRPr="00425028">
        <w:t xml:space="preserve">have experienced domestic violence, </w:t>
      </w:r>
      <w:r w:rsidR="00FF1909" w:rsidRPr="00425028">
        <w:t xml:space="preserve">preferencing </w:t>
      </w:r>
      <w:r w:rsidR="00EB3C3C" w:rsidRPr="00425028">
        <w:t xml:space="preserve">couple </w:t>
      </w:r>
      <w:r w:rsidR="00B1034C" w:rsidRPr="00425028">
        <w:t xml:space="preserve">applicants </w:t>
      </w:r>
      <w:r w:rsidR="0099637B" w:rsidRPr="00425028">
        <w:t>with two</w:t>
      </w:r>
      <w:r w:rsidR="00EB3C3C" w:rsidRPr="00425028">
        <w:t xml:space="preserve"> stable incomes. </w:t>
      </w:r>
      <w:r w:rsidR="00B13714" w:rsidRPr="00425028">
        <w:t>People</w:t>
      </w:r>
      <w:r w:rsidR="00E03866" w:rsidRPr="00425028">
        <w:t xml:space="preserve"> leaving DFV</w:t>
      </w:r>
      <w:r w:rsidR="00FD310E" w:rsidRPr="00425028">
        <w:t xml:space="preserve"> </w:t>
      </w:r>
      <w:r w:rsidR="00E03866" w:rsidRPr="00425028">
        <w:t>may also have</w:t>
      </w:r>
      <w:r w:rsidR="00E215FC" w:rsidRPr="00425028">
        <w:t xml:space="preserve"> poor rental or credit history due to the behaviour of ex-partner</w:t>
      </w:r>
      <w:r w:rsidR="00FD310E" w:rsidRPr="00425028">
        <w:t>s</w:t>
      </w:r>
      <w:r w:rsidR="00B54FB2" w:rsidRPr="00425028">
        <w:t>.</w:t>
      </w:r>
      <w:r w:rsidRPr="00425028">
        <w:rPr>
          <w:rStyle w:val="FootnoteReference"/>
          <w:noProof/>
        </w:rPr>
        <w:footnoteReference w:id="16"/>
      </w:r>
      <w:r w:rsidRPr="00425028">
        <w:rPr>
          <w:noProof/>
        </w:rPr>
        <w:t xml:space="preserve"> </w:t>
      </w:r>
      <w:r w:rsidRPr="00425028">
        <w:t xml:space="preserve"> </w:t>
      </w:r>
    </w:p>
    <w:bookmarkStart w:id="43" w:name="_Toc195101866"/>
    <w:bookmarkStart w:id="44" w:name="_Toc196228998"/>
    <w:p w14:paraId="49D12B77" w14:textId="3465BF76" w:rsidR="00B62325" w:rsidRPr="00425028" w:rsidRDefault="0034673D" w:rsidP="00B71E6B">
      <w:pPr>
        <w:pStyle w:val="Heading2"/>
        <w:rPr>
          <w:rFonts w:ascii="Avenir Next LT Pro" w:hAnsi="Avenir Next LT Pro"/>
        </w:rPr>
      </w:pPr>
      <w:r w:rsidRPr="00425028">
        <w:rPr>
          <w:rFonts w:ascii="Avenir Next LT Pro" w:hAnsi="Avenir Next LT Pro"/>
          <w:noProof/>
          <w:lang w:val="en-US"/>
        </w:rPr>
        <mc:AlternateContent>
          <mc:Choice Requires="wps">
            <w:drawing>
              <wp:anchor distT="45720" distB="45720" distL="114300" distR="114300" simplePos="0" relativeHeight="251658240" behindDoc="0" locked="0" layoutInCell="1" allowOverlap="1" wp14:anchorId="73286349" wp14:editId="16280FCF">
                <wp:simplePos x="0" y="0"/>
                <wp:positionH relativeFrom="margin">
                  <wp:posOffset>-64135</wp:posOffset>
                </wp:positionH>
                <wp:positionV relativeFrom="paragraph">
                  <wp:posOffset>628015</wp:posOffset>
                </wp:positionV>
                <wp:extent cx="5762625" cy="5303520"/>
                <wp:effectExtent l="0" t="0" r="9525" b="0"/>
                <wp:wrapSquare wrapText="bothSides"/>
                <wp:docPr id="159618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5303520"/>
                        </a:xfrm>
                        <a:prstGeom prst="rect">
                          <a:avLst/>
                        </a:prstGeom>
                        <a:solidFill>
                          <a:schemeClr val="accent1">
                            <a:lumMod val="20000"/>
                            <a:lumOff val="80000"/>
                          </a:schemeClr>
                        </a:solidFill>
                        <a:ln w="9525">
                          <a:noFill/>
                          <a:miter lim="800000"/>
                          <a:headEnd/>
                          <a:tailEnd/>
                        </a:ln>
                      </wps:spPr>
                      <wps:txbx>
                        <w:txbxContent>
                          <w:p w14:paraId="36C348A1" w14:textId="77777777" w:rsidR="00B62325" w:rsidRPr="00211250" w:rsidRDefault="00B62325" w:rsidP="00B71E6B">
                            <w:pPr>
                              <w:pStyle w:val="Subtitle"/>
                            </w:pPr>
                            <w:r w:rsidRPr="00211250">
                              <w:t>Sam and her babies</w:t>
                            </w:r>
                          </w:p>
                          <w:p w14:paraId="7CC61F2D" w14:textId="77777777" w:rsidR="00B62325" w:rsidRPr="00211250" w:rsidRDefault="00B62325" w:rsidP="00B71E6B">
                            <w:r w:rsidRPr="00211250">
                              <w:t>Sam says that her ex-boyfriend used to be wonderful, but everything changed once she got pregnant. Sam had to leave for both her own safety and her unborn child's.</w:t>
                            </w:r>
                          </w:p>
                          <w:p w14:paraId="57A7079E" w14:textId="56C9D65A" w:rsidR="00B62325" w:rsidRPr="00211250" w:rsidRDefault="00B62325" w:rsidP="00B71E6B">
                            <w:r w:rsidRPr="00211250">
                              <w:t xml:space="preserve">Homeless at 36 weeks pregnant, Sam took her baby home from hospital to a women's shelter. It was a hard time, one that she never wants to repeat. But she went through transitional housing and </w:t>
                            </w:r>
                            <w:r w:rsidR="00DF2CAE">
                              <w:t>then</w:t>
                            </w:r>
                            <w:r w:rsidRPr="00211250">
                              <w:t xml:space="preserve"> obtain</w:t>
                            </w:r>
                            <w:r w:rsidR="00DF2CAE">
                              <w:t>ed</w:t>
                            </w:r>
                            <w:r w:rsidRPr="00211250">
                              <w:t xml:space="preserve"> a private rental property in another area. She felt safe and happy there and was able to start building a life with her child. </w:t>
                            </w:r>
                          </w:p>
                          <w:p w14:paraId="3DDC256B" w14:textId="173FA74B" w:rsidR="00B62325" w:rsidRPr="00211250" w:rsidRDefault="00B62325" w:rsidP="00B71E6B">
                            <w:r w:rsidRPr="00211250">
                              <w:t xml:space="preserve">A year later, what Sam thought was a home turned out to be only a temporary sanctuary. Her landlord has told her that </w:t>
                            </w:r>
                            <w:r w:rsidR="00C62822">
                              <w:t>they are</w:t>
                            </w:r>
                            <w:r w:rsidRPr="00211250">
                              <w:t xml:space="preserve"> very sorry, but </w:t>
                            </w:r>
                            <w:r w:rsidR="00C62822">
                              <w:t>they’re</w:t>
                            </w:r>
                            <w:r w:rsidRPr="00211250">
                              <w:t xml:space="preserve"> selling the property, and Sam will not be able to renew her lease. Sam has just found out she's pregnant again, and her ex-boyfriend is offering to let her move back in with him.</w:t>
                            </w:r>
                          </w:p>
                          <w:p w14:paraId="41945EBA" w14:textId="3B51EDB5" w:rsidR="00B62325" w:rsidRPr="00211250" w:rsidRDefault="00B62325" w:rsidP="00B71E6B">
                            <w:r w:rsidRPr="00211250">
                              <w:t>He says that this time it will be different, but Sam remembers her family violence worker telling her it was common for abusive behaviour to start or worsen during pregnancy</w:t>
                            </w:r>
                            <w:r w:rsidR="0034673D">
                              <w:t xml:space="preserve">, and Sam hasn’t forgotten her experience during her </w:t>
                            </w:r>
                            <w:r w:rsidR="00AC321C">
                              <w:t>first</w:t>
                            </w:r>
                            <w:r w:rsidR="0034673D">
                              <w:t xml:space="preserve"> pregnancy</w:t>
                            </w:r>
                            <w:r w:rsidRPr="00211250">
                              <w:t xml:space="preserve">. If she moves back in with him, she, her baby, and her new unborn child are at risk. If she doesn't, Sam and her babies are once again homeless. </w:t>
                            </w:r>
                          </w:p>
                          <w:p w14:paraId="7402CBC6" w14:textId="77777777" w:rsidR="00B62325" w:rsidRPr="00211250" w:rsidRDefault="00B62325" w:rsidP="00B71E6B">
                            <w:r w:rsidRPr="00211250">
                              <w:t>Budget: $251</w:t>
                            </w:r>
                          </w:p>
                          <w:p w14:paraId="2A5072B4" w14:textId="77777777" w:rsidR="00B62325" w:rsidRPr="00211250" w:rsidRDefault="00B62325" w:rsidP="00B71E6B">
                            <w:r w:rsidRPr="00211250">
                              <w:t>Affordable: 3</w:t>
                            </w:r>
                          </w:p>
                          <w:p w14:paraId="08368B88" w14:textId="24209FF7" w:rsidR="00B62325" w:rsidRDefault="00B62325" w:rsidP="00B71E6B">
                            <w:r w:rsidRPr="00211250">
                              <w:t>Cheapest appropriate: $285 (2-bedroom unit, Burnie)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286349" id="_x0000_s1028" type="#_x0000_t202" style="position:absolute;margin-left:-5.05pt;margin-top:49.45pt;width:453.75pt;height:417.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" fillcolor="#c1e4f5 [660]" stroked="f">
                <v:textbox>
                  <w:txbxContent>
                    <w:p w14:paraId="36C348A1" w14:textId="77777777" w:rsidR="00B62325" w:rsidRPr="00211250" w:rsidRDefault="00B62325" w:rsidP="00B71E6B">
                      <w:pPr>
                        <w:pStyle w:val="Subtitle"/>
                      </w:pPr>
                      <w:r w:rsidRPr="00211250">
                        <w:t>Sam and her babies</w:t>
                      </w:r>
                    </w:p>
                    <w:p w14:paraId="7CC61F2D" w14:textId="77777777" w:rsidR="00B62325" w:rsidRPr="00211250" w:rsidRDefault="00B62325" w:rsidP="00B71E6B">
                      <w:r w:rsidRPr="00211250">
                        <w:t>Sam says that her ex-boyfriend used to be wonderful, but everything changed once she got pregnant. Sam had to leave for both her own safety and her unborn child's.</w:t>
                      </w:r>
                    </w:p>
                    <w:p w14:paraId="57A7079E" w14:textId="56C9D65A" w:rsidR="00B62325" w:rsidRPr="00211250" w:rsidRDefault="00B62325" w:rsidP="00B71E6B">
                      <w:r w:rsidRPr="00211250">
                        <w:t xml:space="preserve">Homeless at 36 weeks pregnant, Sam took her baby home from hospital to a women's shelter. It was a hard time, one that she never wants to repeat. But she went through transitional housing and </w:t>
                      </w:r>
                      <w:r w:rsidR="00DF2CAE">
                        <w:t>then</w:t>
                      </w:r>
                      <w:r w:rsidRPr="00211250">
                        <w:t xml:space="preserve"> obtain</w:t>
                      </w:r>
                      <w:r w:rsidR="00DF2CAE">
                        <w:t>ed</w:t>
                      </w:r>
                      <w:r w:rsidRPr="00211250">
                        <w:t xml:space="preserve"> a private rental property in another area. She felt safe and happy there and was able to start building a life with her child. </w:t>
                      </w:r>
                    </w:p>
                    <w:p w14:paraId="3DDC256B" w14:textId="173FA74B" w:rsidR="00B62325" w:rsidRPr="00211250" w:rsidRDefault="00B62325" w:rsidP="00B71E6B">
                      <w:r w:rsidRPr="00211250">
                        <w:t xml:space="preserve">A year later, what Sam thought was a home turned out to be only a temporary sanctuary. Her landlord has told her that </w:t>
                      </w:r>
                      <w:r w:rsidR="00C62822">
                        <w:t>they are</w:t>
                      </w:r>
                      <w:r w:rsidRPr="00211250">
                        <w:t xml:space="preserve"> very sorry, but </w:t>
                      </w:r>
                      <w:r w:rsidR="00C62822">
                        <w:t>they’re</w:t>
                      </w:r>
                      <w:r w:rsidRPr="00211250">
                        <w:t xml:space="preserve"> selling the property, and Sam will not be able to renew her lease. Sam has just found out she's pregnant again, and her ex-boyfriend is offering to let her move back in with him.</w:t>
                      </w:r>
                    </w:p>
                    <w:p w14:paraId="41945EBA" w14:textId="3B51EDB5" w:rsidR="00B62325" w:rsidRPr="00211250" w:rsidRDefault="00B62325" w:rsidP="00B71E6B">
                      <w:r w:rsidRPr="00211250">
                        <w:t>He says that this time it will be different, but Sam remembers her family violence worker telling her it was common for abusive behaviour to start or worsen during pregnancy</w:t>
                      </w:r>
                      <w:r w:rsidR="0034673D">
                        <w:t xml:space="preserve">, and Sam hasn’t forgotten her experience during her </w:t>
                      </w:r>
                      <w:r w:rsidR="00AC321C">
                        <w:t>first</w:t>
                      </w:r>
                      <w:r w:rsidR="0034673D">
                        <w:t xml:space="preserve"> pregnancy</w:t>
                      </w:r>
                      <w:r w:rsidRPr="00211250">
                        <w:t xml:space="preserve">. If she moves back in with him, she, her baby, and her new unborn child are at risk. If she doesn't, Sam and her babies are once again homeless. </w:t>
                      </w:r>
                    </w:p>
                    <w:p w14:paraId="7402CBC6" w14:textId="77777777" w:rsidR="00B62325" w:rsidRPr="00211250" w:rsidRDefault="00B62325" w:rsidP="00B71E6B">
                      <w:r w:rsidRPr="00211250">
                        <w:t>Budget: $251</w:t>
                      </w:r>
                    </w:p>
                    <w:p w14:paraId="2A5072B4" w14:textId="77777777" w:rsidR="00B62325" w:rsidRPr="00211250" w:rsidRDefault="00B62325" w:rsidP="00B71E6B">
                      <w:r w:rsidRPr="00211250">
                        <w:t>Affordable: 3</w:t>
                      </w:r>
                    </w:p>
                    <w:p w14:paraId="08368B88" w14:textId="24209FF7" w:rsidR="00B62325" w:rsidRDefault="00B62325" w:rsidP="00B71E6B">
                      <w:r w:rsidRPr="00211250">
                        <w:t>Cheapest appropriate: $285 (2-bedroom unit, Burnie)</w:t>
                      </w:r>
                    </w:p>
                  </w:txbxContent>
                </v:textbox>
                <w10:wrap type="square" anchorx="margin"/>
              </v:shape>
            </w:pict>
          </mc:Fallback>
        </mc:AlternateContent>
      </w:r>
      <w:r w:rsidR="008D0931" w:rsidRPr="00425028">
        <w:rPr>
          <w:rFonts w:ascii="Avenir Next LT Pro" w:hAnsi="Avenir Next LT Pro"/>
        </w:rPr>
        <w:t>Choosing</w:t>
      </w:r>
      <w:r w:rsidR="00B62325" w:rsidRPr="00425028">
        <w:rPr>
          <w:rFonts w:ascii="Avenir Next LT Pro" w:hAnsi="Avenir Next LT Pro"/>
        </w:rPr>
        <w:t xml:space="preserve"> between homelessness or returning to a violent partner</w:t>
      </w:r>
      <w:bookmarkEnd w:id="43"/>
      <w:bookmarkEnd w:id="44"/>
    </w:p>
    <w:p w14:paraId="002901ED" w14:textId="77777777" w:rsidR="007920FF" w:rsidRDefault="007920FF">
      <w:r>
        <w:br w:type="page"/>
      </w:r>
    </w:p>
    <w:p w14:paraId="468510FF" w14:textId="474D6BAF" w:rsidR="002E0CFE" w:rsidRPr="00425028" w:rsidRDefault="002E0CFE" w:rsidP="00B71E6B">
      <w:r w:rsidRPr="00425028">
        <w:t xml:space="preserve">If Sam moves back in with her ex-partner, she and her children will be at risk of experiencing abuse, which will further impact their ongoing health and wellbeing. </w:t>
      </w:r>
      <w:r w:rsidR="00142ABF" w:rsidRPr="00425028">
        <w:t xml:space="preserve">Significant evidence </w:t>
      </w:r>
      <w:r w:rsidR="00065AE0" w:rsidRPr="00425028">
        <w:t xml:space="preserve">indicates </w:t>
      </w:r>
      <w:r w:rsidR="00142ABF" w:rsidRPr="00425028">
        <w:t xml:space="preserve">that children who are exposed to </w:t>
      </w:r>
      <w:r w:rsidR="00664166">
        <w:t xml:space="preserve">DFV </w:t>
      </w:r>
      <w:r w:rsidR="00142ABF" w:rsidRPr="00425028">
        <w:t>are at increased risk of adverse lifelong outcomes.</w:t>
      </w:r>
      <w:r w:rsidRPr="00425028">
        <w:rPr>
          <w:rStyle w:val="FootnoteReference"/>
        </w:rPr>
        <w:footnoteReference w:id="17"/>
      </w:r>
      <w:r w:rsidR="00142ABF" w:rsidRPr="00425028">
        <w:t xml:space="preserve"> They may develop physiological responses and coping behaviours because of their unsafe environment that impact their long-term learning, mental and physical health and wellbeing.</w:t>
      </w:r>
      <w:r w:rsidRPr="00425028">
        <w:rPr>
          <w:rStyle w:val="FootnoteReference"/>
        </w:rPr>
        <w:footnoteReference w:id="18"/>
      </w:r>
    </w:p>
    <w:p w14:paraId="3AA7B4BB" w14:textId="3CD5C5D7" w:rsidR="00E50390" w:rsidRPr="00425028" w:rsidRDefault="002E0CFE">
      <w:pPr>
        <w:rPr>
          <w:rStyle w:val="Heading2Char"/>
          <w:rFonts w:ascii="Avenir Next LT Pro" w:hAnsi="Avenir Next LT Pro"/>
        </w:rPr>
      </w:pPr>
      <w:r w:rsidRPr="00425028">
        <w:t>If Sam applies for the unit in Burnie, she may be knocked back as the landlord may prefer a tenant with greater income.</w:t>
      </w:r>
      <w:r w:rsidR="008C4966" w:rsidRPr="00425028">
        <w:t xml:space="preserve"> AHURI found that ‘even with subsidies and other support, affordability, competition and scarcity continue to present barriers for those perceived as</w:t>
      </w:r>
      <w:r w:rsidR="0079192F">
        <w:t xml:space="preserve"> </w:t>
      </w:r>
      <w:bookmarkStart w:id="45" w:name="_Toc195101867"/>
      <w:r w:rsidR="0079192F" w:rsidRPr="0079192F">
        <w:t xml:space="preserve">less desirable tenants due to assumptions about risk. This includes women and children seeking to leave a violent relationship.’ </w:t>
      </w:r>
      <w:r w:rsidR="00E50390" w:rsidRPr="00425028">
        <w:rPr>
          <w:rStyle w:val="Heading2Char"/>
          <w:rFonts w:ascii="Avenir Next LT Pro" w:hAnsi="Avenir Next LT Pro"/>
        </w:rPr>
        <w:br w:type="page"/>
      </w:r>
    </w:p>
    <w:bookmarkStart w:id="46" w:name="_Toc196228999"/>
    <w:p w14:paraId="6E991B7F" w14:textId="4795032D" w:rsidR="00B62325" w:rsidRPr="00425028" w:rsidRDefault="00B93893" w:rsidP="00B71E6B">
      <w:pPr>
        <w:pStyle w:val="Heading2"/>
        <w:rPr>
          <w:rFonts w:ascii="Avenir Next LT Pro" w:hAnsi="Avenir Next LT Pro"/>
        </w:rPr>
      </w:pPr>
      <w:r w:rsidRPr="00425028">
        <w:rPr>
          <w:rStyle w:val="Heading2Char"/>
          <w:rFonts w:ascii="Avenir Next LT Pro" w:hAnsi="Avenir Next LT Pro"/>
          <w:noProof/>
          <w:lang w:val="en-US"/>
        </w:rPr>
        <mc:AlternateContent>
          <mc:Choice Requires="wps">
            <w:drawing>
              <wp:anchor distT="45720" distB="45720" distL="114300" distR="114300" simplePos="0" relativeHeight="251661312" behindDoc="1" locked="0" layoutInCell="1" allowOverlap="1" wp14:anchorId="5583624E" wp14:editId="5DEBDEA3">
                <wp:simplePos x="0" y="0"/>
                <wp:positionH relativeFrom="margin">
                  <wp:align>right</wp:align>
                </wp:positionH>
                <wp:positionV relativeFrom="paragraph">
                  <wp:posOffset>676275</wp:posOffset>
                </wp:positionV>
                <wp:extent cx="5724525" cy="1404620"/>
                <wp:effectExtent l="0" t="0" r="9525" b="0"/>
                <wp:wrapSquare wrapText="bothSides"/>
                <wp:docPr id="868520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chemeClr val="accent2">
                            <a:lumMod val="40000"/>
                            <a:lumOff val="60000"/>
                          </a:schemeClr>
                        </a:solidFill>
                        <a:ln w="9525">
                          <a:noFill/>
                          <a:miter lim="800000"/>
                          <a:headEnd/>
                          <a:tailEnd/>
                        </a:ln>
                      </wps:spPr>
                      <wps:txbx>
                        <w:txbxContent>
                          <w:p w14:paraId="724C85C4" w14:textId="77777777" w:rsidR="00B62325" w:rsidRPr="00A175C9" w:rsidRDefault="00B62325" w:rsidP="00B71E6B">
                            <w:pPr>
                              <w:pStyle w:val="Subtitle"/>
                            </w:pPr>
                            <w:r w:rsidRPr="00A175C9">
                              <w:t>Michelle and her family</w:t>
                            </w:r>
                          </w:p>
                          <w:p w14:paraId="7CB4AB4F" w14:textId="57B12221" w:rsidR="00B62325" w:rsidRPr="00A175C9" w:rsidRDefault="00B62325" w:rsidP="00B71E6B">
                            <w:r w:rsidRPr="00A175C9">
                              <w:t>Michelle's been fighting for her family ever since she got pregnant at 18. That baby is 20 now, and her youngest just started school. For the last year, Michelle's been</w:t>
                            </w:r>
                            <w:r w:rsidR="00C53E57">
                              <w:t xml:space="preserve"> battling </w:t>
                            </w:r>
                            <w:r w:rsidR="008674BC">
                              <w:t xml:space="preserve">her ex-husband </w:t>
                            </w:r>
                            <w:r w:rsidR="00C53E57">
                              <w:t>through the court system</w:t>
                            </w:r>
                            <w:r w:rsidR="001C3E32">
                              <w:t>s</w:t>
                            </w:r>
                            <w:r w:rsidR="00770475">
                              <w:t>:</w:t>
                            </w:r>
                            <w:r w:rsidR="009D634A">
                              <w:t xml:space="preserve"> </w:t>
                            </w:r>
                            <w:r w:rsidR="00670332">
                              <w:t>first in relation to domestic violence</w:t>
                            </w:r>
                            <w:r w:rsidR="001353C6">
                              <w:t>, then</w:t>
                            </w:r>
                            <w:r w:rsidR="00FC036F">
                              <w:t xml:space="preserve"> </w:t>
                            </w:r>
                            <w:r w:rsidRPr="00A175C9">
                              <w:t>for custody of the kids, and</w:t>
                            </w:r>
                            <w:r w:rsidR="00FC036F">
                              <w:t xml:space="preserve"> </w:t>
                            </w:r>
                            <w:r w:rsidR="00A80D02">
                              <w:t xml:space="preserve">now </w:t>
                            </w:r>
                            <w:r w:rsidRPr="00A175C9">
                              <w:t>for child support. He's stalked her, damaged her car, and turned up at her workplace to make a scene. Her boss says that's not why she's been fired, but Michelle knows it can't have helped.</w:t>
                            </w:r>
                          </w:p>
                          <w:p w14:paraId="3A1CE053" w14:textId="77777777" w:rsidR="00B62325" w:rsidRPr="00A175C9" w:rsidRDefault="00B62325" w:rsidP="00B71E6B">
                            <w:r w:rsidRPr="00A175C9">
                              <w:t>Through all of this, Michelle's managed to keep her family together, although it's been difficult with the older ones. Boys over 16 aren't allowed to stay at women's shelters with their mothers, and Michelle struggled to keep in touch with her older teenagers while they couch-surfed. Meanwhile the younger children want to have their friends over, which also isn't allowed in shelters.</w:t>
                            </w:r>
                          </w:p>
                          <w:p w14:paraId="00D695EA" w14:textId="58327621" w:rsidR="00B62325" w:rsidRPr="00A175C9" w:rsidRDefault="00B62325" w:rsidP="00B71E6B">
                            <w:r w:rsidRPr="00A175C9">
                              <w:t xml:space="preserve">Michelle says the staff at the women's shelter </w:t>
                            </w:r>
                            <w:r w:rsidR="00174795">
                              <w:t>were</w:t>
                            </w:r>
                            <w:r w:rsidRPr="00A175C9">
                              <w:t xml:space="preserve"> amazing, </w:t>
                            </w:r>
                            <w:r w:rsidR="00761B62">
                              <w:t>but</w:t>
                            </w:r>
                            <w:r w:rsidRPr="00A175C9">
                              <w:t xml:space="preserve"> although there </w:t>
                            </w:r>
                            <w:r w:rsidR="00174795">
                              <w:t>were</w:t>
                            </w:r>
                            <w:r w:rsidRPr="00A175C9">
                              <w:t xml:space="preserve"> lots of toys and lollies for the younger kids, it </w:t>
                            </w:r>
                            <w:r w:rsidR="00174795">
                              <w:t>wa</w:t>
                            </w:r>
                            <w:r w:rsidRPr="00A175C9">
                              <w:t>sn't well-equipped in other respects. She spent most of her crisis payment on kitchen things so she can cook instead of heating up expensive prepared meals. The security is good though; Michelle's worried about security wherever she goes next. She wants a big house so she can have all her kids back under one roof, but she's already had to turn down one because it was too close to her ex-husband's family.</w:t>
                            </w:r>
                          </w:p>
                          <w:p w14:paraId="4341E99B" w14:textId="77777777" w:rsidR="00B62325" w:rsidRPr="00A175C9" w:rsidRDefault="00B62325" w:rsidP="00B71E6B">
                            <w:r w:rsidRPr="00A175C9">
                              <w:t>Budget: $400</w:t>
                            </w:r>
                          </w:p>
                          <w:p w14:paraId="52ABB09B" w14:textId="77777777" w:rsidR="00B62325" w:rsidRPr="00A175C9" w:rsidRDefault="00B62325" w:rsidP="00B71E6B">
                            <w:r w:rsidRPr="00A175C9">
                              <w:t>Affordable: 0</w:t>
                            </w:r>
                          </w:p>
                          <w:p w14:paraId="1FA312B0" w14:textId="77777777" w:rsidR="00B62325" w:rsidRPr="00A175C9" w:rsidRDefault="00B62325" w:rsidP="00B71E6B">
                            <w:r w:rsidRPr="00A175C9">
                              <w:t>Cheapest appropriate: $550 (5 bedrooms, Penguin)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83624E" id="_x0000_s1029" type="#_x0000_t202" style="position:absolute;margin-left:399.55pt;margin-top:53.25pt;width:450.75pt;height:110.6pt;z-index:-2516551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" fillcolor="#f6c5ac [1301]" stroked="f">
                <v:textbox style="mso-fit-shape-to-text:t">
                  <w:txbxContent>
                    <w:p w14:paraId="724C85C4" w14:textId="77777777" w:rsidR="00B62325" w:rsidRPr="00A175C9" w:rsidRDefault="00B62325" w:rsidP="00B71E6B">
                      <w:pPr>
                        <w:pStyle w:val="Subtitle"/>
                      </w:pPr>
                      <w:r w:rsidRPr="00A175C9">
                        <w:t>Michelle and her family</w:t>
                      </w:r>
                    </w:p>
                    <w:p w14:paraId="7CB4AB4F" w14:textId="57B12221" w:rsidR="00B62325" w:rsidRPr="00A175C9" w:rsidRDefault="00B62325" w:rsidP="00B71E6B">
                      <w:r w:rsidRPr="00A175C9">
                        <w:t>Michelle's been fighting for her family ever since she got pregnant at 18. That baby is 20 now, and her youngest just started school. For the last year, Michelle's been</w:t>
                      </w:r>
                      <w:r w:rsidR="00C53E57">
                        <w:t xml:space="preserve"> battling </w:t>
                      </w:r>
                      <w:r w:rsidR="008674BC">
                        <w:t xml:space="preserve">her ex-husband </w:t>
                      </w:r>
                      <w:r w:rsidR="00C53E57">
                        <w:t>through the court system</w:t>
                      </w:r>
                      <w:r w:rsidR="001C3E32">
                        <w:t>s</w:t>
                      </w:r>
                      <w:r w:rsidR="00770475">
                        <w:t>:</w:t>
                      </w:r>
                      <w:r w:rsidR="009D634A">
                        <w:t xml:space="preserve"> </w:t>
                      </w:r>
                      <w:r w:rsidR="00670332">
                        <w:t>first in relation to domestic violence</w:t>
                      </w:r>
                      <w:r w:rsidR="001353C6">
                        <w:t>, then</w:t>
                      </w:r>
                      <w:r w:rsidR="00FC036F">
                        <w:t xml:space="preserve"> </w:t>
                      </w:r>
                      <w:r w:rsidRPr="00A175C9">
                        <w:t>for custody of the kids, and</w:t>
                      </w:r>
                      <w:r w:rsidR="00FC036F">
                        <w:t xml:space="preserve"> </w:t>
                      </w:r>
                      <w:r w:rsidR="00A80D02">
                        <w:t xml:space="preserve">now </w:t>
                      </w:r>
                      <w:r w:rsidRPr="00A175C9">
                        <w:t>for child support. He's stalked her, damaged her car, and turned up at her workplace to make a scene. Her boss says that's not why she's been fired, but Michelle knows it can't have helped.</w:t>
                      </w:r>
                    </w:p>
                    <w:p w14:paraId="3A1CE053" w14:textId="77777777" w:rsidR="00B62325" w:rsidRPr="00A175C9" w:rsidRDefault="00B62325" w:rsidP="00B71E6B">
                      <w:r w:rsidRPr="00A175C9">
                        <w:t>Through all of this, Michelle's managed to keep her family together, although it's been difficult with the older ones. Boys over 16 aren't allowed to stay at women's shelters with their mothers, and Michelle struggled to keep in touch with her older teenagers while they couch-surfed. Meanwhile the younger children want to have their friends over, which also isn't allowed in shelters.</w:t>
                      </w:r>
                    </w:p>
                    <w:p w14:paraId="00D695EA" w14:textId="58327621" w:rsidR="00B62325" w:rsidRPr="00A175C9" w:rsidRDefault="00B62325" w:rsidP="00B71E6B">
                      <w:r w:rsidRPr="00A175C9">
                        <w:t xml:space="preserve">Michelle says the staff at the women's shelter </w:t>
                      </w:r>
                      <w:r w:rsidR="00174795">
                        <w:t>were</w:t>
                      </w:r>
                      <w:r w:rsidRPr="00A175C9">
                        <w:t xml:space="preserve"> amazing, </w:t>
                      </w:r>
                      <w:r w:rsidR="00761B62">
                        <w:t>but</w:t>
                      </w:r>
                      <w:r w:rsidRPr="00A175C9">
                        <w:t xml:space="preserve"> although there </w:t>
                      </w:r>
                      <w:r w:rsidR="00174795">
                        <w:t>were</w:t>
                      </w:r>
                      <w:r w:rsidRPr="00A175C9">
                        <w:t xml:space="preserve"> lots of toys and lollies for the younger kids, it </w:t>
                      </w:r>
                      <w:r w:rsidR="00174795">
                        <w:t>wa</w:t>
                      </w:r>
                      <w:r w:rsidRPr="00A175C9">
                        <w:t>sn't well-equipped in other respects. She spent most of her crisis payment on kitchen things so she can cook instead of heating up expensive prepared meals. The security is good though; Michelle's worried about security wherever she goes next. She wants a big house so she can have all her kids back under one roof, but she's already had to turn down one because it was too close to her ex-husband's family.</w:t>
                      </w:r>
                    </w:p>
                    <w:p w14:paraId="4341E99B" w14:textId="77777777" w:rsidR="00B62325" w:rsidRPr="00A175C9" w:rsidRDefault="00B62325" w:rsidP="00B71E6B">
                      <w:r w:rsidRPr="00A175C9">
                        <w:t>Budget: $400</w:t>
                      </w:r>
                    </w:p>
                    <w:p w14:paraId="52ABB09B" w14:textId="77777777" w:rsidR="00B62325" w:rsidRPr="00A175C9" w:rsidRDefault="00B62325" w:rsidP="00B71E6B">
                      <w:r w:rsidRPr="00A175C9">
                        <w:t>Affordable: 0</w:t>
                      </w:r>
                    </w:p>
                    <w:p w14:paraId="1FA312B0" w14:textId="77777777" w:rsidR="00B62325" w:rsidRPr="00A175C9" w:rsidRDefault="00B62325" w:rsidP="00B71E6B">
                      <w:r w:rsidRPr="00A175C9">
                        <w:t>Cheapest appropriate: $550 (5 bedrooms, Penguin)</w:t>
                      </w:r>
                    </w:p>
                  </w:txbxContent>
                </v:textbox>
                <w10:wrap type="square" anchorx="margin"/>
              </v:shape>
            </w:pict>
          </mc:Fallback>
        </mc:AlternateContent>
      </w:r>
      <w:r w:rsidR="00B62325" w:rsidRPr="00425028">
        <w:rPr>
          <w:rStyle w:val="Heading2Char"/>
          <w:rFonts w:ascii="Avenir Next LT Pro" w:hAnsi="Avenir Next LT Pro"/>
        </w:rPr>
        <w:t>Families</w:t>
      </w:r>
      <w:r w:rsidR="00B62325" w:rsidRPr="00425028">
        <w:rPr>
          <w:rFonts w:ascii="Avenir Next LT Pro" w:hAnsi="Avenir Next LT Pro"/>
        </w:rPr>
        <w:t xml:space="preserve"> </w:t>
      </w:r>
      <w:r w:rsidR="00B62325" w:rsidRPr="00425028">
        <w:rPr>
          <w:rStyle w:val="Heading2Char"/>
          <w:rFonts w:ascii="Avenir Next LT Pro" w:hAnsi="Avenir Next LT Pro"/>
        </w:rPr>
        <w:t>with children need affordable stable housing to stay together</w:t>
      </w:r>
      <w:bookmarkEnd w:id="45"/>
      <w:bookmarkEnd w:id="46"/>
      <w:r w:rsidR="00B62325" w:rsidRPr="00425028">
        <w:rPr>
          <w:rFonts w:ascii="Avenir Next LT Pro" w:hAnsi="Avenir Next LT Pro"/>
        </w:rPr>
        <w:t xml:space="preserve"> </w:t>
      </w:r>
    </w:p>
    <w:p w14:paraId="02C0C7AF" w14:textId="0DB2B019" w:rsidR="00B62325" w:rsidRPr="00425028" w:rsidRDefault="00B62325" w:rsidP="00B71E6B"/>
    <w:p w14:paraId="32DA6898" w14:textId="27704FB3" w:rsidR="008C4966" w:rsidRPr="00425028" w:rsidRDefault="008C4966" w:rsidP="00B71E6B">
      <w:pPr>
        <w:rPr>
          <w:noProof/>
        </w:rPr>
      </w:pPr>
      <w:r w:rsidRPr="00425028">
        <w:rPr>
          <w:noProof/>
        </w:rPr>
        <w:t xml:space="preserve">A stable and affordable long-term home would give Michelle a foundation to support her mental health recovery and the kids’ wellbeing, but the lack of long-term options means she might have to stay in the women’s shelter a long time. </w:t>
      </w:r>
    </w:p>
    <w:p w14:paraId="1B528A48" w14:textId="3FBEED04" w:rsidR="002E0CFE" w:rsidRPr="00425028" w:rsidRDefault="002E0CFE" w:rsidP="00B71E6B">
      <w:pPr>
        <w:rPr>
          <w:noProof/>
        </w:rPr>
      </w:pPr>
      <w:r w:rsidRPr="00425028">
        <w:rPr>
          <w:noProof/>
        </w:rPr>
        <w:t>Michelle has ongoing legal cases and personal appointments which limit her ability to gain full-time</w:t>
      </w:r>
      <w:r w:rsidR="00050A6C" w:rsidRPr="00425028">
        <w:rPr>
          <w:noProof/>
        </w:rPr>
        <w:t xml:space="preserve"> paid</w:t>
      </w:r>
      <w:r w:rsidRPr="00425028">
        <w:rPr>
          <w:noProof/>
        </w:rPr>
        <w:t xml:space="preserve"> employment. Without employment, landlord</w:t>
      </w:r>
      <w:r w:rsidR="00CE5EC6" w:rsidRPr="00425028">
        <w:rPr>
          <w:noProof/>
        </w:rPr>
        <w:t>s</w:t>
      </w:r>
      <w:r w:rsidRPr="00425028">
        <w:rPr>
          <w:noProof/>
        </w:rPr>
        <w:t xml:space="preserve"> might not consider renting</w:t>
      </w:r>
      <w:r w:rsidR="00CE5EC6" w:rsidRPr="00425028">
        <w:rPr>
          <w:noProof/>
        </w:rPr>
        <w:t xml:space="preserve"> a</w:t>
      </w:r>
      <w:r w:rsidRPr="00425028">
        <w:rPr>
          <w:noProof/>
        </w:rPr>
        <w:t xml:space="preserve"> property to Michelle. </w:t>
      </w:r>
    </w:p>
    <w:p w14:paraId="488FB73C" w14:textId="4F16BBDE" w:rsidR="002E0CFE" w:rsidRPr="00425028" w:rsidRDefault="002E0CFE" w:rsidP="00B71E6B">
      <w:pPr>
        <w:rPr>
          <w:noProof/>
        </w:rPr>
      </w:pPr>
      <w:r w:rsidRPr="00425028">
        <w:rPr>
          <w:noProof/>
        </w:rPr>
        <w:t xml:space="preserve">If Michelle is successful at renting the property in Penguin, her budget will be stretched, leaving little for other essentials for the kids. </w:t>
      </w:r>
    </w:p>
    <w:bookmarkStart w:id="47" w:name="_Toc195101868"/>
    <w:bookmarkStart w:id="48" w:name="_Toc196229000"/>
    <w:p w14:paraId="755A8EB4" w14:textId="183308B0" w:rsidR="00B62325" w:rsidRPr="00425028" w:rsidRDefault="00C55545" w:rsidP="00B71E6B">
      <w:pPr>
        <w:pStyle w:val="Heading2"/>
        <w:rPr>
          <w:rFonts w:ascii="Avenir Next LT Pro" w:hAnsi="Avenir Next LT Pro"/>
        </w:rPr>
      </w:pPr>
      <w:r w:rsidRPr="00425028">
        <w:rPr>
          <w:rFonts w:ascii="Avenir Next LT Pro" w:hAnsi="Avenir Next LT Pro"/>
          <w:noProof/>
          <w:lang w:val="en-US"/>
        </w:rPr>
        <mc:AlternateContent>
          <mc:Choice Requires="wps">
            <w:drawing>
              <wp:anchor distT="45720" distB="45720" distL="114300" distR="114300" simplePos="0" relativeHeight="251659264" behindDoc="0" locked="0" layoutInCell="1" allowOverlap="1" wp14:anchorId="44F0B114" wp14:editId="73E7C65E">
                <wp:simplePos x="0" y="0"/>
                <wp:positionH relativeFrom="margin">
                  <wp:align>right</wp:align>
                </wp:positionH>
                <wp:positionV relativeFrom="paragraph">
                  <wp:posOffset>460375</wp:posOffset>
                </wp:positionV>
                <wp:extent cx="5705475" cy="5033010"/>
                <wp:effectExtent l="0" t="0" r="9525" b="0"/>
                <wp:wrapSquare wrapText="bothSides"/>
                <wp:docPr id="648728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033175"/>
                        </a:xfrm>
                        <a:prstGeom prst="rect">
                          <a:avLst/>
                        </a:prstGeom>
                        <a:solidFill>
                          <a:schemeClr val="accent1">
                            <a:lumMod val="20000"/>
                            <a:lumOff val="80000"/>
                          </a:schemeClr>
                        </a:solidFill>
                        <a:ln w="9525">
                          <a:noFill/>
                          <a:miter lim="800000"/>
                          <a:headEnd/>
                          <a:tailEnd/>
                        </a:ln>
                      </wps:spPr>
                      <wps:txbx>
                        <w:txbxContent>
                          <w:p w14:paraId="5FCF74CB" w14:textId="77777777" w:rsidR="00B62325" w:rsidRPr="00BD6F27" w:rsidRDefault="00B62325" w:rsidP="00B71E6B">
                            <w:pPr>
                              <w:pStyle w:val="Subtitle"/>
                            </w:pPr>
                            <w:r w:rsidRPr="00BD6F27">
                              <w:t>Mason, Mattie, and their mum Rose</w:t>
                            </w:r>
                          </w:p>
                          <w:p w14:paraId="34C074E6" w14:textId="77777777" w:rsidR="00B62325" w:rsidRPr="00BD6F27" w:rsidRDefault="00B62325" w:rsidP="00B71E6B">
                            <w:r w:rsidRPr="00BD6F27">
                              <w:t xml:space="preserve">Soon after his baby sister Mattie was born, Mason's mum took them to live with her parents. Mason was only 3 at the time, but he remembers hearing his mum screaming and his dad shouting while the baby cried. </w:t>
                            </w:r>
                          </w:p>
                          <w:p w14:paraId="56517DA3" w14:textId="77777777" w:rsidR="00B62325" w:rsidRPr="00BD6F27" w:rsidRDefault="00B62325" w:rsidP="00B71E6B">
                            <w:r w:rsidRPr="00BD6F27">
                              <w:t xml:space="preserve">Mason is 5 now, and Mattie is getting too big to sleep in her cot. They all three live in Rose's childhood bedroom in her parents' house. Rose's younger brothers live there too, making 7 people in a three-bedroom house. </w:t>
                            </w:r>
                          </w:p>
                          <w:p w14:paraId="0F4DA724" w14:textId="77777777" w:rsidR="00B62325" w:rsidRPr="00BD6F27" w:rsidRDefault="00B62325" w:rsidP="00B71E6B">
                            <w:r w:rsidRPr="00BD6F27">
                              <w:t>Mason knows he has to play quietly because his grandpa doesn't like noise, but he's only little and he sometimes forgets. His grandma is always picking on his mum for being bad at controlling the children, and Mason and Mattie have to stay in their room a lot. There's not enough space there for Mason to spread his toys out, and he and Mattie fight a lot when they can't get a break from each other.</w:t>
                            </w:r>
                          </w:p>
                          <w:p w14:paraId="3111CA26" w14:textId="77777777" w:rsidR="00B62325" w:rsidRPr="00BD6F27" w:rsidRDefault="00B62325" w:rsidP="00B71E6B">
                            <w:r w:rsidRPr="00BD6F27">
                              <w:t xml:space="preserve">Rose desperately wants to move out so she can make her own parenting decisions and give the children space to play and grow up, but she feels trapped. Although on paper there are a handful of 2- and 3-bedroom units around the state within her budget, she doesn't want to move to Queenstown or Scottsdale, where she has no social networks. </w:t>
                            </w:r>
                          </w:p>
                          <w:p w14:paraId="1284E4E1" w14:textId="77777777" w:rsidR="00B62325" w:rsidRPr="00BD6F27" w:rsidRDefault="00B62325" w:rsidP="00B71E6B">
                            <w:r w:rsidRPr="00BD6F27">
                              <w:t>Budget: $287</w:t>
                            </w:r>
                          </w:p>
                          <w:p w14:paraId="0F4D53BF" w14:textId="77777777" w:rsidR="00B62325" w:rsidRPr="00BD6F27" w:rsidRDefault="00B62325" w:rsidP="00B71E6B">
                            <w:r w:rsidRPr="00BD6F27">
                              <w:t>Affordable: 6 (regional locations)</w:t>
                            </w:r>
                          </w:p>
                          <w:p w14:paraId="24928F38" w14:textId="77777777" w:rsidR="00B62325" w:rsidRPr="00BD6F27" w:rsidRDefault="00B62325" w:rsidP="00B71E6B">
                            <w:r w:rsidRPr="00BD6F27">
                              <w:t>Cheapest appropriate: $360 (3-bedroom unit, Mowbray)</w:t>
                            </w:r>
                          </w:p>
                          <w:p w14:paraId="258D201A" w14:textId="77777777" w:rsidR="00B62325" w:rsidRDefault="00B62325" w:rsidP="00B71E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F0B114" id="_x0000_s1030" type="#_x0000_t202" style="position:absolute;margin-left:398.05pt;margin-top:36.25pt;width:449.25pt;height:396.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" fillcolor="#c1e4f5 [660]" stroked="f">
                <v:textbox>
                  <w:txbxContent>
                    <w:p w14:paraId="5FCF74CB" w14:textId="77777777" w:rsidR="00B62325" w:rsidRPr="00BD6F27" w:rsidRDefault="00B62325" w:rsidP="00B71E6B">
                      <w:pPr>
                        <w:pStyle w:val="Subtitle"/>
                      </w:pPr>
                      <w:r w:rsidRPr="00BD6F27">
                        <w:t>Mason, Mattie, and their mum Rose</w:t>
                      </w:r>
                    </w:p>
                    <w:p w14:paraId="34C074E6" w14:textId="77777777" w:rsidR="00B62325" w:rsidRPr="00BD6F27" w:rsidRDefault="00B62325" w:rsidP="00B71E6B">
                      <w:r w:rsidRPr="00BD6F27">
                        <w:t xml:space="preserve">Soon after his baby sister Mattie was born, Mason's mum took them to live with her parents. Mason was only 3 at the time, but he remembers hearing his mum screaming and his dad shouting while the baby cried. </w:t>
                      </w:r>
                    </w:p>
                    <w:p w14:paraId="56517DA3" w14:textId="77777777" w:rsidR="00B62325" w:rsidRPr="00BD6F27" w:rsidRDefault="00B62325" w:rsidP="00B71E6B">
                      <w:r w:rsidRPr="00BD6F27">
                        <w:t xml:space="preserve">Mason is 5 now, and Mattie is getting too big to sleep in her cot. They all three live in Rose's childhood bedroom in her parents' house. Rose's younger brothers live there too, making 7 people in a three-bedroom house. </w:t>
                      </w:r>
                    </w:p>
                    <w:p w14:paraId="0F4DA724" w14:textId="77777777" w:rsidR="00B62325" w:rsidRPr="00BD6F27" w:rsidRDefault="00B62325" w:rsidP="00B71E6B">
                      <w:r w:rsidRPr="00BD6F27">
                        <w:t>Mason knows he has to play quietly because his grandpa doesn't like noise, but he's only little and he sometimes forgets. His grandma is always picking on his mum for being bad at controlling the children, and Mason and Mattie have to stay in their room a lot. There's not enough space there for Mason to spread his toys out, and he and Mattie fight a lot when they can't get a break from each other.</w:t>
                      </w:r>
                    </w:p>
                    <w:p w14:paraId="3111CA26" w14:textId="77777777" w:rsidR="00B62325" w:rsidRPr="00BD6F27" w:rsidRDefault="00B62325" w:rsidP="00B71E6B">
                      <w:r w:rsidRPr="00BD6F27">
                        <w:t xml:space="preserve">Rose desperately wants to move out so she can make her own parenting decisions and give the children space to play and grow up, but she feels trapped. Although on paper there are a handful of 2- and 3-bedroom units around the state within her budget, she doesn't want to move to Queenstown or Scottsdale, where she has no social networks. </w:t>
                      </w:r>
                    </w:p>
                    <w:p w14:paraId="1284E4E1" w14:textId="77777777" w:rsidR="00B62325" w:rsidRPr="00BD6F27" w:rsidRDefault="00B62325" w:rsidP="00B71E6B">
                      <w:r w:rsidRPr="00BD6F27">
                        <w:t>Budget: $287</w:t>
                      </w:r>
                    </w:p>
                    <w:p w14:paraId="0F4D53BF" w14:textId="77777777" w:rsidR="00B62325" w:rsidRPr="00BD6F27" w:rsidRDefault="00B62325" w:rsidP="00B71E6B">
                      <w:r w:rsidRPr="00BD6F27">
                        <w:t>Affordable: 6 (regional locations)</w:t>
                      </w:r>
                    </w:p>
                    <w:p w14:paraId="24928F38" w14:textId="77777777" w:rsidR="00B62325" w:rsidRPr="00BD6F27" w:rsidRDefault="00B62325" w:rsidP="00B71E6B">
                      <w:r w:rsidRPr="00BD6F27">
                        <w:t>Cheapest appropriate: $360 (3-bedroom unit, Mowbray)</w:t>
                      </w:r>
                    </w:p>
                    <w:p w14:paraId="258D201A" w14:textId="77777777" w:rsidR="00B62325" w:rsidRDefault="00B62325" w:rsidP="00B71E6B"/>
                  </w:txbxContent>
                </v:textbox>
                <w10:wrap type="square" anchorx="margin"/>
              </v:shape>
            </w:pict>
          </mc:Fallback>
        </mc:AlternateContent>
      </w:r>
      <w:r w:rsidR="00B62325" w:rsidRPr="00425028">
        <w:rPr>
          <w:rFonts w:ascii="Avenir Next LT Pro" w:hAnsi="Avenir Next LT Pro"/>
        </w:rPr>
        <w:t>Children need safe and stable housing with room to grow</w:t>
      </w:r>
      <w:bookmarkEnd w:id="47"/>
      <w:bookmarkEnd w:id="48"/>
    </w:p>
    <w:p w14:paraId="4D8C6E6A" w14:textId="222FAE64" w:rsidR="00276949" w:rsidRDefault="00276949">
      <w:r>
        <w:br w:type="page"/>
      </w:r>
    </w:p>
    <w:p w14:paraId="3FAF2762" w14:textId="1DB1EAE1" w:rsidR="00812D82" w:rsidRPr="00425028" w:rsidRDefault="002E0CFE" w:rsidP="00B71E6B">
      <w:r w:rsidRPr="00425028">
        <w:t>If Rose moves to a place she can afford</w:t>
      </w:r>
      <w:r w:rsidR="00465E24" w:rsidRPr="00425028">
        <w:t xml:space="preserve"> </w:t>
      </w:r>
      <w:r w:rsidR="00A157B1" w:rsidRPr="00425028">
        <w:t>in a regional area</w:t>
      </w:r>
      <w:r w:rsidRPr="00425028">
        <w:t>, she will be isolated from her social networks</w:t>
      </w:r>
      <w:r w:rsidR="004C02D8" w:rsidRPr="00425028">
        <w:t xml:space="preserve"> and have to spend more on transport</w:t>
      </w:r>
      <w:r w:rsidRPr="00425028">
        <w:t xml:space="preserve">. </w:t>
      </w:r>
      <w:r w:rsidR="007A7E6D" w:rsidRPr="00425028">
        <w:t>Rose knows that</w:t>
      </w:r>
      <w:r w:rsidRPr="00425028">
        <w:t xml:space="preserve"> staying in the overcrowded house with her parents isn’t an option. </w:t>
      </w:r>
      <w:r w:rsidR="009773D7" w:rsidRPr="00425028">
        <w:t>The c</w:t>
      </w:r>
      <w:r w:rsidRPr="00425028">
        <w:t xml:space="preserve">hildren need access to room for study, play and undisrupted sleep for their health and development. </w:t>
      </w:r>
      <w:r w:rsidR="00B76E38" w:rsidRPr="00425028">
        <w:t>Research shows that o</w:t>
      </w:r>
      <w:r w:rsidRPr="00425028">
        <w:t>vercrowding can lead to emotional and behavioural problems, as well as reduced school performance</w:t>
      </w:r>
      <w:r w:rsidR="00F00E91" w:rsidRPr="00425028">
        <w:t>, and impact family relationships.</w:t>
      </w:r>
      <w:r w:rsidRPr="00425028">
        <w:rPr>
          <w:rStyle w:val="FootnoteReference"/>
        </w:rPr>
        <w:footnoteReference w:id="19"/>
      </w:r>
      <w:r w:rsidR="00812D82" w:rsidRPr="00425028">
        <w:t xml:space="preserve"> </w:t>
      </w:r>
    </w:p>
    <w:p w14:paraId="34FE2579" w14:textId="06B8F9A0" w:rsidR="00E50390" w:rsidRPr="00425028" w:rsidRDefault="00812D82">
      <w:pPr>
        <w:rPr>
          <w:rFonts w:eastAsiaTheme="majorEastAsia" w:cstheme="majorBidi"/>
          <w:color w:val="0F4761" w:themeColor="accent1" w:themeShade="BF"/>
          <w:sz w:val="32"/>
          <w:szCs w:val="32"/>
        </w:rPr>
      </w:pPr>
      <w:r w:rsidRPr="00425028">
        <w:t>If Rose rents the 3</w:t>
      </w:r>
      <w:r w:rsidR="00FB5177" w:rsidRPr="00425028">
        <w:t>-</w:t>
      </w:r>
      <w:r w:rsidRPr="00425028">
        <w:t>bedroom unit in Mowbray, she will be pushed into rental stress and have much less available money to cover other expenses and meet the children’s needs. Children in families experiencing housing stress are also at risk of negative health and wellbeing outcomes.</w:t>
      </w:r>
      <w:r w:rsidRPr="00425028">
        <w:rPr>
          <w:rStyle w:val="FootnoteReference"/>
        </w:rPr>
        <w:footnoteReference w:id="20"/>
      </w:r>
      <w:r w:rsidRPr="00425028">
        <w:t xml:space="preserve"> Rose</w:t>
      </w:r>
      <w:r w:rsidR="001520B1" w:rsidRPr="00425028">
        <w:t xml:space="preserve"> </w:t>
      </w:r>
      <w:r w:rsidRPr="00425028">
        <w:t>feels like a failure at being unable to meet her children’s needs no matter which way she turns.</w:t>
      </w:r>
      <w:bookmarkStart w:id="49" w:name="_Toc195101869"/>
      <w:r w:rsidR="00E50390" w:rsidRPr="00425028">
        <w:br w:type="page"/>
      </w:r>
    </w:p>
    <w:bookmarkStart w:id="50" w:name="_Toc196229001"/>
    <w:p w14:paraId="613819A5" w14:textId="57AA2EAE" w:rsidR="00B62325" w:rsidRPr="00425028" w:rsidRDefault="00720B3C" w:rsidP="00B71E6B">
      <w:pPr>
        <w:pStyle w:val="Heading2"/>
        <w:rPr>
          <w:rFonts w:ascii="Avenir Next LT Pro" w:hAnsi="Avenir Next LT Pro"/>
        </w:rPr>
      </w:pPr>
      <w:r w:rsidRPr="00425028">
        <w:rPr>
          <w:rFonts w:ascii="Avenir Next LT Pro" w:hAnsi="Avenir Next LT Pro"/>
          <w:noProof/>
          <w:lang w:val="en-US"/>
        </w:rPr>
        <mc:AlternateContent>
          <mc:Choice Requires="wps">
            <w:drawing>
              <wp:anchor distT="45720" distB="45720" distL="114300" distR="114300" simplePos="0" relativeHeight="251660288" behindDoc="0" locked="0" layoutInCell="1" allowOverlap="1" wp14:anchorId="417E3789" wp14:editId="467EDFDB">
                <wp:simplePos x="0" y="0"/>
                <wp:positionH relativeFrom="margin">
                  <wp:align>left</wp:align>
                </wp:positionH>
                <wp:positionV relativeFrom="paragraph">
                  <wp:posOffset>366713</wp:posOffset>
                </wp:positionV>
                <wp:extent cx="5715000" cy="5796280"/>
                <wp:effectExtent l="0" t="0" r="0" b="0"/>
                <wp:wrapSquare wrapText="bothSides"/>
                <wp:docPr id="19866106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796501"/>
                        </a:xfrm>
                        <a:prstGeom prst="rect">
                          <a:avLst/>
                        </a:prstGeom>
                        <a:solidFill>
                          <a:schemeClr val="accent1">
                            <a:lumMod val="20000"/>
                            <a:lumOff val="80000"/>
                          </a:schemeClr>
                        </a:solidFill>
                        <a:ln w="9525">
                          <a:noFill/>
                          <a:miter lim="800000"/>
                          <a:headEnd/>
                          <a:tailEnd/>
                        </a:ln>
                      </wps:spPr>
                      <wps:txbx>
                        <w:txbxContent>
                          <w:p w14:paraId="30957B6D" w14:textId="77777777" w:rsidR="00B62325" w:rsidRPr="00BD6F27" w:rsidRDefault="00B62325" w:rsidP="00B71E6B">
                            <w:pPr>
                              <w:pStyle w:val="Subtitle"/>
                            </w:pPr>
                            <w:r w:rsidRPr="00BD6F27">
                              <w:t>Nadeesha and her daughter Rami</w:t>
                            </w:r>
                          </w:p>
                          <w:p w14:paraId="71ACCFAC" w14:textId="77777777" w:rsidR="00B62325" w:rsidRPr="00BD6F27" w:rsidRDefault="00B62325" w:rsidP="00B71E6B">
                            <w:r w:rsidRPr="00BD6F27">
                              <w:t xml:space="preserve">Nadeesha met her Australian partner Paul while he was working in her home country. They came to Tasmania and moved in with his mother. Throughout the relationship, Paul was abusive, using coercive control and belittling Nadeesha. It got worse after their daughter Rami was born, until finally Paul and his mother drove Nadeesha out of the house. Paul said that in Australia it was illegal for Nadeesha to take Rami with her and she would go to jail if she tried. </w:t>
                            </w:r>
                          </w:p>
                          <w:p w14:paraId="0DA7F9D7" w14:textId="77777777" w:rsidR="00B62325" w:rsidRPr="00BD6F27" w:rsidRDefault="00B62325" w:rsidP="00B71E6B">
                            <w:r w:rsidRPr="00BD6F27">
                              <w:t xml:space="preserve">Since then Nadeesha has learnt he was lying, but it doesn't change the fact that her baby is still in Paul's custody. Isolated from her family and with limited English, Nadeesha depends on family violence services and legal aid, who are advocating tirelessly on her behalf. They've advised her that she's unlikely to get full custody unless she has appropriate housing for Rami. They did succeed in getting a Family Violence Order taken out against Paul, and obtained Special Benefit from Centrelink for Nadeesha so she could have some income. </w:t>
                            </w:r>
                          </w:p>
                          <w:p w14:paraId="0028666E" w14:textId="0CC95ACF" w:rsidR="00B62325" w:rsidRPr="00BD6F27" w:rsidRDefault="00B62325" w:rsidP="00B71E6B">
                            <w:r w:rsidRPr="00BD6F27">
                              <w:t>Special Benefit is paid at the same rate as Job</w:t>
                            </w:r>
                            <w:r w:rsidR="00FB2566">
                              <w:t>S</w:t>
                            </w:r>
                            <w:r w:rsidRPr="00BD6F27">
                              <w:t xml:space="preserve">eeker (for people who aren't ordinarily eligible for Centrelink benefits, like newly arrived migrants), which makes private rentals unaffordable. Nadeesha's applied for Rapid Rehousing, but until a place becomes available she is living in a motel room. Social housing is her only hope for long-term housing, but providers aren't going to allocate her a two-bedroom property on her current income. Centrelink will increase her payment once she has Rami in her custody, but she can't get custody without a two-bedroom home. </w:t>
                            </w:r>
                          </w:p>
                          <w:p w14:paraId="28EE3BB7" w14:textId="77777777" w:rsidR="00B62325" w:rsidRPr="00BD6F27" w:rsidRDefault="00B62325" w:rsidP="00B71E6B">
                            <w:r w:rsidRPr="00BD6F27">
                              <w:t>Budget: $131</w:t>
                            </w:r>
                          </w:p>
                          <w:p w14:paraId="5675A656" w14:textId="77777777" w:rsidR="00B62325" w:rsidRPr="00BD6F27" w:rsidRDefault="00B62325" w:rsidP="00B71E6B">
                            <w:r w:rsidRPr="00BD6F27">
                              <w:t>Affordable: 0</w:t>
                            </w:r>
                          </w:p>
                          <w:p w14:paraId="5C70A14B" w14:textId="23AD6788" w:rsidR="00B62325" w:rsidRDefault="00B62325" w:rsidP="00B71E6B">
                            <w:r w:rsidRPr="00BD6F27">
                              <w:t>Cheapest appropriate: $285 (2-bedroom unit, Burnie)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7E3789" id="_x0000_s1031" type="#_x0000_t202" style="position:absolute;margin-left:0;margin-top:28.9pt;width:450pt;height:456.4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" fillcolor="#c1e4f5 [660]" stroked="f">
                <v:textbox>
                  <w:txbxContent>
                    <w:p w14:paraId="30957B6D" w14:textId="77777777" w:rsidR="00B62325" w:rsidRPr="00BD6F27" w:rsidRDefault="00B62325" w:rsidP="00B71E6B">
                      <w:pPr>
                        <w:pStyle w:val="Subtitle"/>
                      </w:pPr>
                      <w:r w:rsidRPr="00BD6F27">
                        <w:t>Nadeesha and her daughter Rami</w:t>
                      </w:r>
                    </w:p>
                    <w:p w14:paraId="71ACCFAC" w14:textId="77777777" w:rsidR="00B62325" w:rsidRPr="00BD6F27" w:rsidRDefault="00B62325" w:rsidP="00B71E6B">
                      <w:r w:rsidRPr="00BD6F27">
                        <w:t xml:space="preserve">Nadeesha met her Australian partner Paul while he was working in her home country. They came to Tasmania and moved in with his mother. Throughout the relationship, Paul was abusive, using coercive control and belittling Nadeesha. It got worse after their daughter Rami was born, until finally Paul and his mother drove Nadeesha out of the house. Paul said that in Australia it was illegal for Nadeesha to take Rami with her and she would go to jail if she tried. </w:t>
                      </w:r>
                    </w:p>
                    <w:p w14:paraId="0DA7F9D7" w14:textId="77777777" w:rsidR="00B62325" w:rsidRPr="00BD6F27" w:rsidRDefault="00B62325" w:rsidP="00B71E6B">
                      <w:r w:rsidRPr="00BD6F27">
                        <w:t xml:space="preserve">Since then Nadeesha has learnt he was lying, but it doesn't change the fact that her baby is still in Paul's custody. Isolated from her family and with limited English, Nadeesha depends on family violence services and legal aid, who are advocating tirelessly on her behalf. They've advised her that she's unlikely to get full custody unless she has appropriate housing for Rami. They did succeed in getting a Family Violence Order taken out against Paul, and obtained Special Benefit from Centrelink for Nadeesha so she could have some income. </w:t>
                      </w:r>
                    </w:p>
                    <w:p w14:paraId="0028666E" w14:textId="0CC95ACF" w:rsidR="00B62325" w:rsidRPr="00BD6F27" w:rsidRDefault="00B62325" w:rsidP="00B71E6B">
                      <w:r w:rsidRPr="00BD6F27">
                        <w:t>Special Benefit is paid at the same rate as Job</w:t>
                      </w:r>
                      <w:r w:rsidR="00FB2566">
                        <w:t>S</w:t>
                      </w:r>
                      <w:r w:rsidRPr="00BD6F27">
                        <w:t xml:space="preserve">eeker (for people who aren't ordinarily eligible for Centrelink benefits, like newly arrived migrants), which makes private rentals unaffordable. Nadeesha's applied for Rapid Rehousing, but until a place becomes available she is living in a motel room. Social housing is her only hope for long-term housing, but providers aren't going to allocate her a two-bedroom property on her current income. Centrelink will increase her payment once she has Rami in her custody, but she can't get custody without a two-bedroom home. </w:t>
                      </w:r>
                    </w:p>
                    <w:p w14:paraId="28EE3BB7" w14:textId="77777777" w:rsidR="00B62325" w:rsidRPr="00BD6F27" w:rsidRDefault="00B62325" w:rsidP="00B71E6B">
                      <w:r w:rsidRPr="00BD6F27">
                        <w:t>Budget: $131</w:t>
                      </w:r>
                    </w:p>
                    <w:p w14:paraId="5675A656" w14:textId="77777777" w:rsidR="00B62325" w:rsidRPr="00BD6F27" w:rsidRDefault="00B62325" w:rsidP="00B71E6B">
                      <w:r w:rsidRPr="00BD6F27">
                        <w:t>Affordable: 0</w:t>
                      </w:r>
                    </w:p>
                    <w:p w14:paraId="5C70A14B" w14:textId="23AD6788" w:rsidR="00B62325" w:rsidRDefault="00B62325" w:rsidP="00B71E6B">
                      <w:r w:rsidRPr="00BD6F27">
                        <w:t>Cheapest appropriate: $285 (2-bedroom unit, Burnie)</w:t>
                      </w:r>
                    </w:p>
                  </w:txbxContent>
                </v:textbox>
                <w10:wrap type="square" anchorx="margin"/>
              </v:shape>
            </w:pict>
          </mc:Fallback>
        </mc:AlternateContent>
      </w:r>
      <w:bookmarkEnd w:id="49"/>
      <w:r w:rsidR="00FB2566">
        <w:rPr>
          <w:rFonts w:ascii="Avenir Next LT Pro" w:hAnsi="Avenir Next LT Pro"/>
        </w:rPr>
        <w:t>Children need access to safe caregivers</w:t>
      </w:r>
      <w:bookmarkEnd w:id="50"/>
    </w:p>
    <w:p w14:paraId="5927864F" w14:textId="77777777" w:rsidR="007920FF" w:rsidRDefault="007920FF">
      <w:r>
        <w:br w:type="page"/>
      </w:r>
    </w:p>
    <w:p w14:paraId="0677900C" w14:textId="1F74A696" w:rsidR="00357F51" w:rsidRPr="00425028" w:rsidRDefault="00B055FE" w:rsidP="00B71E6B">
      <w:r w:rsidRPr="00425028">
        <w:t xml:space="preserve">The separation of a child from </w:t>
      </w:r>
      <w:r w:rsidR="00FB2566">
        <w:t>a safe</w:t>
      </w:r>
      <w:r w:rsidR="006C30B2" w:rsidRPr="00425028">
        <w:t xml:space="preserve"> parent</w:t>
      </w:r>
      <w:r w:rsidRPr="00425028">
        <w:t xml:space="preserve"> should never occur simply because the </w:t>
      </w:r>
      <w:r w:rsidR="006C30B2" w:rsidRPr="00425028">
        <w:t xml:space="preserve">parent </w:t>
      </w:r>
      <w:r w:rsidRPr="00425028">
        <w:t xml:space="preserve">does not have stable housing. </w:t>
      </w:r>
      <w:r w:rsidR="00357F51" w:rsidRPr="00425028">
        <w:t xml:space="preserve">The separation of a child from their </w:t>
      </w:r>
      <w:r w:rsidR="00EA0764" w:rsidRPr="00425028">
        <w:t xml:space="preserve">primary caregiver </w:t>
      </w:r>
      <w:r w:rsidR="00357F51" w:rsidRPr="00425028">
        <w:t>causes immense stress for them both, and can lead to poor health outcomes, mental health issues, and impact the caregiving relationship.</w:t>
      </w:r>
      <w:r w:rsidR="00357F51" w:rsidRPr="00425028">
        <w:rPr>
          <w:rStyle w:val="FootnoteReference"/>
        </w:rPr>
        <w:footnoteReference w:id="21"/>
      </w:r>
      <w:r w:rsidR="00357F51" w:rsidRPr="00425028">
        <w:t xml:space="preserve"> </w:t>
      </w:r>
    </w:p>
    <w:p w14:paraId="745A5410" w14:textId="11CEE230" w:rsidR="00357F51" w:rsidRPr="00425028" w:rsidRDefault="002E0CFE" w:rsidP="00B71E6B">
      <w:r w:rsidRPr="00425028">
        <w:t>Until Nadeesha has stable and appropriate housing, she is unable to have Rami in her care</w:t>
      </w:r>
      <w:r w:rsidR="00B055FE" w:rsidRPr="00425028">
        <w:t>, but she is stuck without the ability to pay for suitable housing without Parenting Payment.</w:t>
      </w:r>
      <w:r w:rsidR="00357F51" w:rsidRPr="00425028">
        <w:t xml:space="preserve"> Anglicare Tasmania’s previous research </w:t>
      </w:r>
      <w:hyperlink r:id="rId23" w:history="1">
        <w:r w:rsidR="00357F51" w:rsidRPr="00425028">
          <w:rPr>
            <w:rStyle w:val="Hyperlink"/>
            <w:i/>
          </w:rPr>
          <w:t>In Limbo</w:t>
        </w:r>
      </w:hyperlink>
      <w:r w:rsidR="00357F51" w:rsidRPr="00425028">
        <w:t xml:space="preserve"> demonstrated the income and housing challenges experienced by Tasmanian parents seeking reunification with their children, and recommended a suite of stable accommodation options for family reunification.</w:t>
      </w:r>
      <w:r w:rsidR="00B055FE" w:rsidRPr="00425028">
        <w:t xml:space="preserve"> </w:t>
      </w:r>
    </w:p>
    <w:p w14:paraId="25A34442" w14:textId="77777777" w:rsidR="00276949" w:rsidRDefault="00276949">
      <w:pPr>
        <w:rPr>
          <w:rFonts w:eastAsiaTheme="majorEastAsia" w:cstheme="majorBidi"/>
          <w:color w:val="0F4761" w:themeColor="accent1" w:themeShade="BF"/>
          <w:sz w:val="40"/>
          <w:szCs w:val="40"/>
        </w:rPr>
      </w:pPr>
      <w:bookmarkStart w:id="51" w:name="_Toc195101870"/>
      <w:bookmarkStart w:id="52" w:name="_Toc196229002"/>
      <w:r>
        <w:br w:type="page"/>
      </w:r>
    </w:p>
    <w:p w14:paraId="4E7E0469" w14:textId="0C5EA316" w:rsidR="00F643D3" w:rsidRPr="00425028" w:rsidRDefault="00F643D3" w:rsidP="00B71E6B">
      <w:pPr>
        <w:pStyle w:val="Heading1"/>
        <w:rPr>
          <w:rFonts w:ascii="Avenir Next LT Pro" w:hAnsi="Avenir Next LT Pro"/>
        </w:rPr>
      </w:pPr>
      <w:r w:rsidRPr="00425028">
        <w:rPr>
          <w:rFonts w:ascii="Avenir Next LT Pro" w:hAnsi="Avenir Next LT Pro"/>
        </w:rPr>
        <w:t xml:space="preserve">Private rental options for people leaving </w:t>
      </w:r>
      <w:r w:rsidR="00A95407" w:rsidRPr="00425028">
        <w:rPr>
          <w:rFonts w:ascii="Avenir Next LT Pro" w:hAnsi="Avenir Next LT Pro"/>
        </w:rPr>
        <w:t>domestic and family violence</w:t>
      </w:r>
      <w:bookmarkEnd w:id="51"/>
      <w:bookmarkEnd w:id="52"/>
    </w:p>
    <w:p w14:paraId="7716A030" w14:textId="2BB3B8FA" w:rsidR="00A95407" w:rsidRPr="00425028" w:rsidRDefault="00A95407" w:rsidP="00B71E6B">
      <w:r w:rsidRPr="00425028">
        <w:t xml:space="preserve">It is important that people </w:t>
      </w:r>
      <w:r w:rsidR="002478A1" w:rsidRPr="00425028">
        <w:t>can</w:t>
      </w:r>
      <w:r w:rsidRPr="00425028">
        <w:t xml:space="preserve"> leave an abusive relationship when they need to </w:t>
      </w:r>
      <w:r w:rsidR="00664166">
        <w:t>so</w:t>
      </w:r>
      <w:r w:rsidRPr="00425028">
        <w:t xml:space="preserve"> that additional trauma and disruption to them and their children is minimised. This </w:t>
      </w:r>
      <w:r w:rsidR="00664166">
        <w:t xml:space="preserve">is made easier </w:t>
      </w:r>
      <w:r w:rsidRPr="00425028">
        <w:t xml:space="preserve">if there are enough suitable, safe and affordable rental properties available in the right location. </w:t>
      </w:r>
    </w:p>
    <w:p w14:paraId="3A0C4C52" w14:textId="3A5D9749" w:rsidR="00A95407" w:rsidRPr="00425028" w:rsidRDefault="00A95407" w:rsidP="00B71E6B">
      <w:r w:rsidRPr="00425028">
        <w:t xml:space="preserve">We looked at the options that were available on </w:t>
      </w:r>
      <w:r w:rsidR="002F6B94" w:rsidRPr="00425028">
        <w:t>the</w:t>
      </w:r>
      <w:r w:rsidRPr="00425028">
        <w:t xml:space="preserve"> </w:t>
      </w:r>
      <w:r w:rsidR="00664166">
        <w:t>S</w:t>
      </w:r>
      <w:r w:rsidRPr="00425028">
        <w:t xml:space="preserve">napshot weekend for people on low incomes who are trying to leave domestic and family violence. </w:t>
      </w:r>
    </w:p>
    <w:p w14:paraId="04D8BB70" w14:textId="77777777" w:rsidR="00A95407" w:rsidRPr="00425028" w:rsidRDefault="00A95407" w:rsidP="00B71E6B"/>
    <w:p w14:paraId="099B5C68" w14:textId="04E1E68E" w:rsidR="00A95407" w:rsidRPr="00425028" w:rsidRDefault="00A95407" w:rsidP="00B71E6B">
      <w:r w:rsidRPr="00425028">
        <w:rPr>
          <w:noProof/>
          <w:lang w:val="en-US"/>
        </w:rPr>
        <w:drawing>
          <wp:anchor distT="0" distB="0" distL="114300" distR="114300" simplePos="0" relativeHeight="251662336" behindDoc="1" locked="0" layoutInCell="1" allowOverlap="1" wp14:anchorId="52A9F663" wp14:editId="5D5E0FE7">
            <wp:simplePos x="0" y="0"/>
            <wp:positionH relativeFrom="margin">
              <wp:align>left</wp:align>
            </wp:positionH>
            <wp:positionV relativeFrom="paragraph">
              <wp:posOffset>57785</wp:posOffset>
            </wp:positionV>
            <wp:extent cx="1028700" cy="1028700"/>
            <wp:effectExtent l="0" t="0" r="0" b="0"/>
            <wp:wrapSquare wrapText="bothSides"/>
            <wp:docPr id="1594403597" name="Graphic 2" descr="Woma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403597" name="Graphic 1594403597" descr="Woman with solid fill"/>
                    <pic:cNvPicPr/>
                  </pic:nvPicPr>
                  <pic:blipFill>
                    <a:blip r:embed="rId24">
                      <a:extLst>
                        <a:ext uri="{96DAC541-7B7A-43D3-8B79-37D633B846F1}">
                          <asvg:svgBlip xmlns:asvg="http://schemas.microsoft.com/office/drawing/2016/SVG/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1028700" cy="1028700"/>
                    </a:xfrm>
                    <a:prstGeom prst="rect">
                      <a:avLst/>
                    </a:prstGeom>
                  </pic:spPr>
                </pic:pic>
              </a:graphicData>
            </a:graphic>
            <wp14:sizeRelH relativeFrom="margin">
              <wp14:pctWidth>0</wp14:pctWidth>
            </wp14:sizeRelH>
            <wp14:sizeRelV relativeFrom="margin">
              <wp14:pctHeight>0</wp14:pctHeight>
            </wp14:sizeRelV>
          </wp:anchor>
        </w:drawing>
      </w:r>
      <w:r w:rsidRPr="00425028">
        <w:t>A single person leaving domestic</w:t>
      </w:r>
      <w:r w:rsidR="0089452F">
        <w:t xml:space="preserve"> and family</w:t>
      </w:r>
      <w:r w:rsidRPr="00425028">
        <w:t xml:space="preserve"> violence needs to feel safe and secure</w:t>
      </w:r>
      <w:r w:rsidR="002478A1" w:rsidRPr="00425028">
        <w:t xml:space="preserve"> to begin to recover from trauma. They are unlikely to seek shared accommodation with strangers. </w:t>
      </w:r>
      <w:r w:rsidRPr="00425028">
        <w:t xml:space="preserve"> </w:t>
      </w:r>
    </w:p>
    <w:p w14:paraId="2834B569" w14:textId="0CAC4EE3" w:rsidR="00A95407" w:rsidRPr="00425028" w:rsidRDefault="00A95407" w:rsidP="00B71E6B">
      <w:r w:rsidRPr="00425028">
        <w:t xml:space="preserve">On </w:t>
      </w:r>
      <w:r w:rsidR="00664166">
        <w:t>S</w:t>
      </w:r>
      <w:r w:rsidRPr="00425028">
        <w:t xml:space="preserve">napshot weekend, 67 self-contained one-bedroom properties were advertised statewide with 32 in the South, 28 in the North and 7 in the North West. </w:t>
      </w:r>
    </w:p>
    <w:p w14:paraId="09203665" w14:textId="77777777" w:rsidR="00A95407" w:rsidRPr="00425028" w:rsidRDefault="00A95407" w:rsidP="00B71E6B">
      <w:r w:rsidRPr="00425028">
        <w:t>Statewide, the median rent for a one-bedroom property was $370 per week, which was:</w:t>
      </w:r>
    </w:p>
    <w:p w14:paraId="33D36B7A" w14:textId="77777777" w:rsidR="00A95407" w:rsidRPr="00425028" w:rsidRDefault="00A95407" w:rsidP="00B71E6B">
      <w:pPr>
        <w:pStyle w:val="ListParagraph"/>
        <w:numPr>
          <w:ilvl w:val="0"/>
          <w:numId w:val="2"/>
        </w:numPr>
      </w:pPr>
      <w:r w:rsidRPr="00425028">
        <w:t>6% higher than in March 2024</w:t>
      </w:r>
      <w:r w:rsidRPr="00425028">
        <w:rPr>
          <w:rStyle w:val="FootnoteReference"/>
        </w:rPr>
        <w:footnoteReference w:id="22"/>
      </w:r>
      <w:r w:rsidRPr="00425028">
        <w:t xml:space="preserve"> </w:t>
      </w:r>
    </w:p>
    <w:p w14:paraId="50CEF64B" w14:textId="49BA66B2" w:rsidR="00A95407" w:rsidRPr="00425028" w:rsidRDefault="00A95407" w:rsidP="00B71E6B">
      <w:pPr>
        <w:pStyle w:val="ListParagraph"/>
        <w:numPr>
          <w:ilvl w:val="0"/>
          <w:numId w:val="2"/>
        </w:numPr>
      </w:pPr>
      <w:r w:rsidRPr="00425028">
        <w:t xml:space="preserve">3.4 times affordable rent for a person receiving </w:t>
      </w:r>
      <w:r w:rsidR="003C57DE" w:rsidRPr="00425028">
        <w:t>Y</w:t>
      </w:r>
      <w:r w:rsidRPr="00425028">
        <w:t xml:space="preserve">outh </w:t>
      </w:r>
      <w:r w:rsidR="003C57DE" w:rsidRPr="00425028">
        <w:t>A</w:t>
      </w:r>
      <w:r w:rsidRPr="00425028">
        <w:t>llowance</w:t>
      </w:r>
    </w:p>
    <w:p w14:paraId="2ECB8652" w14:textId="44890FDA" w:rsidR="00A95407" w:rsidRPr="00425028" w:rsidRDefault="00A95407" w:rsidP="00B71E6B">
      <w:pPr>
        <w:pStyle w:val="ListParagraph"/>
        <w:numPr>
          <w:ilvl w:val="0"/>
          <w:numId w:val="2"/>
        </w:numPr>
      </w:pPr>
      <w:r w:rsidRPr="00425028">
        <w:t>2.8 times affordable rent for a person receiving Job</w:t>
      </w:r>
      <w:r w:rsidR="00664166">
        <w:t>S</w:t>
      </w:r>
      <w:r w:rsidRPr="00425028">
        <w:t>eeker</w:t>
      </w:r>
    </w:p>
    <w:p w14:paraId="50ECC0EB" w14:textId="77777777" w:rsidR="00A95407" w:rsidRPr="00425028" w:rsidRDefault="00A95407" w:rsidP="00B71E6B">
      <w:pPr>
        <w:pStyle w:val="ListParagraph"/>
        <w:numPr>
          <w:ilvl w:val="0"/>
          <w:numId w:val="2"/>
        </w:numPr>
      </w:pPr>
      <w:r w:rsidRPr="00425028">
        <w:t xml:space="preserve">1.8 times affordable rent for a person receiving a pension </w:t>
      </w:r>
    </w:p>
    <w:p w14:paraId="25B1DC00" w14:textId="5397BB2D" w:rsidR="00A95407" w:rsidRPr="00425028" w:rsidRDefault="00A95407" w:rsidP="00B71E6B">
      <w:pPr>
        <w:pStyle w:val="ListParagraph"/>
        <w:numPr>
          <w:ilvl w:val="0"/>
          <w:numId w:val="2"/>
        </w:numPr>
      </w:pPr>
      <w:r w:rsidRPr="00425028">
        <w:t>1.5 times affordable rent for a person working for the minimum wage</w:t>
      </w:r>
      <w:r w:rsidR="00686CB2" w:rsidRPr="00425028">
        <w:t>.</w:t>
      </w:r>
    </w:p>
    <w:p w14:paraId="3351C3AB" w14:textId="77777777" w:rsidR="00A95407" w:rsidRPr="00425028" w:rsidRDefault="00A95407" w:rsidP="00B71E6B">
      <w:r w:rsidRPr="00425028">
        <w:t xml:space="preserve">Statewide, rents for the most affordable 25% of properties advertised (17 properties) were between $190 and $300 per week. </w:t>
      </w:r>
    </w:p>
    <w:p w14:paraId="62CC3E87" w14:textId="6EE54D57" w:rsidR="00A95407" w:rsidRPr="00425028" w:rsidRDefault="00A95407" w:rsidP="00B71E6B">
      <w:r w:rsidRPr="00425028">
        <w:t xml:space="preserve">Compared to last year’s </w:t>
      </w:r>
      <w:r w:rsidR="00664166">
        <w:t>S</w:t>
      </w:r>
      <w:r w:rsidRPr="00425028">
        <w:t>napshot data, median rents in each region were:</w:t>
      </w:r>
    </w:p>
    <w:p w14:paraId="50879EDA" w14:textId="4E6600F8" w:rsidR="00A95407" w:rsidRPr="00425028" w:rsidRDefault="00A03C15" w:rsidP="00B71E6B">
      <w:pPr>
        <w:pStyle w:val="ListParagraph"/>
        <w:numPr>
          <w:ilvl w:val="0"/>
          <w:numId w:val="1"/>
        </w:numPr>
      </w:pPr>
      <w:r>
        <w:rPr>
          <w:noProof/>
          <w:lang w:val="en-US"/>
        </w:rPr>
        <mc:AlternateContent>
          <mc:Choice Requires="wps">
            <w:drawing>
              <wp:anchor distT="0" distB="0" distL="114300" distR="114300" simplePos="0" relativeHeight="251678720" behindDoc="0" locked="0" layoutInCell="1" allowOverlap="1" wp14:anchorId="0E8B7D4C" wp14:editId="29D700FF">
                <wp:simplePos x="0" y="0"/>
                <wp:positionH relativeFrom="column">
                  <wp:posOffset>442913</wp:posOffset>
                </wp:positionH>
                <wp:positionV relativeFrom="paragraph">
                  <wp:posOffset>18415</wp:posOffset>
                </wp:positionV>
                <wp:extent cx="109537" cy="104775"/>
                <wp:effectExtent l="19050" t="19050" r="43180" b="28575"/>
                <wp:wrapNone/>
                <wp:docPr id="651805553" name="Arrow: Up 8" descr="up arrow"/>
                <wp:cNvGraphicFramePr/>
                <a:graphic xmlns:a="http://schemas.openxmlformats.org/drawingml/2006/main">
                  <a:graphicData uri="http://schemas.microsoft.com/office/word/2010/wordprocessingShape">
                    <wps:wsp>
                      <wps:cNvSpPr/>
                      <wps:spPr>
                        <a:xfrm>
                          <a:off x="0" y="0"/>
                          <a:ext cx="109537" cy="104775"/>
                        </a:xfrm>
                        <a:prstGeom prs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84B103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8" o:spid="_x0000_s1026" type="#_x0000_t68" alt="up arrow" style="position:absolute;margin-left:34.9pt;margin-top:1.45pt;width:8.6pt;height: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" adj="10800" fillcolor="#156082 [3204]" strokecolor="#030e13 [484]" strokeweight="1pt"/>
            </w:pict>
          </mc:Fallback>
        </mc:AlternateContent>
      </w:r>
      <w:r w:rsidR="00A95407" w:rsidRPr="00425028">
        <w:t xml:space="preserve"> </w:t>
      </w:r>
      <w:r>
        <w:t xml:space="preserve">   </w:t>
      </w:r>
      <w:r w:rsidR="00A95407" w:rsidRPr="00425028">
        <w:t>13% to $330 per week in the North West</w:t>
      </w:r>
    </w:p>
    <w:p w14:paraId="7DE5FAEA" w14:textId="75FCDA9D" w:rsidR="00A95407" w:rsidRPr="00425028" w:rsidRDefault="00A03C15" w:rsidP="00B71E6B">
      <w:pPr>
        <w:pStyle w:val="ListParagraph"/>
        <w:numPr>
          <w:ilvl w:val="0"/>
          <w:numId w:val="1"/>
        </w:numPr>
      </w:pPr>
      <w:r>
        <w:rPr>
          <w:noProof/>
          <w:lang w:val="en-US"/>
        </w:rPr>
        <mc:AlternateContent>
          <mc:Choice Requires="wps">
            <w:drawing>
              <wp:anchor distT="0" distB="0" distL="114300" distR="114300" simplePos="0" relativeHeight="251676672" behindDoc="0" locked="0" layoutInCell="1" allowOverlap="1" wp14:anchorId="6F75F316" wp14:editId="5F46FDFF">
                <wp:simplePos x="0" y="0"/>
                <wp:positionH relativeFrom="column">
                  <wp:posOffset>433388</wp:posOffset>
                </wp:positionH>
                <wp:positionV relativeFrom="paragraph">
                  <wp:posOffset>23813</wp:posOffset>
                </wp:positionV>
                <wp:extent cx="109537" cy="104775"/>
                <wp:effectExtent l="19050" t="19050" r="43180" b="28575"/>
                <wp:wrapNone/>
                <wp:docPr id="627196558" name="Arrow: Up 8" descr="up arrow"/>
                <wp:cNvGraphicFramePr/>
                <a:graphic xmlns:a="http://schemas.openxmlformats.org/drawingml/2006/main">
                  <a:graphicData uri="http://schemas.microsoft.com/office/word/2010/wordprocessingShape">
                    <wps:wsp>
                      <wps:cNvSpPr/>
                      <wps:spPr>
                        <a:xfrm>
                          <a:off x="0" y="0"/>
                          <a:ext cx="109537" cy="104775"/>
                        </a:xfrm>
                        <a:prstGeom prs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94C0ED" id="Arrow: Up 8" o:spid="_x0000_s1026" type="#_x0000_t68" alt="up arrow" style="position:absolute;margin-left:34.15pt;margin-top:1.9pt;width:8.6pt;height: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" adj="10800" fillcolor="#156082 [3204]" strokecolor="#030e13 [484]" strokeweight="1pt"/>
            </w:pict>
          </mc:Fallback>
        </mc:AlternateContent>
      </w:r>
      <w:r w:rsidR="00A95407" w:rsidRPr="00425028">
        <w:t xml:space="preserve"> </w:t>
      </w:r>
      <w:r>
        <w:t xml:space="preserve">   </w:t>
      </w:r>
      <w:r w:rsidR="00A95407" w:rsidRPr="00425028">
        <w:t>&lt;1%</w:t>
      </w:r>
      <w:r w:rsidR="00AF638F" w:rsidRPr="00425028">
        <w:t xml:space="preserve"> </w:t>
      </w:r>
      <w:r w:rsidR="00A95407" w:rsidRPr="00425028">
        <w:t>to $408 per week in the South</w:t>
      </w:r>
    </w:p>
    <w:p w14:paraId="7AD7EE85" w14:textId="04902709" w:rsidR="00A95407" w:rsidRPr="00425028" w:rsidRDefault="00A03C15" w:rsidP="00B71E6B">
      <w:pPr>
        <w:pStyle w:val="ListParagraph"/>
        <w:numPr>
          <w:ilvl w:val="0"/>
          <w:numId w:val="1"/>
        </w:numPr>
      </w:pPr>
      <w:r>
        <w:rPr>
          <w:noProof/>
          <w:lang w:val="en-US"/>
        </w:rPr>
        <mc:AlternateContent>
          <mc:Choice Requires="wps">
            <w:drawing>
              <wp:anchor distT="0" distB="0" distL="114300" distR="114300" simplePos="0" relativeHeight="251674624" behindDoc="0" locked="0" layoutInCell="1" allowOverlap="1" wp14:anchorId="7E81665B" wp14:editId="5188875A">
                <wp:simplePos x="0" y="0"/>
                <wp:positionH relativeFrom="column">
                  <wp:posOffset>433387</wp:posOffset>
                </wp:positionH>
                <wp:positionV relativeFrom="paragraph">
                  <wp:posOffset>32703</wp:posOffset>
                </wp:positionV>
                <wp:extent cx="109537" cy="104775"/>
                <wp:effectExtent l="19050" t="19050" r="43180" b="28575"/>
                <wp:wrapNone/>
                <wp:docPr id="1086559761" name="Arrow: Up 8" descr="up arrow"/>
                <wp:cNvGraphicFramePr/>
                <a:graphic xmlns:a="http://schemas.openxmlformats.org/drawingml/2006/main">
                  <a:graphicData uri="http://schemas.microsoft.com/office/word/2010/wordprocessingShape">
                    <wps:wsp>
                      <wps:cNvSpPr/>
                      <wps:spPr>
                        <a:xfrm>
                          <a:off x="0" y="0"/>
                          <a:ext cx="109537" cy="104775"/>
                        </a:xfrm>
                        <a:prstGeom prs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C755C6" id="Arrow: Up 8" o:spid="_x0000_s1026" type="#_x0000_t68" alt="up arrow" style="position:absolute;margin-left:34.1pt;margin-top:2.6pt;width:8.6pt;height: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" adj="10800" fillcolor="#156082 [3204]" strokecolor="#030e13 [484]" strokeweight="1pt"/>
            </w:pict>
          </mc:Fallback>
        </mc:AlternateContent>
      </w:r>
      <w:r w:rsidR="00A95407" w:rsidRPr="00425028">
        <w:t xml:space="preserve"> </w:t>
      </w:r>
      <w:r>
        <w:t xml:space="preserve">   </w:t>
      </w:r>
      <w:r w:rsidR="00A95407" w:rsidRPr="00425028">
        <w:t>&lt;1% $320 per week in the North</w:t>
      </w:r>
    </w:p>
    <w:p w14:paraId="48E66CE9" w14:textId="77777777" w:rsidR="00A95407" w:rsidRPr="00425028" w:rsidRDefault="00A95407" w:rsidP="00B71E6B"/>
    <w:p w14:paraId="4AED0594" w14:textId="77777777" w:rsidR="00A95407" w:rsidRPr="00425028" w:rsidRDefault="00A95407" w:rsidP="00B71E6B">
      <w:r w:rsidRPr="00425028">
        <w:rPr>
          <w:noProof/>
          <w:lang w:val="en-US"/>
        </w:rPr>
        <w:drawing>
          <wp:anchor distT="0" distB="0" distL="114300" distR="114300" simplePos="0" relativeHeight="251663360" behindDoc="1" locked="0" layoutInCell="1" allowOverlap="1" wp14:anchorId="7C94E5E2" wp14:editId="77440E8D">
            <wp:simplePos x="0" y="0"/>
            <wp:positionH relativeFrom="margin">
              <wp:align>left</wp:align>
            </wp:positionH>
            <wp:positionV relativeFrom="paragraph">
              <wp:posOffset>0</wp:posOffset>
            </wp:positionV>
            <wp:extent cx="1130300" cy="1130300"/>
            <wp:effectExtent l="0" t="0" r="0" b="0"/>
            <wp:wrapSquare wrapText="bothSides"/>
            <wp:docPr id="1080848708" name="Graphic 3" descr="Man with ki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848708" name="Graphic 3" descr="Man with kid with solid fill"/>
                    <pic:cNvPicPr/>
                  </pic:nvPicPr>
                  <pic:blipFill>
                    <a:blip r:embed="rId26">
                      <a:extLst>
                        <a:ext uri="{96DAC541-7B7A-43D3-8B79-37D633B846F1}">
                          <asvg:svgBlip xmlns:asvg="http://schemas.microsoft.com/office/drawing/2016/SVG/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7"/>
                        </a:ext>
                      </a:extLst>
                    </a:blip>
                    <a:stretch>
                      <a:fillRect/>
                    </a:stretch>
                  </pic:blipFill>
                  <pic:spPr>
                    <a:xfrm>
                      <a:off x="0" y="0"/>
                      <a:ext cx="1130300" cy="1130300"/>
                    </a:xfrm>
                    <a:prstGeom prst="rect">
                      <a:avLst/>
                    </a:prstGeom>
                  </pic:spPr>
                </pic:pic>
              </a:graphicData>
            </a:graphic>
            <wp14:sizeRelH relativeFrom="margin">
              <wp14:pctWidth>0</wp14:pctWidth>
            </wp14:sizeRelH>
            <wp14:sizeRelV relativeFrom="margin">
              <wp14:pctHeight>0</wp14:pctHeight>
            </wp14:sizeRelV>
          </wp:anchor>
        </w:drawing>
      </w:r>
      <w:r w:rsidRPr="00425028">
        <w:t xml:space="preserve">A single parent with one child needs a two-bedroom home. </w:t>
      </w:r>
    </w:p>
    <w:p w14:paraId="01FBDDEE" w14:textId="20216DA4" w:rsidR="00A95407" w:rsidRPr="00425028" w:rsidRDefault="00A95407" w:rsidP="00B71E6B">
      <w:r w:rsidRPr="00425028">
        <w:t xml:space="preserve">On </w:t>
      </w:r>
      <w:r w:rsidR="00664166">
        <w:t>S</w:t>
      </w:r>
      <w:r w:rsidRPr="00425028">
        <w:t xml:space="preserve">napshot weekend, 201 one-bedroom properties were advertised statewide with 92 in the South, 79 in the North and 30 in the North West. </w:t>
      </w:r>
    </w:p>
    <w:p w14:paraId="367D9ACD" w14:textId="77777777" w:rsidR="00A95407" w:rsidRPr="00425028" w:rsidRDefault="00A95407" w:rsidP="00B71E6B"/>
    <w:p w14:paraId="0BA86BD1" w14:textId="77777777" w:rsidR="00A95407" w:rsidRPr="00425028" w:rsidRDefault="00A95407" w:rsidP="00B71E6B">
      <w:r w:rsidRPr="00425028">
        <w:t>Statewide, the median weekly rent for a two-bedroom property was $450, which was:</w:t>
      </w:r>
    </w:p>
    <w:p w14:paraId="573CE407" w14:textId="77777777" w:rsidR="00A95407" w:rsidRPr="00425028" w:rsidRDefault="00A95407" w:rsidP="00B71E6B">
      <w:pPr>
        <w:pStyle w:val="ListParagraph"/>
        <w:numPr>
          <w:ilvl w:val="0"/>
          <w:numId w:val="3"/>
        </w:numPr>
      </w:pPr>
      <w:r w:rsidRPr="00425028">
        <w:t>7% higher than was reported for the March quarter 2024</w:t>
      </w:r>
      <w:r w:rsidRPr="00425028">
        <w:rPr>
          <w:rStyle w:val="FootnoteReference"/>
        </w:rPr>
        <w:footnoteReference w:id="23"/>
      </w:r>
    </w:p>
    <w:p w14:paraId="5604B5BC" w14:textId="0B7E8DE7" w:rsidR="00A95407" w:rsidRPr="00425028" w:rsidRDefault="00A95407" w:rsidP="00B71E6B">
      <w:pPr>
        <w:pStyle w:val="ListParagraph"/>
        <w:numPr>
          <w:ilvl w:val="0"/>
          <w:numId w:val="3"/>
        </w:numPr>
      </w:pPr>
      <w:r w:rsidRPr="00425028">
        <w:t xml:space="preserve">1.8 times the amount a single parent </w:t>
      </w:r>
      <w:r w:rsidR="009B07CB" w:rsidRPr="00425028">
        <w:t xml:space="preserve">receiving </w:t>
      </w:r>
      <w:r w:rsidR="00780DE6" w:rsidRPr="00425028">
        <w:t>income support payments</w:t>
      </w:r>
      <w:r w:rsidR="009B07CB" w:rsidRPr="00425028">
        <w:t xml:space="preserve"> </w:t>
      </w:r>
      <w:r w:rsidRPr="00425028">
        <w:t>with one child can afford if the child is aged under 5</w:t>
      </w:r>
    </w:p>
    <w:p w14:paraId="0DBCDB4C" w14:textId="14D17E96" w:rsidR="00A95407" w:rsidRPr="00425028" w:rsidRDefault="00A95407" w:rsidP="00B71E6B">
      <w:pPr>
        <w:pStyle w:val="ListParagraph"/>
        <w:numPr>
          <w:ilvl w:val="0"/>
          <w:numId w:val="3"/>
        </w:numPr>
      </w:pPr>
      <w:r w:rsidRPr="00425028">
        <w:t>2 times the amount a single parent</w:t>
      </w:r>
      <w:r w:rsidR="009B07CB" w:rsidRPr="00425028">
        <w:t xml:space="preserve"> receiving </w:t>
      </w:r>
      <w:r w:rsidR="00780DE6" w:rsidRPr="00425028">
        <w:t>income support payments</w:t>
      </w:r>
      <w:r w:rsidRPr="00425028">
        <w:t xml:space="preserve"> with one child can afford if the child is 14 or older.</w:t>
      </w:r>
    </w:p>
    <w:p w14:paraId="2135989A" w14:textId="77777777" w:rsidR="00A95407" w:rsidRPr="00425028" w:rsidRDefault="00A95407" w:rsidP="00B71E6B">
      <w:r w:rsidRPr="00425028">
        <w:t xml:space="preserve">Rents for the most affordable 25% of properties advertised were between $210 and $390 per week. </w:t>
      </w:r>
    </w:p>
    <w:p w14:paraId="202C02F2" w14:textId="5699C84D" w:rsidR="00A95407" w:rsidRPr="00425028" w:rsidRDefault="00A95407" w:rsidP="00B71E6B">
      <w:r w:rsidRPr="00425028">
        <w:t>Compared to the March quarter 2024, median rents for two-bedroom properties:</w:t>
      </w:r>
    </w:p>
    <w:p w14:paraId="5379BDD4" w14:textId="6BE052C8" w:rsidR="00A95407" w:rsidRPr="00425028" w:rsidRDefault="00A03C15" w:rsidP="00B71E6B">
      <w:pPr>
        <w:pStyle w:val="ListParagraph"/>
        <w:numPr>
          <w:ilvl w:val="0"/>
          <w:numId w:val="1"/>
        </w:numPr>
      </w:pPr>
      <w:r>
        <w:rPr>
          <w:noProof/>
          <w:lang w:val="en-US"/>
        </w:rPr>
        <mc:AlternateContent>
          <mc:Choice Requires="wps">
            <w:drawing>
              <wp:anchor distT="0" distB="0" distL="114300" distR="114300" simplePos="0" relativeHeight="251664384" behindDoc="0" locked="0" layoutInCell="1" allowOverlap="1" wp14:anchorId="115B6BC4" wp14:editId="47125E98">
                <wp:simplePos x="0" y="0"/>
                <wp:positionH relativeFrom="column">
                  <wp:posOffset>395288</wp:posOffset>
                </wp:positionH>
                <wp:positionV relativeFrom="paragraph">
                  <wp:posOffset>28893</wp:posOffset>
                </wp:positionV>
                <wp:extent cx="109537" cy="104775"/>
                <wp:effectExtent l="19050" t="19050" r="43180" b="28575"/>
                <wp:wrapNone/>
                <wp:docPr id="508248012" name="Arrow: Up 8" descr="up arrow"/>
                <wp:cNvGraphicFramePr/>
                <a:graphic xmlns:a="http://schemas.openxmlformats.org/drawingml/2006/main">
                  <a:graphicData uri="http://schemas.microsoft.com/office/word/2010/wordprocessingShape">
                    <wps:wsp>
                      <wps:cNvSpPr/>
                      <wps:spPr>
                        <a:xfrm>
                          <a:off x="0" y="0"/>
                          <a:ext cx="109537" cy="104775"/>
                        </a:xfrm>
                        <a:prstGeom prs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5615A3" id="Arrow: Up 8" o:spid="_x0000_s1026" type="#_x0000_t68" alt="up arrow" style="position:absolute;margin-left:31.15pt;margin-top:2.3pt;width:8.6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" adj="10800" fillcolor="#156082 [3204]" strokecolor="#030e13 [484]" strokeweight="1pt"/>
            </w:pict>
          </mc:Fallback>
        </mc:AlternateContent>
      </w:r>
      <w:r w:rsidR="00A95407" w:rsidRPr="00425028">
        <w:t xml:space="preserve"> </w:t>
      </w:r>
      <w:r>
        <w:t xml:space="preserve"> </w:t>
      </w:r>
      <w:r w:rsidR="00A95407" w:rsidRPr="00425028">
        <w:t>15% to $355 per week in the North West</w:t>
      </w:r>
    </w:p>
    <w:p w14:paraId="00744589" w14:textId="7F22ADE2" w:rsidR="00A95407" w:rsidRPr="00425028" w:rsidRDefault="00A03C15" w:rsidP="00B71E6B">
      <w:pPr>
        <w:pStyle w:val="ListParagraph"/>
        <w:numPr>
          <w:ilvl w:val="0"/>
          <w:numId w:val="1"/>
        </w:numPr>
      </w:pPr>
      <w:r>
        <w:rPr>
          <w:noProof/>
          <w:lang w:val="en-US"/>
        </w:rPr>
        <mc:AlternateContent>
          <mc:Choice Requires="wps">
            <w:drawing>
              <wp:anchor distT="0" distB="0" distL="114300" distR="114300" simplePos="0" relativeHeight="251666432" behindDoc="0" locked="0" layoutInCell="1" allowOverlap="1" wp14:anchorId="676FFB1E" wp14:editId="1583333F">
                <wp:simplePos x="0" y="0"/>
                <wp:positionH relativeFrom="column">
                  <wp:posOffset>404495</wp:posOffset>
                </wp:positionH>
                <wp:positionV relativeFrom="paragraph">
                  <wp:posOffset>28257</wp:posOffset>
                </wp:positionV>
                <wp:extent cx="109537" cy="104775"/>
                <wp:effectExtent l="19050" t="19050" r="43180" b="28575"/>
                <wp:wrapNone/>
                <wp:docPr id="1442545016" name="Arrow: Up 8" descr="up arrow"/>
                <wp:cNvGraphicFramePr/>
                <a:graphic xmlns:a="http://schemas.openxmlformats.org/drawingml/2006/main">
                  <a:graphicData uri="http://schemas.microsoft.com/office/word/2010/wordprocessingShape">
                    <wps:wsp>
                      <wps:cNvSpPr/>
                      <wps:spPr>
                        <a:xfrm>
                          <a:off x="0" y="0"/>
                          <a:ext cx="109537" cy="104775"/>
                        </a:xfrm>
                        <a:prstGeom prs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C4AB1A" id="Arrow: Up 8" o:spid="_x0000_s1026" type="#_x0000_t68" alt="up arrow" style="position:absolute;margin-left:31.85pt;margin-top:2.2pt;width:8.6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" adj="10800" fillcolor="#156082 [3204]" strokecolor="#030e13 [484]" strokeweight="1pt"/>
            </w:pict>
          </mc:Fallback>
        </mc:AlternateContent>
      </w:r>
      <w:r w:rsidR="00A95407" w:rsidRPr="00425028">
        <w:t xml:space="preserve">  </w:t>
      </w:r>
      <w:r>
        <w:t xml:space="preserve"> </w:t>
      </w:r>
      <w:r w:rsidR="00A95407" w:rsidRPr="00425028">
        <w:t>8% to $430 per week in the North</w:t>
      </w:r>
    </w:p>
    <w:p w14:paraId="079C523E" w14:textId="22829C87" w:rsidR="00A95407" w:rsidRPr="00425028" w:rsidRDefault="00A03C15" w:rsidP="00B71E6B">
      <w:pPr>
        <w:pStyle w:val="ListParagraph"/>
        <w:numPr>
          <w:ilvl w:val="0"/>
          <w:numId w:val="1"/>
        </w:numPr>
      </w:pPr>
      <w:r>
        <w:rPr>
          <w:noProof/>
          <w:lang w:val="en-US"/>
        </w:rPr>
        <mc:AlternateContent>
          <mc:Choice Requires="wps">
            <w:drawing>
              <wp:anchor distT="0" distB="0" distL="114300" distR="114300" simplePos="0" relativeHeight="251668480" behindDoc="0" locked="0" layoutInCell="1" allowOverlap="1" wp14:anchorId="07179DAF" wp14:editId="19D2FA06">
                <wp:simplePos x="0" y="0"/>
                <wp:positionH relativeFrom="column">
                  <wp:posOffset>395288</wp:posOffset>
                </wp:positionH>
                <wp:positionV relativeFrom="paragraph">
                  <wp:posOffset>28575</wp:posOffset>
                </wp:positionV>
                <wp:extent cx="109537" cy="104775"/>
                <wp:effectExtent l="19050" t="19050" r="43180" b="28575"/>
                <wp:wrapNone/>
                <wp:docPr id="1601143123" name="Arrow: Up 8" descr="up arrow"/>
                <wp:cNvGraphicFramePr/>
                <a:graphic xmlns:a="http://schemas.openxmlformats.org/drawingml/2006/main">
                  <a:graphicData uri="http://schemas.microsoft.com/office/word/2010/wordprocessingShape">
                    <wps:wsp>
                      <wps:cNvSpPr/>
                      <wps:spPr>
                        <a:xfrm>
                          <a:off x="0" y="0"/>
                          <a:ext cx="109537" cy="104775"/>
                        </a:xfrm>
                        <a:prstGeom prs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82755B" id="Arrow: Up 8" o:spid="_x0000_s1026" type="#_x0000_t68" alt="up arrow" style="position:absolute;margin-left:31.15pt;margin-top:2.25pt;width:8.6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" adj="10800" fillcolor="#156082 [3204]" strokecolor="#030e13 [484]" strokeweight="1pt"/>
            </w:pict>
          </mc:Fallback>
        </mc:AlternateContent>
      </w:r>
      <w:r w:rsidR="00A95407" w:rsidRPr="00425028">
        <w:t xml:space="preserve">  </w:t>
      </w:r>
      <w:r>
        <w:t xml:space="preserve"> </w:t>
      </w:r>
      <w:r w:rsidR="00A95407" w:rsidRPr="00425028">
        <w:t>7% to $480 per week in the South</w:t>
      </w:r>
    </w:p>
    <w:p w14:paraId="130BD437" w14:textId="77777777" w:rsidR="00A95407" w:rsidRPr="00425028" w:rsidRDefault="00A95407" w:rsidP="00B71E6B">
      <w:r w:rsidRPr="00425028">
        <w:rPr>
          <w:noProof/>
          <w:lang w:val="en-US"/>
        </w:rPr>
        <w:drawing>
          <wp:anchor distT="0" distB="0" distL="114300" distR="114300" simplePos="0" relativeHeight="251653120" behindDoc="0" locked="0" layoutInCell="1" allowOverlap="1" wp14:anchorId="08EF3661" wp14:editId="1F474EBA">
            <wp:simplePos x="0" y="0"/>
            <wp:positionH relativeFrom="margin">
              <wp:align>left</wp:align>
            </wp:positionH>
            <wp:positionV relativeFrom="paragraph">
              <wp:posOffset>285115</wp:posOffset>
            </wp:positionV>
            <wp:extent cx="1075055" cy="1188085"/>
            <wp:effectExtent l="0" t="0" r="0" b="0"/>
            <wp:wrapSquare wrapText="bothSides"/>
            <wp:docPr id="2126551745" name="Picture 1">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551745" name="Picture 1">
                      <a:extLst>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28">
                      <a:extLst>
                        <a:ext uri="{28A0092B-C50C-407E-A947-70E740481C1C}">
                          <a14:useLocalDpi xmlns:a14="http://schemas.microsoft.com/office/drawing/2010/main" val="0"/>
                        </a:ext>
                      </a:extLst>
                    </a:blip>
                    <a:stretch>
                      <a:fillRect/>
                    </a:stretch>
                  </pic:blipFill>
                  <pic:spPr>
                    <a:xfrm>
                      <a:off x="0" y="0"/>
                      <a:ext cx="1081726" cy="1195785"/>
                    </a:xfrm>
                    <a:prstGeom prst="rect">
                      <a:avLst/>
                    </a:prstGeom>
                  </pic:spPr>
                </pic:pic>
              </a:graphicData>
            </a:graphic>
            <wp14:sizeRelH relativeFrom="margin">
              <wp14:pctWidth>0</wp14:pctWidth>
            </wp14:sizeRelH>
            <wp14:sizeRelV relativeFrom="margin">
              <wp14:pctHeight>0</wp14:pctHeight>
            </wp14:sizeRelV>
          </wp:anchor>
        </w:drawing>
      </w:r>
    </w:p>
    <w:p w14:paraId="47D91018" w14:textId="3C9BB695" w:rsidR="00A95407" w:rsidRPr="00425028" w:rsidRDefault="00A95407" w:rsidP="00B71E6B">
      <w:r w:rsidRPr="00425028">
        <w:t xml:space="preserve">A single parent with two children needs a three-bedroom dwelling. The </w:t>
      </w:r>
      <w:r w:rsidR="00664166">
        <w:t>S</w:t>
      </w:r>
      <w:r w:rsidRPr="00425028">
        <w:t>napshot considers two-child families with one child aged under 5 years and a second aged under 10.</w:t>
      </w:r>
    </w:p>
    <w:p w14:paraId="6D4B3D33" w14:textId="069A6B82" w:rsidR="00A95407" w:rsidRPr="00425028" w:rsidRDefault="00A95407" w:rsidP="00B71E6B">
      <w:r w:rsidRPr="00425028">
        <w:t xml:space="preserve">On </w:t>
      </w:r>
      <w:r w:rsidR="00664166">
        <w:t>S</w:t>
      </w:r>
      <w:r w:rsidRPr="00425028">
        <w:t>napshot weekend, 3</w:t>
      </w:r>
      <w:r w:rsidR="005658C4" w:rsidRPr="00425028">
        <w:t>14</w:t>
      </w:r>
      <w:r w:rsidRPr="00425028">
        <w:t xml:space="preserve"> </w:t>
      </w:r>
      <w:r w:rsidR="00A918A3" w:rsidRPr="00425028">
        <w:t>three</w:t>
      </w:r>
      <w:r w:rsidRPr="00425028">
        <w:t>-bedroom properties were advertised statewide with 16</w:t>
      </w:r>
      <w:r w:rsidR="00246AD8" w:rsidRPr="00425028">
        <w:t>0</w:t>
      </w:r>
      <w:r w:rsidRPr="00425028">
        <w:t xml:space="preserve"> in the South, 10</w:t>
      </w:r>
      <w:r w:rsidR="00246AD8" w:rsidRPr="00425028">
        <w:t>1</w:t>
      </w:r>
      <w:r w:rsidRPr="00425028">
        <w:t xml:space="preserve"> in the North and </w:t>
      </w:r>
      <w:r w:rsidR="00246AD8" w:rsidRPr="00425028">
        <w:t xml:space="preserve">53 </w:t>
      </w:r>
      <w:r w:rsidRPr="00425028">
        <w:t xml:space="preserve">in the North West. </w:t>
      </w:r>
    </w:p>
    <w:p w14:paraId="7A77B2D4" w14:textId="56993418" w:rsidR="00A95407" w:rsidRPr="00425028" w:rsidRDefault="00A95407" w:rsidP="00B71E6B">
      <w:r w:rsidRPr="00425028">
        <w:t>Statewide, the median weekly rent for a t</w:t>
      </w:r>
      <w:r w:rsidR="00E7344F" w:rsidRPr="00425028">
        <w:t>hree</w:t>
      </w:r>
      <w:r w:rsidRPr="00425028">
        <w:t>-bedroom property was $520, which is:</w:t>
      </w:r>
    </w:p>
    <w:p w14:paraId="5D145F08" w14:textId="77777777" w:rsidR="00A95407" w:rsidRPr="00425028" w:rsidRDefault="00A95407" w:rsidP="00B71E6B">
      <w:pPr>
        <w:pStyle w:val="ListParagraph"/>
        <w:numPr>
          <w:ilvl w:val="0"/>
          <w:numId w:val="3"/>
        </w:numPr>
      </w:pPr>
      <w:r w:rsidRPr="00425028">
        <w:t>4% higher than was reported for the March quarter 2024</w:t>
      </w:r>
      <w:r w:rsidRPr="00425028">
        <w:rPr>
          <w:rStyle w:val="FootnoteReference"/>
        </w:rPr>
        <w:footnoteReference w:id="24"/>
      </w:r>
    </w:p>
    <w:p w14:paraId="718EA506" w14:textId="77777777" w:rsidR="00A95407" w:rsidRPr="00425028" w:rsidRDefault="00A95407" w:rsidP="00B71E6B">
      <w:pPr>
        <w:pStyle w:val="ListParagraph"/>
        <w:numPr>
          <w:ilvl w:val="0"/>
          <w:numId w:val="3"/>
        </w:numPr>
      </w:pPr>
      <w:r w:rsidRPr="00425028">
        <w:t>1.8 times the rent a single parent with 2 children can afford if they rely on income support payments</w:t>
      </w:r>
    </w:p>
    <w:p w14:paraId="085DBF55" w14:textId="77777777" w:rsidR="00A95407" w:rsidRPr="00425028" w:rsidRDefault="00A95407" w:rsidP="00B71E6B">
      <w:pPr>
        <w:pStyle w:val="ListParagraph"/>
        <w:numPr>
          <w:ilvl w:val="0"/>
          <w:numId w:val="3"/>
        </w:numPr>
      </w:pPr>
      <w:r w:rsidRPr="00425028">
        <w:t>1.2 times the rent a single parent with 2 children can afford if they work for the minimum wage.</w:t>
      </w:r>
    </w:p>
    <w:p w14:paraId="0F81E5F1" w14:textId="77777777" w:rsidR="00A95407" w:rsidRPr="00425028" w:rsidRDefault="00A95407" w:rsidP="00B71E6B">
      <w:r w:rsidRPr="00425028">
        <w:t xml:space="preserve">The most affordable 25% of properties advertised were between $270 and $460 per week. </w:t>
      </w:r>
    </w:p>
    <w:p w14:paraId="055EFBA9" w14:textId="35A32DA3" w:rsidR="00A95407" w:rsidRPr="00425028" w:rsidRDefault="00A95407" w:rsidP="00B71E6B">
      <w:r w:rsidRPr="00425028">
        <w:t>Compared to the March quarter 2024, median rents for three-bedroom properties</w:t>
      </w:r>
      <w:r w:rsidR="00BC14D8" w:rsidRPr="00425028">
        <w:t xml:space="preserve"> are</w:t>
      </w:r>
      <w:r w:rsidRPr="00425028">
        <w:t>:</w:t>
      </w:r>
    </w:p>
    <w:p w14:paraId="27E94336" w14:textId="501AA9B8" w:rsidR="00A95407" w:rsidRPr="00425028" w:rsidRDefault="00A03C15" w:rsidP="00B71E6B">
      <w:pPr>
        <w:pStyle w:val="ListParagraph"/>
        <w:numPr>
          <w:ilvl w:val="0"/>
          <w:numId w:val="1"/>
        </w:numPr>
      </w:pPr>
      <w:r>
        <w:rPr>
          <w:noProof/>
          <w:lang w:val="en-US"/>
        </w:rPr>
        <mc:AlternateContent>
          <mc:Choice Requires="wps">
            <w:drawing>
              <wp:anchor distT="0" distB="0" distL="114300" distR="114300" simplePos="0" relativeHeight="251670528" behindDoc="0" locked="0" layoutInCell="1" allowOverlap="1" wp14:anchorId="07DB0B91" wp14:editId="6EF182C4">
                <wp:simplePos x="0" y="0"/>
                <wp:positionH relativeFrom="column">
                  <wp:posOffset>357187</wp:posOffset>
                </wp:positionH>
                <wp:positionV relativeFrom="paragraph">
                  <wp:posOffset>23813</wp:posOffset>
                </wp:positionV>
                <wp:extent cx="109537" cy="104775"/>
                <wp:effectExtent l="19050" t="19050" r="43180" b="28575"/>
                <wp:wrapNone/>
                <wp:docPr id="1681310746" name="Arrow: Up 8" descr="up arrow"/>
                <wp:cNvGraphicFramePr/>
                <a:graphic xmlns:a="http://schemas.openxmlformats.org/drawingml/2006/main">
                  <a:graphicData uri="http://schemas.microsoft.com/office/word/2010/wordprocessingShape">
                    <wps:wsp>
                      <wps:cNvSpPr/>
                      <wps:spPr>
                        <a:xfrm>
                          <a:off x="0" y="0"/>
                          <a:ext cx="109537" cy="104775"/>
                        </a:xfrm>
                        <a:prstGeom prs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3D32B8" id="Arrow: Up 8" o:spid="_x0000_s1026" type="#_x0000_t68" alt="up arrow" style="position:absolute;margin-left:28.1pt;margin-top:1.9pt;width:8.6pt;height: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" adj="10800" fillcolor="#156082 [3204]" strokecolor="#030e13 [484]" strokeweight="1pt"/>
            </w:pict>
          </mc:Fallback>
        </mc:AlternateContent>
      </w:r>
      <w:r w:rsidR="00A95407" w:rsidRPr="00425028">
        <w:t xml:space="preserve"> 13% to $450 per week in the North West </w:t>
      </w:r>
    </w:p>
    <w:p w14:paraId="3AC426AA" w14:textId="37500A68" w:rsidR="00A95407" w:rsidRPr="00425028" w:rsidRDefault="00A03C15" w:rsidP="00B71E6B">
      <w:pPr>
        <w:pStyle w:val="ListParagraph"/>
        <w:numPr>
          <w:ilvl w:val="0"/>
          <w:numId w:val="1"/>
        </w:numPr>
      </w:pPr>
      <w:r>
        <w:rPr>
          <w:noProof/>
          <w:lang w:val="en-US"/>
        </w:rPr>
        <mc:AlternateContent>
          <mc:Choice Requires="wps">
            <w:drawing>
              <wp:anchor distT="0" distB="0" distL="114300" distR="114300" simplePos="0" relativeHeight="251672576" behindDoc="0" locked="0" layoutInCell="1" allowOverlap="1" wp14:anchorId="3B5941FA" wp14:editId="5D4D189F">
                <wp:simplePos x="0" y="0"/>
                <wp:positionH relativeFrom="column">
                  <wp:posOffset>352425</wp:posOffset>
                </wp:positionH>
                <wp:positionV relativeFrom="paragraph">
                  <wp:posOffset>19050</wp:posOffset>
                </wp:positionV>
                <wp:extent cx="109537" cy="104775"/>
                <wp:effectExtent l="19050" t="19050" r="43180" b="28575"/>
                <wp:wrapNone/>
                <wp:docPr id="926248332" name="Arrow: Up 8" descr="up arrow"/>
                <wp:cNvGraphicFramePr/>
                <a:graphic xmlns:a="http://schemas.openxmlformats.org/drawingml/2006/main">
                  <a:graphicData uri="http://schemas.microsoft.com/office/word/2010/wordprocessingShape">
                    <wps:wsp>
                      <wps:cNvSpPr/>
                      <wps:spPr>
                        <a:xfrm>
                          <a:off x="0" y="0"/>
                          <a:ext cx="109537" cy="104775"/>
                        </a:xfrm>
                        <a:prstGeom prs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9A1FF9" id="Arrow: Up 8" o:spid="_x0000_s1026" type="#_x0000_t68" alt="up arrow" style="position:absolute;margin-left:27.75pt;margin-top:1.5pt;width:8.6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" adj="10800" fillcolor="#156082 [3204]" strokecolor="#030e13 [484]" strokeweight="1pt"/>
            </w:pict>
          </mc:Fallback>
        </mc:AlternateContent>
      </w:r>
      <w:r>
        <w:t xml:space="preserve"> </w:t>
      </w:r>
      <w:r w:rsidR="00A95407" w:rsidRPr="00425028">
        <w:t xml:space="preserve">9% to $578 per week in the South </w:t>
      </w:r>
    </w:p>
    <w:p w14:paraId="120C1C81" w14:textId="54AC1048" w:rsidR="00A95407" w:rsidRPr="00425028" w:rsidRDefault="0003197E" w:rsidP="00B71E6B">
      <w:pPr>
        <w:pStyle w:val="ListParagraph"/>
        <w:numPr>
          <w:ilvl w:val="0"/>
          <w:numId w:val="1"/>
        </w:numPr>
      </w:pPr>
      <w:r w:rsidRPr="00425028">
        <w:rPr>
          <w:rFonts w:eastAsia="Wingdings" w:cs="Wingdings"/>
        </w:rPr>
        <w:t>unchanged at</w:t>
      </w:r>
      <w:r w:rsidR="00A95407" w:rsidRPr="00425028">
        <w:t xml:space="preserve"> $48</w:t>
      </w:r>
      <w:r w:rsidRPr="00425028">
        <w:t>0</w:t>
      </w:r>
      <w:r w:rsidR="00A95407" w:rsidRPr="00425028">
        <w:t xml:space="preserve"> per week in the North    </w:t>
      </w:r>
    </w:p>
    <w:p w14:paraId="75AE450C" w14:textId="77777777" w:rsidR="00A95407" w:rsidRPr="00425028" w:rsidRDefault="00A95407" w:rsidP="00B71E6B">
      <w:r w:rsidRPr="00425028">
        <w:t xml:space="preserve">            </w:t>
      </w:r>
    </w:p>
    <w:p w14:paraId="399BC270" w14:textId="77777777" w:rsidR="00A95407" w:rsidRPr="00425028" w:rsidRDefault="00A95407" w:rsidP="00B71E6B"/>
    <w:p w14:paraId="6CC44725" w14:textId="6E50911C" w:rsidR="002E0CFE" w:rsidRPr="00425028" w:rsidRDefault="002E0CFE" w:rsidP="00B71E6B"/>
    <w:p w14:paraId="188598F6" w14:textId="77777777" w:rsidR="00276949" w:rsidRDefault="00276949">
      <w:pPr>
        <w:rPr>
          <w:rFonts w:eastAsiaTheme="majorEastAsia" w:cstheme="majorBidi"/>
          <w:color w:val="0F4761" w:themeColor="accent1" w:themeShade="BF"/>
          <w:sz w:val="32"/>
          <w:szCs w:val="32"/>
        </w:rPr>
      </w:pPr>
      <w:bookmarkStart w:id="53" w:name="_Toc195101871"/>
      <w:bookmarkStart w:id="54" w:name="_Toc196229003"/>
      <w:r>
        <w:br w:type="page"/>
      </w:r>
    </w:p>
    <w:p w14:paraId="564CE632" w14:textId="1418DA91" w:rsidR="00A95407" w:rsidRPr="00425028" w:rsidRDefault="00A95407" w:rsidP="00B71E6B">
      <w:pPr>
        <w:pStyle w:val="Heading2"/>
        <w:rPr>
          <w:rFonts w:ascii="Avenir Next LT Pro" w:hAnsi="Avenir Next LT Pro"/>
        </w:rPr>
      </w:pPr>
      <w:r w:rsidRPr="00425028">
        <w:rPr>
          <w:rFonts w:ascii="Avenir Next LT Pro" w:hAnsi="Avenir Next LT Pro"/>
        </w:rPr>
        <w:t>Where do people escaping domestic and family violence go if there are no affordable rental options?</w:t>
      </w:r>
      <w:bookmarkEnd w:id="53"/>
      <w:bookmarkEnd w:id="54"/>
    </w:p>
    <w:tbl>
      <w:tblPr>
        <w:tblStyle w:val="TableGrid"/>
        <w:tblW w:w="0" w:type="auto"/>
        <w:tblLook w:val="04A0" w:firstRow="1" w:lastRow="0" w:firstColumn="1" w:lastColumn="0" w:noHBand="0" w:noVBand="1"/>
      </w:tblPr>
      <w:tblGrid>
        <w:gridCol w:w="4508"/>
        <w:gridCol w:w="4508"/>
      </w:tblGrid>
      <w:tr w:rsidR="00A95407" w:rsidRPr="00425028" w14:paraId="28708E06" w14:textId="77777777" w:rsidTr="00F553AD">
        <w:tc>
          <w:tcPr>
            <w:tcW w:w="4508" w:type="dxa"/>
          </w:tcPr>
          <w:p w14:paraId="5F27EBEC" w14:textId="014D13C5" w:rsidR="00A95407" w:rsidRPr="00425028" w:rsidRDefault="00A95407" w:rsidP="00B71E6B">
            <w:r w:rsidRPr="00425028">
              <w:t xml:space="preserve">Move in with parents </w:t>
            </w:r>
          </w:p>
        </w:tc>
        <w:tc>
          <w:tcPr>
            <w:tcW w:w="4508" w:type="dxa"/>
          </w:tcPr>
          <w:p w14:paraId="19929BD2" w14:textId="21A86DC0" w:rsidR="00A95407" w:rsidRPr="00425028" w:rsidRDefault="00A95407" w:rsidP="00B71E6B">
            <w:r w:rsidRPr="00425028">
              <w:t xml:space="preserve">Rose </w:t>
            </w:r>
          </w:p>
        </w:tc>
      </w:tr>
      <w:tr w:rsidR="00A95407" w:rsidRPr="00425028" w14:paraId="2F71458B" w14:textId="77777777" w:rsidTr="00F553AD">
        <w:tc>
          <w:tcPr>
            <w:tcW w:w="4508" w:type="dxa"/>
          </w:tcPr>
          <w:p w14:paraId="010541A4" w14:textId="695DEB83" w:rsidR="00A95407" w:rsidRPr="00425028" w:rsidRDefault="00A95407" w:rsidP="00B71E6B">
            <w:r w:rsidRPr="00425028">
              <w:t xml:space="preserve">Go to a shelter </w:t>
            </w:r>
          </w:p>
        </w:tc>
        <w:tc>
          <w:tcPr>
            <w:tcW w:w="4508" w:type="dxa"/>
          </w:tcPr>
          <w:p w14:paraId="41B3F2AA" w14:textId="77777777" w:rsidR="00A95407" w:rsidRPr="00425028" w:rsidRDefault="00A95407" w:rsidP="00B71E6B">
            <w:r w:rsidRPr="00425028">
              <w:t>Michelle</w:t>
            </w:r>
          </w:p>
        </w:tc>
      </w:tr>
      <w:tr w:rsidR="00A95407" w:rsidRPr="00425028" w14:paraId="724C765A" w14:textId="77777777" w:rsidTr="00F553AD">
        <w:tc>
          <w:tcPr>
            <w:tcW w:w="4508" w:type="dxa"/>
          </w:tcPr>
          <w:p w14:paraId="2785A603" w14:textId="01E18536" w:rsidR="00A95407" w:rsidRPr="00425028" w:rsidRDefault="00A95407" w:rsidP="00B71E6B">
            <w:r w:rsidRPr="00425028">
              <w:t>Liv</w:t>
            </w:r>
            <w:r w:rsidR="008B705C" w:rsidRPr="00425028">
              <w:t>e</w:t>
            </w:r>
            <w:r w:rsidRPr="00425028">
              <w:t xml:space="preserve"> in a hotel</w:t>
            </w:r>
            <w:r w:rsidR="008B705C" w:rsidRPr="00425028">
              <w:t xml:space="preserve"> </w:t>
            </w:r>
          </w:p>
        </w:tc>
        <w:tc>
          <w:tcPr>
            <w:tcW w:w="4508" w:type="dxa"/>
          </w:tcPr>
          <w:p w14:paraId="4D3E83A0" w14:textId="77777777" w:rsidR="00A95407" w:rsidRPr="00425028" w:rsidRDefault="00A95407" w:rsidP="00B71E6B">
            <w:r w:rsidRPr="00425028">
              <w:t>Nadeesha</w:t>
            </w:r>
          </w:p>
        </w:tc>
      </w:tr>
      <w:tr w:rsidR="00A95407" w:rsidRPr="00425028" w14:paraId="7826A90F" w14:textId="77777777" w:rsidTr="00F553AD">
        <w:tc>
          <w:tcPr>
            <w:tcW w:w="4508" w:type="dxa"/>
          </w:tcPr>
          <w:p w14:paraId="7A6543BE" w14:textId="77777777" w:rsidR="00A95407" w:rsidRPr="00425028" w:rsidRDefault="00A95407" w:rsidP="00B71E6B">
            <w:r w:rsidRPr="00425028">
              <w:t>Stay with or return to the person using violence</w:t>
            </w:r>
          </w:p>
        </w:tc>
        <w:tc>
          <w:tcPr>
            <w:tcW w:w="4508" w:type="dxa"/>
          </w:tcPr>
          <w:p w14:paraId="19E4C357" w14:textId="2C75D718" w:rsidR="00A95407" w:rsidRPr="00425028" w:rsidRDefault="00A95407" w:rsidP="00B71E6B">
            <w:r w:rsidRPr="00425028">
              <w:t xml:space="preserve">Sam </w:t>
            </w:r>
          </w:p>
        </w:tc>
      </w:tr>
    </w:tbl>
    <w:p w14:paraId="7E309716" w14:textId="77777777" w:rsidR="00A95407" w:rsidRPr="00425028" w:rsidRDefault="00A95407" w:rsidP="00B71E6B"/>
    <w:p w14:paraId="292123E6" w14:textId="19FEE201" w:rsidR="00A95407" w:rsidRPr="00425028" w:rsidRDefault="003E327A" w:rsidP="00B71E6B">
      <w:r w:rsidRPr="00425028">
        <w:t>Living in o</w:t>
      </w:r>
      <w:r w:rsidR="004F7AC7" w:rsidRPr="00425028">
        <w:t>vercrowded</w:t>
      </w:r>
      <w:r w:rsidRPr="00425028">
        <w:t xml:space="preserve">, inadequate, or temporary </w:t>
      </w:r>
      <w:r w:rsidR="004F7AC7" w:rsidRPr="00425028">
        <w:t>dwellings</w:t>
      </w:r>
      <w:r w:rsidRPr="00425028">
        <w:t xml:space="preserve"> are considered</w:t>
      </w:r>
      <w:r w:rsidR="00BE05DA">
        <w:t xml:space="preserve"> </w:t>
      </w:r>
      <w:r w:rsidRPr="00425028">
        <w:t xml:space="preserve">forms of </w:t>
      </w:r>
      <w:r w:rsidR="00A95407" w:rsidRPr="00425028">
        <w:t>homelessness as defined by the ABS</w:t>
      </w:r>
      <w:r w:rsidR="00343516" w:rsidRPr="00425028">
        <w:t>.</w:t>
      </w:r>
      <w:r w:rsidR="00343516" w:rsidRPr="00425028">
        <w:rPr>
          <w:rStyle w:val="FootnoteReference"/>
        </w:rPr>
        <w:footnoteReference w:id="25"/>
      </w:r>
      <w:r w:rsidR="00FB2566">
        <w:t xml:space="preserve"> </w:t>
      </w:r>
      <w:r w:rsidR="00FB2566" w:rsidRPr="00FB2566">
        <w:t xml:space="preserve">When people leaving domestic and family violence cannot find an affordable rental, they are likely to experience a form of homelessness while waiting for affordable housing options, </w:t>
      </w:r>
      <w:r w:rsidR="00DD723A">
        <w:t>such as</w:t>
      </w:r>
      <w:r w:rsidR="00FB2566" w:rsidRPr="00FB2566">
        <w:t xml:space="preserve"> social housing.</w:t>
      </w:r>
    </w:p>
    <w:p w14:paraId="6334E630" w14:textId="77777777" w:rsidR="00E50390" w:rsidRPr="00425028" w:rsidRDefault="00E50390">
      <w:pPr>
        <w:rPr>
          <w:rFonts w:eastAsiaTheme="majorEastAsia" w:cstheme="majorBidi"/>
          <w:color w:val="0F4761" w:themeColor="accent1" w:themeShade="BF"/>
          <w:sz w:val="40"/>
          <w:szCs w:val="40"/>
        </w:rPr>
      </w:pPr>
      <w:r w:rsidRPr="00425028">
        <w:br w:type="page"/>
      </w:r>
    </w:p>
    <w:p w14:paraId="67836106" w14:textId="14F0568C" w:rsidR="001928F2" w:rsidRPr="00425028" w:rsidRDefault="2A02F176" w:rsidP="00B71E6B">
      <w:pPr>
        <w:pStyle w:val="Heading1"/>
        <w:rPr>
          <w:rFonts w:ascii="Avenir Next LT Pro" w:hAnsi="Avenir Next LT Pro"/>
        </w:rPr>
      </w:pPr>
      <w:bookmarkStart w:id="55" w:name="_Toc196229004"/>
      <w:r w:rsidRPr="00425028">
        <w:rPr>
          <w:rFonts w:ascii="Avenir Next LT Pro" w:hAnsi="Avenir Next LT Pro"/>
        </w:rPr>
        <w:t>What could be done</w:t>
      </w:r>
      <w:r w:rsidR="00C11CB6" w:rsidRPr="00425028">
        <w:rPr>
          <w:rFonts w:ascii="Avenir Next LT Pro" w:hAnsi="Avenir Next LT Pro"/>
        </w:rPr>
        <w:t xml:space="preserve"> to address the challenges for people on the lowest incomes?</w:t>
      </w:r>
      <w:bookmarkEnd w:id="55"/>
    </w:p>
    <w:p w14:paraId="3360D294" w14:textId="77777777" w:rsidR="00441FC0" w:rsidRPr="00425028" w:rsidRDefault="00B65793" w:rsidP="00B71E6B">
      <w:pPr>
        <w:pStyle w:val="IntenseQuote"/>
      </w:pPr>
      <w:r w:rsidRPr="00425028">
        <w:t>If we do not address the current challenges in Tasmania’s housing system, there will be prolonged adverse social and economic outcomes. The economy may be affected as industry will be less able to attract and retain staff because key workers will not be able to afford housing close to where they work. More people will experience housing stress as they are pushed out of the private rental market, creating more demand for housing and homelessness services.</w:t>
      </w:r>
      <w:r w:rsidRPr="00425028">
        <w:rPr>
          <w:rStyle w:val="FootnoteReference"/>
        </w:rPr>
        <w:footnoteReference w:id="26"/>
      </w:r>
      <w:r w:rsidRPr="00425028">
        <w:t xml:space="preserve"> </w:t>
      </w:r>
    </w:p>
    <w:p w14:paraId="449AB032" w14:textId="2EE94E8E" w:rsidR="00B65793" w:rsidRPr="00425028" w:rsidRDefault="00820892" w:rsidP="00B71E6B">
      <w:pPr>
        <w:pStyle w:val="IntenseQuote"/>
      </w:pPr>
      <w:r w:rsidRPr="00425028">
        <w:t>—</w:t>
      </w:r>
      <w:r w:rsidR="00B65793" w:rsidRPr="00425028">
        <w:t xml:space="preserve"> Tasmanian Housing Strategy 2023-2043</w:t>
      </w:r>
    </w:p>
    <w:p w14:paraId="13F64AE9" w14:textId="1A65415D" w:rsidR="00B37D50" w:rsidRPr="00425028" w:rsidRDefault="00B37D50" w:rsidP="00B71E6B">
      <w:r w:rsidRPr="00425028">
        <w:t xml:space="preserve">Low rental </w:t>
      </w:r>
      <w:r w:rsidR="00FF2933" w:rsidRPr="00425028">
        <w:t xml:space="preserve">availability and </w:t>
      </w:r>
      <w:r w:rsidRPr="00425028">
        <w:t>affordability has impacts</w:t>
      </w:r>
      <w:r w:rsidR="00FF2933" w:rsidRPr="00425028">
        <w:t xml:space="preserve"> across the housing system</w:t>
      </w:r>
      <w:r w:rsidRPr="00425028">
        <w:t>, including:</w:t>
      </w:r>
    </w:p>
    <w:p w14:paraId="667A6593" w14:textId="67F97E8F" w:rsidR="00B37D50" w:rsidRPr="00425028" w:rsidRDefault="005844B0" w:rsidP="00B71E6B">
      <w:pPr>
        <w:pStyle w:val="ListParagraph"/>
        <w:numPr>
          <w:ilvl w:val="0"/>
          <w:numId w:val="8"/>
        </w:numPr>
      </w:pPr>
      <w:r w:rsidRPr="00425028">
        <w:t>p</w:t>
      </w:r>
      <w:r w:rsidR="00B37D50" w:rsidRPr="00425028">
        <w:t xml:space="preserve">eople seeking to buy a home are renting longer, </w:t>
      </w:r>
      <w:r w:rsidR="006211B2" w:rsidRPr="00425028">
        <w:t>which increases the total number of people</w:t>
      </w:r>
      <w:r w:rsidR="00BF1CCB" w:rsidRPr="00425028">
        <w:t xml:space="preserve"> </w:t>
      </w:r>
      <w:r w:rsidR="006C776E" w:rsidRPr="00425028">
        <w:t>applying for</w:t>
      </w:r>
      <w:r w:rsidR="00DD41F1" w:rsidRPr="00425028">
        <w:t xml:space="preserve"> rental</w:t>
      </w:r>
      <w:r w:rsidR="006C776E" w:rsidRPr="00425028">
        <w:t xml:space="preserve"> properties</w:t>
      </w:r>
      <w:r w:rsidR="00B37D50" w:rsidRPr="00425028">
        <w:t xml:space="preserve"> </w:t>
      </w:r>
    </w:p>
    <w:p w14:paraId="0C10CCB6" w14:textId="69791D12" w:rsidR="00B37D50" w:rsidRPr="00425028" w:rsidRDefault="005844B0" w:rsidP="00B71E6B">
      <w:pPr>
        <w:pStyle w:val="ListParagraph"/>
        <w:numPr>
          <w:ilvl w:val="0"/>
          <w:numId w:val="8"/>
        </w:numPr>
      </w:pPr>
      <w:r w:rsidRPr="00425028">
        <w:t>m</w:t>
      </w:r>
      <w:r w:rsidR="00B37D50" w:rsidRPr="00425028">
        <w:t xml:space="preserve">ore people need to apply for social housing as they are priced out of the rental market </w:t>
      </w:r>
    </w:p>
    <w:p w14:paraId="3875F000" w14:textId="6D998DF9" w:rsidR="00B37D50" w:rsidRPr="00425028" w:rsidRDefault="005844B0" w:rsidP="00B71E6B">
      <w:pPr>
        <w:pStyle w:val="ListParagraph"/>
        <w:numPr>
          <w:ilvl w:val="0"/>
          <w:numId w:val="8"/>
        </w:numPr>
      </w:pPr>
      <w:r w:rsidRPr="00425028">
        <w:t>p</w:t>
      </w:r>
      <w:r w:rsidR="00B37D50" w:rsidRPr="00425028">
        <w:t xml:space="preserve">eople </w:t>
      </w:r>
      <w:r w:rsidR="0092728F">
        <w:t>are</w:t>
      </w:r>
      <w:r w:rsidR="00B37D50" w:rsidRPr="00425028">
        <w:t xml:space="preserve"> stuck in crisis or transitional accommodation longer as they can’t exit to an affordable rental (like Michelle and her family) </w:t>
      </w:r>
    </w:p>
    <w:p w14:paraId="56F63445" w14:textId="1F5F3C4A" w:rsidR="00B37D50" w:rsidRPr="00425028" w:rsidRDefault="000E4D1C" w:rsidP="00B71E6B">
      <w:pPr>
        <w:pStyle w:val="ListParagraph"/>
        <w:numPr>
          <w:ilvl w:val="0"/>
          <w:numId w:val="8"/>
        </w:numPr>
      </w:pPr>
      <w:r w:rsidRPr="00425028">
        <w:t>p</w:t>
      </w:r>
      <w:r w:rsidR="00B37D50" w:rsidRPr="00425028">
        <w:t xml:space="preserve">eople </w:t>
      </w:r>
      <w:r w:rsidRPr="00425028">
        <w:t>stay</w:t>
      </w:r>
      <w:r w:rsidR="00B37D50" w:rsidRPr="00425028">
        <w:t xml:space="preserve"> in hospital longer</w:t>
      </w:r>
      <w:r w:rsidR="0092728F">
        <w:t xml:space="preserve"> than they need</w:t>
      </w:r>
      <w:r w:rsidR="00B37D50" w:rsidRPr="00425028">
        <w:t xml:space="preserve"> (like Lance)</w:t>
      </w:r>
    </w:p>
    <w:p w14:paraId="4C3DFFF1" w14:textId="6E9E39E8" w:rsidR="00B37D50" w:rsidRPr="00425028" w:rsidRDefault="000E4D1C" w:rsidP="00B71E6B">
      <w:pPr>
        <w:pStyle w:val="ListParagraph"/>
        <w:numPr>
          <w:ilvl w:val="0"/>
          <w:numId w:val="8"/>
        </w:numPr>
      </w:pPr>
      <w:r w:rsidRPr="00425028">
        <w:t>p</w:t>
      </w:r>
      <w:r w:rsidR="00B37D50" w:rsidRPr="00425028">
        <w:t>eople exiting prison or other facilities may find nowhere to go</w:t>
      </w:r>
    </w:p>
    <w:p w14:paraId="7C2078D9" w14:textId="5AEDE89D" w:rsidR="00FF2933" w:rsidRPr="00425028" w:rsidRDefault="000E4D1C" w:rsidP="00B71E6B">
      <w:pPr>
        <w:pStyle w:val="ListParagraph"/>
        <w:numPr>
          <w:ilvl w:val="0"/>
          <w:numId w:val="8"/>
        </w:numPr>
      </w:pPr>
      <w:r w:rsidRPr="00425028">
        <w:t>p</w:t>
      </w:r>
      <w:r w:rsidR="00FF2933" w:rsidRPr="00425028">
        <w:t xml:space="preserve">eople </w:t>
      </w:r>
      <w:r w:rsidR="005844B0" w:rsidRPr="00425028">
        <w:t>struggl</w:t>
      </w:r>
      <w:r w:rsidR="0092728F">
        <w:t>e</w:t>
      </w:r>
      <w:r w:rsidR="00FF2933" w:rsidRPr="00425028">
        <w:t xml:space="preserve"> to leave domestic and family violence. </w:t>
      </w:r>
    </w:p>
    <w:p w14:paraId="127719EA" w14:textId="34FBC20F" w:rsidR="00C107BD" w:rsidRPr="00425028" w:rsidRDefault="00412D32" w:rsidP="00B71E6B">
      <w:r w:rsidRPr="00425028">
        <w:t xml:space="preserve">Fixing the housing system is a complex task. </w:t>
      </w:r>
      <w:r w:rsidR="00BA6EBD" w:rsidRPr="00425028">
        <w:t xml:space="preserve">A range of measures to </w:t>
      </w:r>
      <w:r w:rsidR="008E2D41" w:rsidRPr="00425028">
        <w:t xml:space="preserve">address housing affordability for people on low incomes are outlined below. </w:t>
      </w:r>
      <w:r w:rsidRPr="00425028">
        <w:t>T</w:t>
      </w:r>
      <w:r w:rsidR="00366A7F" w:rsidRPr="00425028">
        <w:t xml:space="preserve">he first two measures will have the greatest impact </w:t>
      </w:r>
      <w:r w:rsidR="008C204D" w:rsidRPr="00425028">
        <w:t xml:space="preserve">and </w:t>
      </w:r>
      <w:r w:rsidR="00BA74E8" w:rsidRPr="00425028">
        <w:t>must be</w:t>
      </w:r>
      <w:r w:rsidR="008C204D" w:rsidRPr="00425028">
        <w:t xml:space="preserve"> the highest priority </w:t>
      </w:r>
      <w:r w:rsidR="00D16BD4" w:rsidRPr="00425028">
        <w:t>to address housing affordability for people on low incomes.</w:t>
      </w:r>
      <w:r w:rsidR="005A27CD" w:rsidRPr="00425028">
        <w:t xml:space="preserve"> </w:t>
      </w:r>
    </w:p>
    <w:p w14:paraId="0E32C81A" w14:textId="2094AFE6" w:rsidR="0086694C" w:rsidRPr="00425028" w:rsidRDefault="0086694C" w:rsidP="00DC16DB">
      <w:pPr>
        <w:pStyle w:val="Heading2"/>
        <w:rPr>
          <w:rFonts w:ascii="Avenir Next LT Pro" w:hAnsi="Avenir Next LT Pro"/>
        </w:rPr>
      </w:pPr>
      <w:r w:rsidRPr="00425028">
        <w:rPr>
          <w:rFonts w:ascii="Avenir Next LT Pro" w:hAnsi="Avenir Next LT Pro"/>
        </w:rPr>
        <w:br w:type="page"/>
      </w:r>
      <w:bookmarkStart w:id="56" w:name="_Toc195101873"/>
      <w:bookmarkStart w:id="57" w:name="_Toc196229005"/>
      <w:r w:rsidR="0049610C" w:rsidRPr="00425028">
        <w:rPr>
          <w:rFonts w:ascii="Avenir Next LT Pro" w:hAnsi="Avenir Next LT Pro"/>
        </w:rPr>
        <w:t>Increas</w:t>
      </w:r>
      <w:r w:rsidR="0011225B" w:rsidRPr="00425028">
        <w:rPr>
          <w:rFonts w:ascii="Avenir Next LT Pro" w:hAnsi="Avenir Next LT Pro"/>
        </w:rPr>
        <w:t>e</w:t>
      </w:r>
      <w:r w:rsidRPr="00425028">
        <w:rPr>
          <w:rFonts w:ascii="Avenir Next LT Pro" w:hAnsi="Avenir Next LT Pro"/>
        </w:rPr>
        <w:t xml:space="preserve"> social housing </w:t>
      </w:r>
      <w:r w:rsidR="0049610C" w:rsidRPr="00425028">
        <w:rPr>
          <w:rFonts w:ascii="Avenir Next LT Pro" w:hAnsi="Avenir Next LT Pro"/>
        </w:rPr>
        <w:t>at scale</w:t>
      </w:r>
      <w:bookmarkEnd w:id="56"/>
      <w:bookmarkEnd w:id="57"/>
    </w:p>
    <w:p w14:paraId="5F5D70F5" w14:textId="23D39C37" w:rsidR="00614A68" w:rsidRPr="00425028" w:rsidRDefault="0086694C" w:rsidP="00B71E6B">
      <w:r w:rsidRPr="00425028">
        <w:t xml:space="preserve">Government investment in social housing has failed to keep up with demand. </w:t>
      </w:r>
      <w:r w:rsidR="003064C4" w:rsidRPr="00425028">
        <w:t>In</w:t>
      </w:r>
      <w:r w:rsidRPr="00425028">
        <w:t xml:space="preserve"> February 2025, there were 5043 applicants on the social housing register in Tasmania, </w:t>
      </w:r>
      <w:r w:rsidR="003064C4" w:rsidRPr="00425028">
        <w:t xml:space="preserve">increasing by </w:t>
      </w:r>
      <w:r w:rsidR="004358DE" w:rsidRPr="00425028">
        <w:t>7.2</w:t>
      </w:r>
      <w:r w:rsidR="003064C4" w:rsidRPr="00425028">
        <w:t xml:space="preserve">% from </w:t>
      </w:r>
      <w:r w:rsidR="004358DE" w:rsidRPr="00425028">
        <w:t>4705 in February 2024.</w:t>
      </w:r>
      <w:r w:rsidRPr="00425028">
        <w:rPr>
          <w:rStyle w:val="FootnoteReference"/>
        </w:rPr>
        <w:footnoteReference w:id="27"/>
      </w:r>
      <w:r w:rsidRPr="00425028" w:rsidDel="0086694C">
        <w:t xml:space="preserve"> </w:t>
      </w:r>
      <w:r w:rsidRPr="00425028">
        <w:t xml:space="preserve">Anglicare’s most recent </w:t>
      </w:r>
      <w:hyperlink r:id="rId29" w:history="1">
        <w:r w:rsidRPr="00425028">
          <w:rPr>
            <w:rStyle w:val="Hyperlink"/>
          </w:rPr>
          <w:t>Housing Connect Front Door Service Snapshot</w:t>
        </w:r>
      </w:hyperlink>
      <w:r w:rsidRPr="00425028">
        <w:t xml:space="preserve"> found that private renters were the largest group of people seeking housing support.</w:t>
      </w:r>
      <w:r w:rsidRPr="00425028">
        <w:rPr>
          <w:rStyle w:val="FootnoteReference"/>
        </w:rPr>
        <w:footnoteReference w:id="28"/>
      </w:r>
      <w:r w:rsidRPr="00425028">
        <w:t xml:space="preserve"> As people are unable to find available and affordable rentals, the demand for social housing grows.</w:t>
      </w:r>
    </w:p>
    <w:p w14:paraId="76106284" w14:textId="45048B5E" w:rsidR="0049610C" w:rsidRPr="00425028" w:rsidRDefault="00614A68" w:rsidP="00B71E6B">
      <w:r w:rsidRPr="00425028">
        <w:t xml:space="preserve">For people on the lowest incomes, the private rental market </w:t>
      </w:r>
      <w:r w:rsidR="00724F98" w:rsidRPr="00425028">
        <w:t>does</w:t>
      </w:r>
      <w:r w:rsidRPr="00425028">
        <w:t xml:space="preserve"> not provide secure, affordable housing</w:t>
      </w:r>
      <w:r w:rsidR="00724F98" w:rsidRPr="00425028">
        <w:t xml:space="preserve">. </w:t>
      </w:r>
    </w:p>
    <w:p w14:paraId="682D4408" w14:textId="7EEFE9E1" w:rsidR="009C47D0" w:rsidRPr="00425028" w:rsidRDefault="009C47D0" w:rsidP="00B71E6B">
      <w:pPr>
        <w:pStyle w:val="IntenseQuote"/>
      </w:pPr>
      <w:r w:rsidRPr="00425028">
        <w:t>Given the abject failure of the private market to provide affordable housing, it is past time for governments to invest in the development of social housing. This is the only way that every Australian can have a safe and secure place to call home.</w:t>
      </w:r>
      <w:r w:rsidR="008A47A3" w:rsidRPr="00425028">
        <w:rPr>
          <w:rStyle w:val="FootnoteReference"/>
        </w:rPr>
        <w:footnoteReference w:id="29"/>
      </w:r>
    </w:p>
    <w:p w14:paraId="79A325BE" w14:textId="5A13A168" w:rsidR="00B06D59" w:rsidRPr="00425028" w:rsidRDefault="007D466D" w:rsidP="00B71E6B">
      <w:r w:rsidRPr="00425028">
        <w:t xml:space="preserve">The supply of social housing must be proportionate to the number of people who need it. </w:t>
      </w:r>
      <w:r w:rsidR="00A05FC7" w:rsidRPr="00425028">
        <w:t xml:space="preserve">Insufficient social housing is an Australia-wide issue. However, in Tasmania, </w:t>
      </w:r>
      <w:r w:rsidR="009F30C7" w:rsidRPr="00425028">
        <w:t>the deficit in</w:t>
      </w:r>
      <w:r w:rsidR="00C3497A" w:rsidRPr="00425028">
        <w:t xml:space="preserve"> supply</w:t>
      </w:r>
      <w:r w:rsidR="00027340" w:rsidRPr="00425028">
        <w:t xml:space="preserve"> is </w:t>
      </w:r>
      <w:r w:rsidR="00732D16" w:rsidRPr="00425028">
        <w:t xml:space="preserve">even </w:t>
      </w:r>
      <w:r w:rsidR="009F30C7" w:rsidRPr="00425028">
        <w:t>greater</w:t>
      </w:r>
      <w:r w:rsidR="00732D16" w:rsidRPr="00425028">
        <w:t xml:space="preserve"> compared to need</w:t>
      </w:r>
      <w:r w:rsidR="00243FB3" w:rsidRPr="00425028">
        <w:t xml:space="preserve">. </w:t>
      </w:r>
    </w:p>
    <w:p w14:paraId="68064100" w14:textId="67F012A9" w:rsidR="00AE40B8" w:rsidRPr="00425028" w:rsidRDefault="002C234C" w:rsidP="00B71E6B">
      <w:pPr>
        <w:rPr>
          <w:rStyle w:val="Strong"/>
        </w:rPr>
      </w:pPr>
      <w:r w:rsidRPr="00425028">
        <w:rPr>
          <w:rStyle w:val="Strong"/>
        </w:rPr>
        <w:t>In Tasmania</w:t>
      </w:r>
      <w:r w:rsidR="00721286" w:rsidRPr="00425028">
        <w:rPr>
          <w:rStyle w:val="Strong"/>
        </w:rPr>
        <w:t xml:space="preserve">, there are </w:t>
      </w:r>
      <w:r w:rsidR="00374A7A" w:rsidRPr="00425028">
        <w:rPr>
          <w:rStyle w:val="Strong"/>
        </w:rPr>
        <w:t>only</w:t>
      </w:r>
      <w:r w:rsidR="00721286" w:rsidRPr="00425028">
        <w:rPr>
          <w:rStyle w:val="Strong"/>
        </w:rPr>
        <w:t xml:space="preserve"> 1333 social houses </w:t>
      </w:r>
      <w:r w:rsidR="00A05FC7" w:rsidRPr="00425028">
        <w:rPr>
          <w:rStyle w:val="Strong"/>
        </w:rPr>
        <w:t xml:space="preserve">per </w:t>
      </w:r>
      <w:r w:rsidR="00515F5F" w:rsidRPr="00425028">
        <w:rPr>
          <w:rStyle w:val="Strong"/>
        </w:rPr>
        <w:t>10,000 people in th</w:t>
      </w:r>
      <w:r w:rsidR="006328B6" w:rsidRPr="00425028">
        <w:rPr>
          <w:rStyle w:val="Strong"/>
        </w:rPr>
        <w:t xml:space="preserve">e </w:t>
      </w:r>
      <w:r w:rsidR="00366AE9" w:rsidRPr="00425028">
        <w:rPr>
          <w:rStyle w:val="Strong"/>
        </w:rPr>
        <w:t>most</w:t>
      </w:r>
      <w:r w:rsidR="0079362E" w:rsidRPr="00425028">
        <w:rPr>
          <w:rStyle w:val="Strong"/>
        </w:rPr>
        <w:t xml:space="preserve"> socioec</w:t>
      </w:r>
      <w:r w:rsidR="00994000" w:rsidRPr="00425028">
        <w:rPr>
          <w:rStyle w:val="Strong"/>
        </w:rPr>
        <w:t>o</w:t>
      </w:r>
      <w:r w:rsidR="0079362E" w:rsidRPr="00425028">
        <w:rPr>
          <w:rStyle w:val="Strong"/>
        </w:rPr>
        <w:t xml:space="preserve">nomically disadvantaged </w:t>
      </w:r>
      <w:r w:rsidR="00994000" w:rsidRPr="00425028">
        <w:rPr>
          <w:rStyle w:val="Strong"/>
        </w:rPr>
        <w:t>decile</w:t>
      </w:r>
      <w:r w:rsidR="006D08D0" w:rsidRPr="00425028">
        <w:rPr>
          <w:rStyle w:val="Strong"/>
        </w:rPr>
        <w:t xml:space="preserve">, </w:t>
      </w:r>
      <w:r w:rsidR="009B75CC" w:rsidRPr="00425028">
        <w:rPr>
          <w:rStyle w:val="Strong"/>
        </w:rPr>
        <w:t>14% fewer than</w:t>
      </w:r>
      <w:r w:rsidR="006D08D0" w:rsidRPr="00425028">
        <w:rPr>
          <w:rStyle w:val="Strong"/>
        </w:rPr>
        <w:t xml:space="preserve"> the national average of </w:t>
      </w:r>
      <w:r w:rsidR="005D59CB" w:rsidRPr="00425028">
        <w:rPr>
          <w:rStyle w:val="Strong"/>
        </w:rPr>
        <w:t>1544</w:t>
      </w:r>
      <w:r w:rsidR="008441BE" w:rsidRPr="00425028">
        <w:rPr>
          <w:rStyle w:val="Strong"/>
        </w:rPr>
        <w:t>.</w:t>
      </w:r>
      <w:r w:rsidR="00EA2A67" w:rsidRPr="00425028">
        <w:rPr>
          <w:rStyle w:val="FootnoteReference"/>
          <w:b/>
          <w:bCs/>
        </w:rPr>
        <w:footnoteReference w:id="30"/>
      </w:r>
    </w:p>
    <w:p w14:paraId="09C58CC6" w14:textId="2E13A78C" w:rsidR="00D3146B" w:rsidRPr="00425028" w:rsidRDefault="003A54B4" w:rsidP="00B71E6B">
      <w:r w:rsidRPr="00425028">
        <w:t xml:space="preserve">The Grattan Institute, which </w:t>
      </w:r>
      <w:r w:rsidR="006F0F5E" w:rsidRPr="00425028">
        <w:t xml:space="preserve">has </w:t>
      </w:r>
      <w:r w:rsidR="00A13BA8" w:rsidRPr="00425028">
        <w:t>championed a Social Housing Future Fund</w:t>
      </w:r>
      <w:r w:rsidR="008F06B6" w:rsidRPr="00425028">
        <w:t>,</w:t>
      </w:r>
      <w:r w:rsidR="00841C99" w:rsidRPr="00425028">
        <w:rPr>
          <w:rStyle w:val="FootnoteReference"/>
        </w:rPr>
        <w:footnoteReference w:id="31"/>
      </w:r>
      <w:r w:rsidR="008F06B6" w:rsidRPr="00425028">
        <w:t xml:space="preserve"> recommends </w:t>
      </w:r>
      <w:r w:rsidR="00D3146B" w:rsidRPr="00425028">
        <w:t xml:space="preserve">that the </w:t>
      </w:r>
      <w:r w:rsidR="00C4043D" w:rsidRPr="00425028">
        <w:t>F</w:t>
      </w:r>
      <w:r w:rsidR="00D3146B" w:rsidRPr="00425028">
        <w:t xml:space="preserve">ederal </w:t>
      </w:r>
      <w:r w:rsidR="00C4043D" w:rsidRPr="00425028">
        <w:t>G</w:t>
      </w:r>
      <w:r w:rsidR="00D3146B" w:rsidRPr="00425028">
        <w:t>overnment</w:t>
      </w:r>
      <w:r w:rsidR="00D4463D" w:rsidRPr="00425028">
        <w:t>:</w:t>
      </w:r>
    </w:p>
    <w:p w14:paraId="15B1811A" w14:textId="3A5F1271" w:rsidR="003A54B4" w:rsidRPr="00425028" w:rsidRDefault="00D3146B" w:rsidP="00B71E6B">
      <w:pPr>
        <w:pStyle w:val="IntenseQuote"/>
      </w:pPr>
      <w:r w:rsidRPr="00425028">
        <w:t>…triple</w:t>
      </w:r>
      <w:r w:rsidR="008F06B6" w:rsidRPr="00425028">
        <w:t xml:space="preserve"> the Housing Australia </w:t>
      </w:r>
      <w:r w:rsidR="00A12F38" w:rsidRPr="00425028">
        <w:t xml:space="preserve">Future Fund </w:t>
      </w:r>
      <w:r w:rsidRPr="00425028">
        <w:t xml:space="preserve">(the HAFF), from $10 billion </w:t>
      </w:r>
      <w:r w:rsidR="00AA0620" w:rsidRPr="00425028">
        <w:t xml:space="preserve">to </w:t>
      </w:r>
      <w:r w:rsidRPr="00425028">
        <w:t>$30 billion</w:t>
      </w:r>
      <w:r w:rsidR="0062763C" w:rsidRPr="00425028">
        <w:rPr>
          <w:rStyle w:val="FootnoteReference"/>
        </w:rPr>
        <w:footnoteReference w:id="32"/>
      </w:r>
    </w:p>
    <w:p w14:paraId="7C79AF5C" w14:textId="5849D641" w:rsidR="00E50390" w:rsidRPr="00425028" w:rsidRDefault="0086694C">
      <w:pPr>
        <w:rPr>
          <w:rFonts w:eastAsiaTheme="majorEastAsia" w:cstheme="majorBidi"/>
          <w:color w:val="0F4761" w:themeColor="accent1" w:themeShade="BF"/>
          <w:sz w:val="32"/>
          <w:szCs w:val="32"/>
        </w:rPr>
      </w:pPr>
      <w:r w:rsidRPr="00425028">
        <w:t xml:space="preserve">State and Federal Governments </w:t>
      </w:r>
      <w:r w:rsidR="00CC0D04" w:rsidRPr="00425028">
        <w:t xml:space="preserve">need </w:t>
      </w:r>
      <w:r w:rsidR="00153EE6">
        <w:t xml:space="preserve">to </w:t>
      </w:r>
      <w:r w:rsidR="004358DE" w:rsidRPr="00425028">
        <w:t xml:space="preserve">work together </w:t>
      </w:r>
      <w:r w:rsidRPr="00425028">
        <w:t xml:space="preserve">to increase the supply of social housing </w:t>
      </w:r>
      <w:r w:rsidR="00CC0D04" w:rsidRPr="00425028">
        <w:t xml:space="preserve">at </w:t>
      </w:r>
      <w:r w:rsidR="00B755D1" w:rsidRPr="00425028">
        <w:t>the scale needed</w:t>
      </w:r>
      <w:r w:rsidR="00472C4E" w:rsidRPr="00425028">
        <w:t>.</w:t>
      </w:r>
      <w:bookmarkStart w:id="58" w:name="_Toc195101874"/>
      <w:r w:rsidR="00E50390" w:rsidRPr="00425028">
        <w:br w:type="page"/>
      </w:r>
    </w:p>
    <w:p w14:paraId="31D4F0BE" w14:textId="7F6FBB84" w:rsidR="00667912" w:rsidRPr="00425028" w:rsidRDefault="2D64F6BC" w:rsidP="00B71E6B">
      <w:pPr>
        <w:pStyle w:val="Heading2"/>
        <w:rPr>
          <w:rFonts w:ascii="Avenir Next LT Pro" w:hAnsi="Avenir Next LT Pro"/>
        </w:rPr>
      </w:pPr>
      <w:bookmarkStart w:id="59" w:name="_Toc196229006"/>
      <w:r w:rsidRPr="00425028">
        <w:rPr>
          <w:rFonts w:ascii="Avenir Next LT Pro" w:hAnsi="Avenir Next LT Pro"/>
        </w:rPr>
        <w:t>Increase</w:t>
      </w:r>
      <w:r w:rsidR="00667912" w:rsidRPr="00425028">
        <w:rPr>
          <w:rFonts w:ascii="Avenir Next LT Pro" w:hAnsi="Avenir Next LT Pro"/>
        </w:rPr>
        <w:t xml:space="preserve"> income support payments</w:t>
      </w:r>
      <w:bookmarkEnd w:id="58"/>
      <w:bookmarkEnd w:id="59"/>
    </w:p>
    <w:p w14:paraId="7EE891AD" w14:textId="5232F852" w:rsidR="0004486B" w:rsidRPr="00425028" w:rsidRDefault="0029368D" w:rsidP="00B71E6B">
      <w:r w:rsidRPr="00425028">
        <w:t xml:space="preserve">People on the lowest incomes, relying on government payments as their main source of income, are largely unable to afford private rental housing. Payments must be raised above the poverty line. </w:t>
      </w:r>
      <w:r w:rsidR="0004486B" w:rsidRPr="00425028">
        <w:t>Anglicare Australia states that raising Jobseeker, Parenting Payment and Carer Payment to the poverty line would pull almost 2.3 million Australians out of poverty, including 840,000 children.</w:t>
      </w:r>
      <w:r w:rsidR="0004486B" w:rsidRPr="00425028">
        <w:rPr>
          <w:rStyle w:val="FootnoteReference"/>
        </w:rPr>
        <w:footnoteReference w:id="33"/>
      </w:r>
      <w:r w:rsidR="0004486B" w:rsidRPr="00425028">
        <w:t xml:space="preserve"> This must be a priority for the next Federal Government.</w:t>
      </w:r>
    </w:p>
    <w:p w14:paraId="37E75B0A" w14:textId="48413E43" w:rsidR="00D356D6" w:rsidRPr="00425028" w:rsidRDefault="0029368D" w:rsidP="00B71E6B">
      <w:r w:rsidRPr="00425028">
        <w:t xml:space="preserve">It is important that the increases </w:t>
      </w:r>
      <w:r w:rsidR="00FB2566">
        <w:t>to</w:t>
      </w:r>
      <w:r w:rsidRPr="00425028">
        <w:t xml:space="preserve"> support payments are accompanied by expansion in housing supply and a more sustainable vacancy rate</w:t>
      </w:r>
      <w:r w:rsidR="006227DE" w:rsidRPr="00425028">
        <w:t xml:space="preserve"> or</w:t>
      </w:r>
      <w:r w:rsidR="00B0357A" w:rsidRPr="00425028">
        <w:t xml:space="preserve"> there is a risk that</w:t>
      </w:r>
      <w:r w:rsidRPr="00425028">
        <w:t xml:space="preserve"> </w:t>
      </w:r>
      <w:r w:rsidR="00B0357A" w:rsidRPr="00425028">
        <w:t>rent increases will</w:t>
      </w:r>
      <w:r w:rsidRPr="00425028">
        <w:t xml:space="preserve"> absorb the </w:t>
      </w:r>
      <w:r w:rsidR="006227DE" w:rsidRPr="00425028">
        <w:t>increase to</w:t>
      </w:r>
      <w:r w:rsidRPr="00425028">
        <w:t xml:space="preserve"> payments.</w:t>
      </w:r>
    </w:p>
    <w:p w14:paraId="6E8B3FD7" w14:textId="57A55838" w:rsidR="003054B0" w:rsidRPr="00425028" w:rsidRDefault="002A75E3" w:rsidP="00B71E6B">
      <w:r w:rsidRPr="00425028">
        <w:t xml:space="preserve">The Grattan Institute recommends an increase to </w:t>
      </w:r>
      <w:r w:rsidR="0086694C" w:rsidRPr="00425028">
        <w:t xml:space="preserve">maximum rates of </w:t>
      </w:r>
      <w:r w:rsidRPr="00425028">
        <w:t>Commonwealth Rent Assistance</w:t>
      </w:r>
      <w:r w:rsidR="0065063E" w:rsidRPr="00425028">
        <w:t xml:space="preserve"> (CRA)</w:t>
      </w:r>
      <w:r w:rsidRPr="00425028">
        <w:t xml:space="preserve"> by 50 percent for singles and sharers, and 40 percent for couples.</w:t>
      </w:r>
      <w:r w:rsidR="00F1373D" w:rsidRPr="00425028">
        <w:rPr>
          <w:rStyle w:val="FootnoteReference"/>
        </w:rPr>
        <w:footnoteReference w:id="34"/>
      </w:r>
      <w:r w:rsidRPr="00425028">
        <w:t xml:space="preserve"> </w:t>
      </w:r>
      <w:r w:rsidR="0086694C" w:rsidRPr="00425028">
        <w:t>These changes would assist many people on low incomes</w:t>
      </w:r>
      <w:r w:rsidR="00D8432B" w:rsidRPr="00425028">
        <w:t>,</w:t>
      </w:r>
      <w:r w:rsidR="0086694C" w:rsidRPr="00425028">
        <w:t xml:space="preserve"> but would do little for people on the lowest incomes</w:t>
      </w:r>
      <w:r w:rsidR="00682728" w:rsidRPr="00425028">
        <w:t xml:space="preserve"> </w:t>
      </w:r>
      <w:r w:rsidR="007533F1" w:rsidRPr="00425028">
        <w:t>because</w:t>
      </w:r>
      <w:r w:rsidR="007B07AF" w:rsidRPr="00425028">
        <w:t xml:space="preserve"> </w:t>
      </w:r>
      <w:r w:rsidR="00682728" w:rsidRPr="00425028">
        <w:t xml:space="preserve">rents are beyond their budgets, even with </w:t>
      </w:r>
      <w:r w:rsidR="005303EB" w:rsidRPr="00425028">
        <w:t>CRA.</w:t>
      </w:r>
      <w:r w:rsidR="000A4DBA" w:rsidRPr="00425028">
        <w:t xml:space="preserve"> </w:t>
      </w:r>
      <w:r w:rsidR="178F5DC0" w:rsidRPr="00425028">
        <w:t>R</w:t>
      </w:r>
      <w:r w:rsidR="00F6121A" w:rsidRPr="00425028">
        <w:t xml:space="preserve">eforms </w:t>
      </w:r>
      <w:r w:rsidR="00E90950" w:rsidRPr="00425028">
        <w:t xml:space="preserve">to the CRA </w:t>
      </w:r>
      <w:r w:rsidR="009F0880" w:rsidRPr="00425028">
        <w:t>would be welcome</w:t>
      </w:r>
      <w:r w:rsidR="001C3686" w:rsidRPr="00425028">
        <w:t>;</w:t>
      </w:r>
      <w:r w:rsidR="00A645D3" w:rsidRPr="00425028">
        <w:t xml:space="preserve"> h</w:t>
      </w:r>
      <w:r w:rsidR="6DB57B89" w:rsidRPr="00425028">
        <w:t>owever,</w:t>
      </w:r>
      <w:r w:rsidR="009F0880" w:rsidRPr="00425028">
        <w:t xml:space="preserve"> they </w:t>
      </w:r>
      <w:r w:rsidR="00CC5171" w:rsidRPr="00425028">
        <w:t>are not a substitute for</w:t>
      </w:r>
      <w:r w:rsidR="002F4D14" w:rsidRPr="00425028">
        <w:t xml:space="preserve"> increases </w:t>
      </w:r>
      <w:r w:rsidR="00FB2566">
        <w:t>to</w:t>
      </w:r>
      <w:r w:rsidR="00A1301A" w:rsidRPr="00425028">
        <w:t xml:space="preserve"> income support payments</w:t>
      </w:r>
      <w:r w:rsidR="009F0880" w:rsidRPr="00425028">
        <w:t>. Any changes to the CRA</w:t>
      </w:r>
      <w:r w:rsidR="003F6CB4" w:rsidRPr="00425028">
        <w:t xml:space="preserve"> </w:t>
      </w:r>
      <w:r w:rsidR="003816F4" w:rsidRPr="00425028">
        <w:t>should aim to</w:t>
      </w:r>
      <w:r w:rsidR="003F6CB4" w:rsidRPr="00425028">
        <w:t xml:space="preserve"> ensur</w:t>
      </w:r>
      <w:r w:rsidR="33D58379" w:rsidRPr="00425028">
        <w:t>e</w:t>
      </w:r>
      <w:r w:rsidR="003F6CB4" w:rsidRPr="00425028">
        <w:t xml:space="preserve"> that </w:t>
      </w:r>
      <w:r w:rsidR="00DF221D" w:rsidRPr="00425028">
        <w:t>low income house</w:t>
      </w:r>
      <w:r w:rsidR="00FB2566">
        <w:t>hold</w:t>
      </w:r>
      <w:r w:rsidR="00DF221D" w:rsidRPr="00425028">
        <w:t xml:space="preserve"> </w:t>
      </w:r>
      <w:r w:rsidR="00D362F9" w:rsidRPr="00425028">
        <w:t>spend no more</w:t>
      </w:r>
      <w:r w:rsidR="00DF221D" w:rsidRPr="00425028">
        <w:t xml:space="preserve"> than 30% of their income </w:t>
      </w:r>
      <w:r w:rsidR="00A12E6B" w:rsidRPr="00425028">
        <w:t>on</w:t>
      </w:r>
      <w:r w:rsidR="00DF221D" w:rsidRPr="00425028">
        <w:t xml:space="preserve"> rent.</w:t>
      </w:r>
    </w:p>
    <w:p w14:paraId="67264257" w14:textId="4ABFCF9F" w:rsidR="00BB5A36" w:rsidRPr="00D87F53" w:rsidRDefault="004E5BD2" w:rsidP="00D87F53">
      <w:pPr>
        <w:pStyle w:val="Heading2"/>
        <w:rPr>
          <w:rFonts w:ascii="Avenir Next LT Pro" w:hAnsi="Avenir Next LT Pro"/>
        </w:rPr>
      </w:pPr>
      <w:bookmarkStart w:id="60" w:name="_Toc195101876"/>
      <w:bookmarkStart w:id="61" w:name="_Toc196229007"/>
      <w:r w:rsidRPr="00D87F53">
        <w:rPr>
          <w:rFonts w:ascii="Avenir Next LT Pro" w:hAnsi="Avenir Next LT Pro"/>
        </w:rPr>
        <w:t>Better homes for renters</w:t>
      </w:r>
      <w:bookmarkEnd w:id="60"/>
      <w:bookmarkEnd w:id="61"/>
    </w:p>
    <w:p w14:paraId="08A69066" w14:textId="533BBC78" w:rsidR="001F0C17" w:rsidRPr="00425028" w:rsidRDefault="00BB5A36" w:rsidP="00B71E6B">
      <w:r w:rsidRPr="00425028">
        <w:t xml:space="preserve">Renting for life is the norm for an increasing share of the population. </w:t>
      </w:r>
      <w:r w:rsidR="00FD75AB" w:rsidRPr="00425028">
        <w:t xml:space="preserve">Rental properties are people’s homes and </w:t>
      </w:r>
      <w:r w:rsidR="00A416C2" w:rsidRPr="00425028">
        <w:t xml:space="preserve">the housing stock and legislation </w:t>
      </w:r>
      <w:r w:rsidR="00496030" w:rsidRPr="00425028">
        <w:t>should</w:t>
      </w:r>
      <w:r w:rsidR="00A416C2" w:rsidRPr="00425028">
        <w:t xml:space="preserve"> support </w:t>
      </w:r>
      <w:r w:rsidR="005467AA" w:rsidRPr="00425028">
        <w:t>the</w:t>
      </w:r>
      <w:r w:rsidR="00A416C2" w:rsidRPr="00425028">
        <w:t xml:space="preserve"> standard of living we want for all Australians</w:t>
      </w:r>
      <w:r w:rsidR="00037428" w:rsidRPr="00425028">
        <w:t>. This requires ongoing work</w:t>
      </w:r>
      <w:r w:rsidR="001F0C17" w:rsidRPr="00425028">
        <w:t>, including:</w:t>
      </w:r>
      <w:r w:rsidR="00037428" w:rsidRPr="00425028">
        <w:t xml:space="preserve"> </w:t>
      </w:r>
    </w:p>
    <w:p w14:paraId="491740C1" w14:textId="7F2CB4BB" w:rsidR="00BB5A36" w:rsidRPr="00425028" w:rsidRDefault="00BB5A36" w:rsidP="00B71E6B">
      <w:pPr>
        <w:pStyle w:val="ListParagraph"/>
        <w:numPr>
          <w:ilvl w:val="0"/>
          <w:numId w:val="15"/>
        </w:numPr>
      </w:pPr>
      <w:r w:rsidRPr="00425028">
        <w:t>improv</w:t>
      </w:r>
      <w:r w:rsidR="001F0C17" w:rsidRPr="00425028">
        <w:t>ing</w:t>
      </w:r>
      <w:r w:rsidR="00037428" w:rsidRPr="00425028">
        <w:t xml:space="preserve"> t</w:t>
      </w:r>
      <w:r w:rsidR="001F0C17" w:rsidRPr="00425028">
        <w:t>h</w:t>
      </w:r>
      <w:r w:rsidR="00037428" w:rsidRPr="00425028">
        <w:t>e</w:t>
      </w:r>
      <w:r w:rsidRPr="00425028">
        <w:t xml:space="preserve"> energy efficiency of rental housing stock</w:t>
      </w:r>
      <w:r w:rsidR="001F0C17" w:rsidRPr="00425028">
        <w:t xml:space="preserve">, so </w:t>
      </w:r>
      <w:r w:rsidR="00ED0AA9" w:rsidRPr="00425028">
        <w:t xml:space="preserve">people </w:t>
      </w:r>
      <w:r w:rsidR="001F0C17" w:rsidRPr="00425028">
        <w:t>don’t pay more on their energy bills</w:t>
      </w:r>
      <w:r w:rsidR="00ED0AA9" w:rsidRPr="00425028">
        <w:t xml:space="preserve"> just because they are renting</w:t>
      </w:r>
    </w:p>
    <w:p w14:paraId="1C1BF95E" w14:textId="7147BAC8" w:rsidR="00BB5A36" w:rsidRPr="00425028" w:rsidRDefault="00BB5A36" w:rsidP="00B71E6B">
      <w:pPr>
        <w:pStyle w:val="ListParagraph"/>
        <w:numPr>
          <w:ilvl w:val="0"/>
          <w:numId w:val="14"/>
        </w:numPr>
      </w:pPr>
      <w:r w:rsidRPr="00425028">
        <w:t>improving the accessibility of rental housing stock</w:t>
      </w:r>
      <w:r w:rsidR="001F0C17" w:rsidRPr="00425028">
        <w:t xml:space="preserve">, so </w:t>
      </w:r>
      <w:r w:rsidR="004514B2" w:rsidRPr="00425028">
        <w:t>there are plenty of options for people who are ageing or who live with a disability</w:t>
      </w:r>
    </w:p>
    <w:p w14:paraId="13A9E10A" w14:textId="43F97492" w:rsidR="00DF07BB" w:rsidRPr="00425028" w:rsidRDefault="00BB5A36" w:rsidP="00B71E6B">
      <w:pPr>
        <w:pStyle w:val="ListParagraph"/>
        <w:numPr>
          <w:ilvl w:val="0"/>
          <w:numId w:val="14"/>
        </w:numPr>
      </w:pPr>
      <w:r w:rsidRPr="00425028">
        <w:t xml:space="preserve">reforming legislation to enable renters to make minor modifications </w:t>
      </w:r>
      <w:r w:rsidR="004514B2" w:rsidRPr="00425028">
        <w:t xml:space="preserve">so that renters </w:t>
      </w:r>
      <w:r w:rsidR="002E7809" w:rsidRPr="00425028">
        <w:t>can make their homes comfortable and safe</w:t>
      </w:r>
    </w:p>
    <w:p w14:paraId="31AF4CFD" w14:textId="3232ABE4" w:rsidR="45ECAB9C" w:rsidRPr="00425028" w:rsidRDefault="7C5A8553" w:rsidP="00B71E6B">
      <w:pPr>
        <w:pStyle w:val="ListParagraph"/>
        <w:numPr>
          <w:ilvl w:val="0"/>
          <w:numId w:val="14"/>
        </w:numPr>
      </w:pPr>
      <w:r w:rsidRPr="00425028">
        <w:t>measures to encourage long-term leases</w:t>
      </w:r>
    </w:p>
    <w:p w14:paraId="717FD22D" w14:textId="0A3AC1EE" w:rsidR="00BB5A36" w:rsidRPr="00425028" w:rsidRDefault="00BB5A36" w:rsidP="00B71E6B">
      <w:pPr>
        <w:pStyle w:val="ListParagraph"/>
        <w:numPr>
          <w:ilvl w:val="0"/>
          <w:numId w:val="14"/>
        </w:numPr>
      </w:pPr>
      <w:r w:rsidRPr="00425028">
        <w:t>reforming legislation to limit the frequency of rent increases</w:t>
      </w:r>
      <w:r w:rsidR="008158CC" w:rsidRPr="00425028">
        <w:t xml:space="preserve"> to enable renters to plan with greater certainty</w:t>
      </w:r>
      <w:r w:rsidR="00CE50EB" w:rsidRPr="00425028">
        <w:t>.</w:t>
      </w:r>
    </w:p>
    <w:p w14:paraId="319F2A13" w14:textId="77777777" w:rsidR="00E50390" w:rsidRPr="00425028" w:rsidRDefault="00E50390">
      <w:pPr>
        <w:rPr>
          <w:rFonts w:eastAsiaTheme="majorEastAsia" w:cstheme="majorBidi"/>
          <w:color w:val="0F4761" w:themeColor="accent1" w:themeShade="BF"/>
          <w:sz w:val="32"/>
          <w:szCs w:val="32"/>
        </w:rPr>
      </w:pPr>
      <w:bookmarkStart w:id="62" w:name="_Toc195101877"/>
      <w:r w:rsidRPr="00425028">
        <w:br w:type="page"/>
      </w:r>
    </w:p>
    <w:p w14:paraId="49E32EB9" w14:textId="48E5C40E" w:rsidR="00CA23B5" w:rsidRPr="00425028" w:rsidRDefault="003804B9" w:rsidP="00B71E6B">
      <w:pPr>
        <w:pStyle w:val="Heading2"/>
        <w:rPr>
          <w:rFonts w:ascii="Avenir Next LT Pro" w:hAnsi="Avenir Next LT Pro"/>
        </w:rPr>
      </w:pPr>
      <w:bookmarkStart w:id="63" w:name="_Toc196229008"/>
      <w:r w:rsidRPr="00425028">
        <w:rPr>
          <w:rFonts w:ascii="Avenir Next LT Pro" w:hAnsi="Avenir Next LT Pro"/>
        </w:rPr>
        <w:t xml:space="preserve">Change tax system incentives </w:t>
      </w:r>
      <w:r w:rsidR="003054B0" w:rsidRPr="00425028">
        <w:rPr>
          <w:rFonts w:ascii="Avenir Next LT Pro" w:hAnsi="Avenir Next LT Pro"/>
        </w:rPr>
        <w:t xml:space="preserve">to </w:t>
      </w:r>
      <w:r w:rsidR="00774CE1" w:rsidRPr="00425028">
        <w:rPr>
          <w:rFonts w:ascii="Avenir Next LT Pro" w:hAnsi="Avenir Next LT Pro"/>
        </w:rPr>
        <w:t>prioritise housing</w:t>
      </w:r>
      <w:bookmarkEnd w:id="62"/>
      <w:bookmarkEnd w:id="63"/>
    </w:p>
    <w:p w14:paraId="33EC4BE3" w14:textId="5E3D3264" w:rsidR="00774CE1" w:rsidRPr="00425028" w:rsidRDefault="00C50BD0" w:rsidP="00B71E6B">
      <w:r w:rsidRPr="00425028">
        <w:t xml:space="preserve">The primary purpose of </w:t>
      </w:r>
      <w:r w:rsidR="00FC6D00" w:rsidRPr="00425028">
        <w:t xml:space="preserve">our </w:t>
      </w:r>
      <w:r w:rsidRPr="00425028">
        <w:t xml:space="preserve">housing </w:t>
      </w:r>
      <w:r w:rsidR="00104957" w:rsidRPr="00425028">
        <w:t xml:space="preserve">system </w:t>
      </w:r>
      <w:r w:rsidR="00FC6D00" w:rsidRPr="00425028">
        <w:t>should be</w:t>
      </w:r>
      <w:r w:rsidRPr="00425028">
        <w:t xml:space="preserve"> to </w:t>
      </w:r>
      <w:r w:rsidR="00C63440" w:rsidRPr="00425028">
        <w:t>provide homes for people to live in</w:t>
      </w:r>
      <w:r w:rsidR="001A61E2" w:rsidRPr="00425028">
        <w:t xml:space="preserve">. </w:t>
      </w:r>
      <w:r w:rsidR="00BC5265" w:rsidRPr="00425028">
        <w:t xml:space="preserve">Our current tax system </w:t>
      </w:r>
      <w:r w:rsidR="00276AF6" w:rsidRPr="00425028">
        <w:t>has</w:t>
      </w:r>
      <w:r w:rsidR="001A61E2" w:rsidRPr="00425028">
        <w:t xml:space="preserve"> produc</w:t>
      </w:r>
      <w:r w:rsidR="00276AF6" w:rsidRPr="00425028">
        <w:t>ed</w:t>
      </w:r>
      <w:r w:rsidR="001A61E2" w:rsidRPr="00425028">
        <w:t xml:space="preserve"> outcomes that are not supporting this objective. </w:t>
      </w:r>
      <w:r w:rsidR="00161117" w:rsidRPr="00425028">
        <w:t>Re</w:t>
      </w:r>
      <w:r w:rsidR="00B44D33" w:rsidRPr="00425028">
        <w:t>commended changes to th</w:t>
      </w:r>
      <w:r w:rsidR="00161117" w:rsidRPr="00425028">
        <w:t>e tax system include wind</w:t>
      </w:r>
      <w:r w:rsidR="00AA08CC" w:rsidRPr="00425028">
        <w:t>ing</w:t>
      </w:r>
      <w:r w:rsidR="00161117" w:rsidRPr="00425028">
        <w:t xml:space="preserve"> back </w:t>
      </w:r>
      <w:r w:rsidR="00AA08CC" w:rsidRPr="00425028">
        <w:t>n</w:t>
      </w:r>
      <w:r w:rsidR="00170305" w:rsidRPr="00425028">
        <w:t xml:space="preserve">egative gearing and capital gains tax </w:t>
      </w:r>
      <w:r w:rsidR="00E94C7E" w:rsidRPr="00425028">
        <w:t xml:space="preserve">discounts. At the State level, </w:t>
      </w:r>
      <w:r w:rsidR="00117529" w:rsidRPr="00425028">
        <w:t>a switch from stamp duty to a broad</w:t>
      </w:r>
      <w:r w:rsidR="00862AEF" w:rsidRPr="00425028">
        <w:t>-</w:t>
      </w:r>
      <w:r w:rsidR="00117529" w:rsidRPr="00425028">
        <w:t>based land tax would</w:t>
      </w:r>
      <w:r w:rsidR="00862AEF" w:rsidRPr="00425028">
        <w:t xml:space="preserve"> be more equitable and encourage more efficient use of existing housing stock by removing a barrier to moving, including downsizing.</w:t>
      </w:r>
      <w:r w:rsidR="005467AA" w:rsidRPr="00425028">
        <w:rPr>
          <w:rStyle w:val="FootnoteReference"/>
        </w:rPr>
        <w:footnoteReference w:id="35"/>
      </w:r>
      <w:r w:rsidR="00862AEF" w:rsidRPr="00425028">
        <w:t xml:space="preserve"> This is unlikely to be achieved without assistance from the Federal Government</w:t>
      </w:r>
      <w:r w:rsidR="002A550A" w:rsidRPr="00425028">
        <w:t>.</w:t>
      </w:r>
    </w:p>
    <w:p w14:paraId="3B29FBF7" w14:textId="77777777" w:rsidR="0079192F" w:rsidRDefault="0079192F" w:rsidP="0079192F">
      <w:bookmarkStart w:id="65" w:name="_Toc195101878"/>
      <w:bookmarkStart w:id="66" w:name="_Toc196229009"/>
    </w:p>
    <w:p w14:paraId="44D6717B" w14:textId="5A57F856" w:rsidR="00F643D3" w:rsidRPr="00D87F53" w:rsidRDefault="2D7E72C4" w:rsidP="00D87F53">
      <w:pPr>
        <w:pStyle w:val="Heading2"/>
        <w:rPr>
          <w:rFonts w:ascii="Avenir Next LT Pro" w:hAnsi="Avenir Next LT Pro"/>
          <w:sz w:val="40"/>
          <w:szCs w:val="40"/>
        </w:rPr>
      </w:pPr>
      <w:r w:rsidRPr="00D87F53">
        <w:rPr>
          <w:rFonts w:ascii="Avenir Next LT Pro" w:hAnsi="Avenir Next LT Pro"/>
        </w:rPr>
        <w:t xml:space="preserve">Key </w:t>
      </w:r>
      <w:r w:rsidR="00F643D3" w:rsidRPr="00D87F53">
        <w:rPr>
          <w:rFonts w:ascii="Avenir Next LT Pro" w:hAnsi="Avenir Next LT Pro"/>
        </w:rPr>
        <w:t>Recommendations</w:t>
      </w:r>
      <w:bookmarkEnd w:id="65"/>
      <w:bookmarkEnd w:id="66"/>
    </w:p>
    <w:p w14:paraId="5182E622" w14:textId="73B381DD" w:rsidR="007159C1" w:rsidRPr="00425028" w:rsidRDefault="00F6121A" w:rsidP="00B71E6B">
      <w:r w:rsidRPr="00425028">
        <w:t>Anglicare Tasmania call</w:t>
      </w:r>
      <w:r w:rsidR="003908B4" w:rsidRPr="00425028">
        <w:t>s</w:t>
      </w:r>
      <w:r w:rsidRPr="00425028">
        <w:t xml:space="preserve"> on the Federal Government </w:t>
      </w:r>
      <w:r w:rsidR="003908B4" w:rsidRPr="00425028">
        <w:t>to:</w:t>
      </w:r>
    </w:p>
    <w:p w14:paraId="79AB0334" w14:textId="3A33E149" w:rsidR="00DC36C4" w:rsidRPr="00425028" w:rsidRDefault="0082432A" w:rsidP="00B71E6B">
      <w:pPr>
        <w:pStyle w:val="ListParagraph"/>
        <w:numPr>
          <w:ilvl w:val="0"/>
          <w:numId w:val="17"/>
        </w:numPr>
      </w:pPr>
      <w:r w:rsidRPr="00425028">
        <w:t>Increase funding and work</w:t>
      </w:r>
      <w:r w:rsidR="00D16BD4" w:rsidRPr="00425028">
        <w:t xml:space="preserve"> with States to </w:t>
      </w:r>
      <w:r w:rsidR="00DC36C4" w:rsidRPr="00425028">
        <w:t>deliver social housing at scale</w:t>
      </w:r>
      <w:r w:rsidR="00FC7ED0">
        <w:t>.</w:t>
      </w:r>
    </w:p>
    <w:p w14:paraId="5EAD545C" w14:textId="77777777" w:rsidR="00397ED8" w:rsidRPr="00425028" w:rsidRDefault="00397ED8" w:rsidP="00B71E6B">
      <w:pPr>
        <w:pStyle w:val="ListParagraph"/>
      </w:pPr>
    </w:p>
    <w:p w14:paraId="556DF268" w14:textId="5623E5CE" w:rsidR="003908B4" w:rsidRPr="00425028" w:rsidRDefault="00B60CFF" w:rsidP="00B71E6B">
      <w:pPr>
        <w:pStyle w:val="ListParagraph"/>
        <w:numPr>
          <w:ilvl w:val="0"/>
          <w:numId w:val="17"/>
        </w:numPr>
      </w:pPr>
      <w:r w:rsidRPr="00425028">
        <w:t>Raise the rate of</w:t>
      </w:r>
      <w:r w:rsidR="003908B4" w:rsidRPr="00425028">
        <w:t xml:space="preserve"> income support payments </w:t>
      </w:r>
      <w:r w:rsidR="00C107BD" w:rsidRPr="00425028">
        <w:t>above the poverty line</w:t>
      </w:r>
      <w:r w:rsidR="00FC7ED0">
        <w:t>.</w:t>
      </w:r>
    </w:p>
    <w:p w14:paraId="50E342AA" w14:textId="3B081C2C" w:rsidR="00DC36C4" w:rsidRPr="00425028" w:rsidRDefault="00ED7EE9" w:rsidP="00B71E6B">
      <w:r w:rsidRPr="00425028">
        <w:t>Anglicare calls on the State Government to:</w:t>
      </w:r>
    </w:p>
    <w:p w14:paraId="33FA699F" w14:textId="70DC1C1B" w:rsidR="003D5FE1" w:rsidRPr="00425028" w:rsidRDefault="003943C0" w:rsidP="00B71E6B">
      <w:pPr>
        <w:pStyle w:val="ListParagraph"/>
        <w:numPr>
          <w:ilvl w:val="0"/>
          <w:numId w:val="19"/>
        </w:numPr>
      </w:pPr>
      <w:r w:rsidRPr="00425028">
        <w:t>Increase</w:t>
      </w:r>
      <w:r w:rsidR="00673541" w:rsidRPr="00425028">
        <w:t xml:space="preserve"> funding </w:t>
      </w:r>
      <w:r w:rsidR="00FB09DF" w:rsidRPr="00425028">
        <w:t>and work with the Federal Government to increase the number of social homes beyond the current commitment.</w:t>
      </w:r>
      <w:r w:rsidR="000D12A4" w:rsidRPr="00425028">
        <w:t xml:space="preserve"> </w:t>
      </w:r>
    </w:p>
    <w:p w14:paraId="4E6FC6AF" w14:textId="77777777" w:rsidR="00E50390" w:rsidRPr="00425028" w:rsidRDefault="00E50390">
      <w:pPr>
        <w:rPr>
          <w:rFonts w:eastAsiaTheme="majorEastAsia" w:cstheme="majorBidi"/>
          <w:color w:val="0F4761" w:themeColor="accent1" w:themeShade="BF"/>
          <w:sz w:val="40"/>
          <w:szCs w:val="40"/>
        </w:rPr>
      </w:pPr>
      <w:bookmarkStart w:id="67" w:name="_Toc195101879"/>
      <w:r w:rsidRPr="00425028">
        <w:br w:type="page"/>
      </w:r>
    </w:p>
    <w:p w14:paraId="2B07B569" w14:textId="608E4EBE" w:rsidR="00A95407" w:rsidRPr="00425028" w:rsidRDefault="006C5C08" w:rsidP="00B71E6B">
      <w:pPr>
        <w:pStyle w:val="Heading1"/>
        <w:rPr>
          <w:rFonts w:ascii="Avenir Next LT Pro" w:hAnsi="Avenir Next LT Pro"/>
        </w:rPr>
      </w:pPr>
      <w:bookmarkStart w:id="68" w:name="_Toc196229010"/>
      <w:r w:rsidRPr="00425028">
        <w:rPr>
          <w:rFonts w:ascii="Avenir Next LT Pro" w:hAnsi="Avenir Next LT Pro"/>
        </w:rPr>
        <w:t>FAQ</w:t>
      </w:r>
      <w:bookmarkEnd w:id="67"/>
      <w:bookmarkEnd w:id="68"/>
    </w:p>
    <w:p w14:paraId="67AED07D" w14:textId="77777777" w:rsidR="000233C8" w:rsidRPr="000233C8" w:rsidRDefault="000233C8" w:rsidP="000233C8">
      <w:pPr>
        <w:pStyle w:val="ListParagraph"/>
        <w:numPr>
          <w:ilvl w:val="0"/>
          <w:numId w:val="9"/>
        </w:numPr>
      </w:pPr>
      <w:r w:rsidRPr="000233C8">
        <w:t>How is household income calculated?</w:t>
      </w:r>
    </w:p>
    <w:p w14:paraId="1A774537" w14:textId="6B1E0205" w:rsidR="000233C8" w:rsidRDefault="000233C8" w:rsidP="000233C8">
      <w:r w:rsidRPr="000233C8">
        <w:t>We use publicly available information on rates of payment for JobSeeker, Youth Allowance,</w:t>
      </w:r>
      <w:r>
        <w:t xml:space="preserve"> </w:t>
      </w:r>
      <w:r w:rsidRPr="000233C8">
        <w:t>the Disability Support Pension, the Age Pension, Parenting Payment, and minimum wage</w:t>
      </w:r>
      <w:r>
        <w:t xml:space="preserve"> </w:t>
      </w:r>
      <w:r w:rsidRPr="000233C8">
        <w:t>rates. Household income also includes all applicable Family Tax Benefits, additional</w:t>
      </w:r>
      <w:r>
        <w:t xml:space="preserve"> </w:t>
      </w:r>
      <w:r w:rsidRPr="000233C8">
        <w:t>supplements and allowances, and the maximum rate of Commonwealth Rent Assistance.</w:t>
      </w:r>
    </w:p>
    <w:p w14:paraId="7A5306A1" w14:textId="65842B20" w:rsidR="006C5C08" w:rsidRPr="00425028" w:rsidRDefault="006C5C08" w:rsidP="00B71E6B">
      <w:pPr>
        <w:pStyle w:val="ListParagraph"/>
        <w:numPr>
          <w:ilvl w:val="0"/>
          <w:numId w:val="9"/>
        </w:numPr>
      </w:pPr>
      <w:r w:rsidRPr="00425028">
        <w:t>What sort of properties are counted?</w:t>
      </w:r>
    </w:p>
    <w:p w14:paraId="5E32446D" w14:textId="067202AC" w:rsidR="006C5C08" w:rsidRPr="00425028" w:rsidRDefault="006C5C08" w:rsidP="00B71E6B">
      <w:r w:rsidRPr="00425028">
        <w:t>RAS counts houses, units, flats, bedsits and rooms in sharehouse</w:t>
      </w:r>
      <w:r w:rsidR="0079192F">
        <w:t>s</w:t>
      </w:r>
      <w:r w:rsidRPr="00425028">
        <w:t xml:space="preserve"> that are advertised for long-term rental (at least 6 months). It does not count boarding houses, caravan parks, holiday accommodation, retirement villages, student accommodation run by UTAS or other educational institutions, or dedicated backpacker/fruitpicker accommodation. Sharehouses must offer private individual rooms, not just a bed in a shared room. Accommodation that asks for farm work, childcare etc instead of or in addition to monetary rent is not counted.</w:t>
      </w:r>
    </w:p>
    <w:p w14:paraId="4977DFD7" w14:textId="77777777" w:rsidR="006C5C08" w:rsidRPr="00425028" w:rsidRDefault="006C5C08" w:rsidP="00B71E6B">
      <w:pPr>
        <w:pStyle w:val="ListParagraph"/>
        <w:numPr>
          <w:ilvl w:val="0"/>
          <w:numId w:val="9"/>
        </w:numPr>
      </w:pPr>
      <w:r w:rsidRPr="00425028">
        <w:t>Where are properties advertised?</w:t>
      </w:r>
    </w:p>
    <w:p w14:paraId="16D31792" w14:textId="77777777" w:rsidR="006C5C08" w:rsidRPr="00425028" w:rsidRDefault="006C5C08" w:rsidP="00B71E6B">
      <w:r w:rsidRPr="00425028">
        <w:t>We get our properties from two sources: realestate.com.au and flatmates.com.au. Care is taken to ensure properties are not counted twice due to being advertised on both platforms. In previous years we have used Gumtree, but this platform no longer produces a high number of unique properties. The move from Gumtree to flatmates.com.au has slightly changed the nature of this year's data.</w:t>
      </w:r>
    </w:p>
    <w:p w14:paraId="3B3BF50F" w14:textId="77777777" w:rsidR="006C5C08" w:rsidRPr="00425028" w:rsidRDefault="006C5C08" w:rsidP="00B71E6B">
      <w:pPr>
        <w:pStyle w:val="ListParagraph"/>
        <w:numPr>
          <w:ilvl w:val="0"/>
          <w:numId w:val="9"/>
        </w:numPr>
      </w:pPr>
      <w:r w:rsidRPr="00425028">
        <w:t>What does ‘affordable’ mean?</w:t>
      </w:r>
    </w:p>
    <w:p w14:paraId="0635230F" w14:textId="77777777" w:rsidR="006C5C08" w:rsidRPr="00425028" w:rsidRDefault="006C5C08" w:rsidP="00B71E6B">
      <w:r w:rsidRPr="00425028">
        <w:t xml:space="preserve">For lower-income people, a property is affordable if no more than 30% of income is spent on rent. This is a widely-recognised, internationally accepted standard that leaves sufficient income left over for a reasonable standard of living. </w:t>
      </w:r>
    </w:p>
    <w:p w14:paraId="3F8EAB6D" w14:textId="77777777" w:rsidR="006C5C08" w:rsidRPr="00425028" w:rsidRDefault="006C5C08" w:rsidP="00B71E6B">
      <w:pPr>
        <w:pStyle w:val="ListParagraph"/>
        <w:numPr>
          <w:ilvl w:val="0"/>
          <w:numId w:val="9"/>
        </w:numPr>
      </w:pPr>
      <w:r w:rsidRPr="00425028">
        <w:t>What does ‘appropriate’ mean?</w:t>
      </w:r>
    </w:p>
    <w:p w14:paraId="5F53382E" w14:textId="77777777" w:rsidR="006C5C08" w:rsidRPr="00425028" w:rsidRDefault="006C5C08" w:rsidP="00B71E6B">
      <w:r w:rsidRPr="00425028">
        <w:t>An appropriate property is one that has enough bedrooms for the whole household (one bedroom for a single or couple, two bedrooms for a single or couple with one child, 3 bedrooms if there are two children). In addition, it is not considered appropriate for a person on DSP to live in a sharehouse, in recognition of the fact that some disabled people have special needs that cannot be easily accommodated in a sharehouse. We realise that this is not the case for all disabled people and that many would choose or prefer this style of living. (To see what is available when sharehouses are counted in, please refer to the ‘Single on Age Pension’ cohort, as the two have the same income.)</w:t>
      </w:r>
    </w:p>
    <w:p w14:paraId="169F36C6" w14:textId="77777777" w:rsidR="006C5C08" w:rsidRPr="00425028" w:rsidRDefault="006C5C08" w:rsidP="00B71E6B">
      <w:pPr>
        <w:pStyle w:val="ListParagraph"/>
        <w:numPr>
          <w:ilvl w:val="0"/>
          <w:numId w:val="9"/>
        </w:numPr>
      </w:pPr>
      <w:r w:rsidRPr="00425028">
        <w:t>Why are sharehouses counted separately for people on Youth Allowance?</w:t>
      </w:r>
    </w:p>
    <w:p w14:paraId="7504F948" w14:textId="77777777" w:rsidR="006C5C08" w:rsidRPr="00425028" w:rsidRDefault="006C5C08" w:rsidP="00B71E6B">
      <w:r w:rsidRPr="00425028">
        <w:t xml:space="preserve">People on Youth Allowance receive a different amount of Commonwealth Rent Assistance depending on whether they live in a sharehouse. </w:t>
      </w:r>
    </w:p>
    <w:p w14:paraId="5ADC3791" w14:textId="77777777" w:rsidR="006C5C08" w:rsidRPr="00425028" w:rsidRDefault="006C5C08" w:rsidP="00B71E6B">
      <w:pPr>
        <w:pStyle w:val="ListParagraph"/>
        <w:numPr>
          <w:ilvl w:val="0"/>
          <w:numId w:val="9"/>
        </w:numPr>
      </w:pPr>
      <w:r w:rsidRPr="00425028">
        <w:t>Aren’t sharehouses just for students? Can anyone live in a sharehouse?</w:t>
      </w:r>
    </w:p>
    <w:p w14:paraId="4D4C8B9E" w14:textId="77777777" w:rsidR="006C5C08" w:rsidRPr="00425028" w:rsidRDefault="006C5C08" w:rsidP="00B71E6B">
      <w:r w:rsidRPr="00425028">
        <w:t xml:space="preserve">In response to Tasmania’s tight rental market, it is increasingly common for working singles or older adults to live in sharehouses. It is true, however, that many sharehouses are designed and set up for students and may be reluctant to accept non-students. In addition, it is common for advertisements to specify that applicants must be working, discriminating against people on income support benefits. </w:t>
      </w:r>
    </w:p>
    <w:p w14:paraId="0C95135A" w14:textId="77777777" w:rsidR="006C5C08" w:rsidRPr="00425028" w:rsidRDefault="006C5C08" w:rsidP="00B71E6B">
      <w:r w:rsidRPr="00425028">
        <w:t xml:space="preserve">Some sharehouses ask for specific genders (for example, only women), ethnicities or other personal characteristics ("must be vegetarian or vegan"). We have omitted these as they are not truly 'available' to much of the population. </w:t>
      </w:r>
    </w:p>
    <w:p w14:paraId="4E142D33" w14:textId="77777777" w:rsidR="006C5C08" w:rsidRPr="00425028" w:rsidRDefault="006C5C08" w:rsidP="00B71E6B">
      <w:pPr>
        <w:pStyle w:val="ListParagraph"/>
        <w:numPr>
          <w:ilvl w:val="0"/>
          <w:numId w:val="9"/>
        </w:numPr>
      </w:pPr>
      <w:r w:rsidRPr="00425028">
        <w:t>Do prices include power, water, internet etc?</w:t>
      </w:r>
    </w:p>
    <w:p w14:paraId="7716DEA2" w14:textId="77777777" w:rsidR="006C5C08" w:rsidRPr="00425028" w:rsidRDefault="006C5C08" w:rsidP="006A6743">
      <w:r w:rsidRPr="00425028">
        <w:t xml:space="preserve">This varies from one advertisement to another. Unfortunately, in most cases it is not possible to determine the base rent exclusive of utilities. </w:t>
      </w:r>
    </w:p>
    <w:p w14:paraId="4A8AE12F" w14:textId="77777777" w:rsidR="006C5C08" w:rsidRPr="00425028" w:rsidRDefault="006C5C08" w:rsidP="00B71E6B"/>
    <w:sectPr w:rsidR="006C5C08" w:rsidRPr="004250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1791C" w14:textId="77777777" w:rsidR="00FC200E" w:rsidRDefault="00FC200E" w:rsidP="00B71E6B">
      <w:r>
        <w:separator/>
      </w:r>
    </w:p>
  </w:endnote>
  <w:endnote w:type="continuationSeparator" w:id="0">
    <w:p w14:paraId="43462AC3" w14:textId="77777777" w:rsidR="00FC200E" w:rsidRDefault="00FC200E" w:rsidP="00B71E6B">
      <w:r>
        <w:continuationSeparator/>
      </w:r>
    </w:p>
  </w:endnote>
  <w:endnote w:type="continuationNotice" w:id="1">
    <w:p w14:paraId="2DE980BD" w14:textId="77777777" w:rsidR="00FC200E" w:rsidRDefault="00FC200E" w:rsidP="00B71E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venir Next LT Pro">
    <w:altName w:val="Arial"/>
    <w:charset w:val="00"/>
    <w:family w:val="swiss"/>
    <w:pitch w:val="variable"/>
    <w:sig w:usb0="00000001" w:usb1="5000204A" w:usb2="00000000" w:usb3="00000000" w:csb0="00000093" w:csb1="00000000"/>
  </w:font>
  <w:font w:name="Aptos Display">
    <w:altName w:val="Arial"/>
    <w:charset w:val="00"/>
    <w:family w:val="swiss"/>
    <w:pitch w:val="variable"/>
    <w:sig w:usb0="00000001"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5489139"/>
      <w:docPartObj>
        <w:docPartGallery w:val="Page Numbers (Bottom of Page)"/>
        <w:docPartUnique/>
      </w:docPartObj>
    </w:sdtPr>
    <w:sdtEndPr>
      <w:rPr>
        <w:noProof/>
      </w:rPr>
    </w:sdtEndPr>
    <w:sdtContent>
      <w:p w14:paraId="4F9954D6" w14:textId="32A26AA2" w:rsidR="00A03C15" w:rsidRDefault="00A03C15">
        <w:pPr>
          <w:pStyle w:val="Footer"/>
          <w:jc w:val="right"/>
        </w:pPr>
        <w:r>
          <w:fldChar w:fldCharType="begin"/>
        </w:r>
        <w:r>
          <w:instrText xml:space="preserve"> PAGE   \* MERGEFORMAT </w:instrText>
        </w:r>
        <w:r>
          <w:fldChar w:fldCharType="separate"/>
        </w:r>
        <w:r w:rsidR="00274668">
          <w:rPr>
            <w:noProof/>
          </w:rPr>
          <w:t>1</w:t>
        </w:r>
        <w:r>
          <w:rPr>
            <w:noProof/>
          </w:rPr>
          <w:fldChar w:fldCharType="end"/>
        </w:r>
      </w:p>
    </w:sdtContent>
  </w:sdt>
  <w:p w14:paraId="2495F08F" w14:textId="657B8B3B" w:rsidR="008D17D2" w:rsidRDefault="008D17D2" w:rsidP="00B71E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D25F6" w14:textId="77777777" w:rsidR="00FC200E" w:rsidRDefault="00FC200E" w:rsidP="00B71E6B">
      <w:r>
        <w:separator/>
      </w:r>
    </w:p>
  </w:footnote>
  <w:footnote w:type="continuationSeparator" w:id="0">
    <w:p w14:paraId="6243B2D1" w14:textId="77777777" w:rsidR="00FC200E" w:rsidRDefault="00FC200E" w:rsidP="00B71E6B">
      <w:r>
        <w:continuationSeparator/>
      </w:r>
    </w:p>
  </w:footnote>
  <w:footnote w:type="continuationNotice" w:id="1">
    <w:p w14:paraId="7BBD889E" w14:textId="77777777" w:rsidR="00FC200E" w:rsidRDefault="00FC200E" w:rsidP="00B71E6B"/>
  </w:footnote>
  <w:footnote w:id="2">
    <w:p w14:paraId="7DB7C265" w14:textId="54DA01B2" w:rsidR="00874FB9" w:rsidRDefault="00874FB9" w:rsidP="00874FB9">
      <w:pPr>
        <w:pStyle w:val="FootnoteText"/>
      </w:pPr>
      <w:r>
        <w:rPr>
          <w:rStyle w:val="FootnoteReference"/>
        </w:rPr>
        <w:footnoteRef/>
      </w:r>
      <w:r>
        <w:t xml:space="preserve"> </w:t>
      </w:r>
      <w:r w:rsidR="0093171C">
        <w:t>AIHW (</w:t>
      </w:r>
      <w:r>
        <w:t>2018</w:t>
      </w:r>
      <w:r w:rsidR="0093171C">
        <w:t>)</w:t>
      </w:r>
      <w:r>
        <w:t xml:space="preserve">, </w:t>
      </w:r>
      <w:hyperlink r:id="rId1" w:history="1">
        <w:r w:rsidRPr="0093171C">
          <w:rPr>
            <w:rStyle w:val="Hyperlink"/>
          </w:rPr>
          <w:t>‘Family Domestic and Sexual Violence in Australia</w:t>
        </w:r>
      </w:hyperlink>
      <w:r w:rsidR="0093171C">
        <w:t>’</w:t>
      </w:r>
      <w:r>
        <w:t xml:space="preserve">, Australian Institute of Health and Welfare, accessed </w:t>
      </w:r>
      <w:r w:rsidR="0093171C">
        <w:t>April 2025.</w:t>
      </w:r>
      <w:r>
        <w:t xml:space="preserve"> </w:t>
      </w:r>
    </w:p>
  </w:footnote>
  <w:footnote w:id="3">
    <w:p w14:paraId="7D115E34" w14:textId="77777777" w:rsidR="00A95407" w:rsidRDefault="00A95407" w:rsidP="00B71E6B">
      <w:pPr>
        <w:pStyle w:val="FootnoteText"/>
      </w:pPr>
      <w:r>
        <w:rPr>
          <w:rStyle w:val="FootnoteReference"/>
        </w:rPr>
        <w:footnoteRef/>
      </w:r>
      <w:r>
        <w:t xml:space="preserve"> </w:t>
      </w:r>
      <w:r w:rsidRPr="003A5E53">
        <w:t xml:space="preserve">This year we have </w:t>
      </w:r>
      <w:r>
        <w:t xml:space="preserve">moved from using </w:t>
      </w:r>
      <w:r w:rsidRPr="003A5E53">
        <w:t xml:space="preserve">Gumtree, </w:t>
      </w:r>
      <w:r>
        <w:t xml:space="preserve">a declining platform that is producing </w:t>
      </w:r>
      <w:r w:rsidRPr="003A5E53">
        <w:t xml:space="preserve">lower volumes of listings in 2025, to flatmates.com.au, the </w:t>
      </w:r>
      <w:r>
        <w:t xml:space="preserve">current </w:t>
      </w:r>
      <w:r w:rsidRPr="003A5E53">
        <w:t>major site for sharehouse listings in Australia. We will note where that may have affected our data.</w:t>
      </w:r>
      <w:r>
        <w:t xml:space="preserve"> </w:t>
      </w:r>
    </w:p>
  </w:footnote>
  <w:footnote w:id="4">
    <w:p w14:paraId="1AA0678D" w14:textId="53A09254" w:rsidR="00721BEF" w:rsidRDefault="00721BEF" w:rsidP="00B71E6B">
      <w:pPr>
        <w:pStyle w:val="FootnoteText"/>
      </w:pPr>
      <w:r>
        <w:rPr>
          <w:rStyle w:val="FootnoteReference"/>
        </w:rPr>
        <w:footnoteRef/>
      </w:r>
      <w:r>
        <w:t xml:space="preserve"> Tasmanian Government </w:t>
      </w:r>
      <w:r w:rsidR="006D3059">
        <w:t>(</w:t>
      </w:r>
      <w:r>
        <w:t>2022</w:t>
      </w:r>
      <w:r w:rsidR="006D3059">
        <w:t>)</w:t>
      </w:r>
      <w:r>
        <w:t xml:space="preserve"> </w:t>
      </w:r>
      <w:r w:rsidRPr="00456343">
        <w:rPr>
          <w:i/>
          <w:iCs/>
        </w:rPr>
        <w:t>Tasmanian Housing Strategy 2023-2043</w:t>
      </w:r>
      <w:r w:rsidR="008A301A">
        <w:t>.</w:t>
      </w:r>
    </w:p>
  </w:footnote>
  <w:footnote w:id="5">
    <w:p w14:paraId="38703A12" w14:textId="77777777" w:rsidR="009B686C" w:rsidRDefault="009B686C" w:rsidP="009B686C">
      <w:pPr>
        <w:pStyle w:val="FootnoteText"/>
      </w:pPr>
      <w:r>
        <w:rPr>
          <w:rStyle w:val="FootnoteReference"/>
        </w:rPr>
        <w:footnoteRef/>
      </w:r>
      <w:r>
        <w:t xml:space="preserve"> Collecting data from flatmates.com.au has increased the proportion of sharehouses in our sample this year to 20%, from 8% in 2024.</w:t>
      </w:r>
    </w:p>
  </w:footnote>
  <w:footnote w:id="6">
    <w:p w14:paraId="00CED6D2" w14:textId="77777777" w:rsidR="00F643D3" w:rsidRDefault="00F643D3" w:rsidP="00B71E6B">
      <w:pPr>
        <w:pStyle w:val="FootnoteText"/>
      </w:pPr>
      <w:r>
        <w:rPr>
          <w:rStyle w:val="FootnoteReference"/>
        </w:rPr>
        <w:footnoteRef/>
      </w:r>
      <w:r>
        <w:t xml:space="preserve"> The sharehouses we have added this year from flatmates.com.au are mostly located in the South. If we consider realeastate-com.au only, the reduction in the South from 2024 to 2025 is 43%.</w:t>
      </w:r>
    </w:p>
  </w:footnote>
  <w:footnote w:id="7">
    <w:p w14:paraId="555FF8ED" w14:textId="62338974" w:rsidR="00F77C20" w:rsidRDefault="00F77C20" w:rsidP="00B71E6B">
      <w:pPr>
        <w:pStyle w:val="FootnoteText"/>
      </w:pPr>
      <w:r>
        <w:rPr>
          <w:rStyle w:val="FootnoteReference"/>
        </w:rPr>
        <w:footnoteRef/>
      </w:r>
      <w:r w:rsidR="00BB0EB6">
        <w:t xml:space="preserve"> Dellow K </w:t>
      </w:r>
      <w:r w:rsidR="00857ED0">
        <w:t>(</w:t>
      </w:r>
      <w:r w:rsidR="00BB0EB6">
        <w:t>2024</w:t>
      </w:r>
      <w:r w:rsidR="00857ED0">
        <w:t>)</w:t>
      </w:r>
      <w:r w:rsidR="00BB0EB6">
        <w:t xml:space="preserve"> ‘</w:t>
      </w:r>
      <w:hyperlink r:id="rId2" w:history="1">
        <w:r w:rsidR="00BB0EB6" w:rsidRPr="00A025E0">
          <w:rPr>
            <w:rStyle w:val="Hyperlink"/>
          </w:rPr>
          <w:t>More renters, homeowners turn to share accommodation to make ends meet</w:t>
        </w:r>
      </w:hyperlink>
      <w:r w:rsidR="00001B1E">
        <w:t xml:space="preserve">’, </w:t>
      </w:r>
      <w:r w:rsidR="00DF7ACA">
        <w:rPr>
          <w:i/>
          <w:iCs/>
        </w:rPr>
        <w:t>Insights</w:t>
      </w:r>
      <w:r w:rsidR="00C63B38">
        <w:rPr>
          <w:i/>
          <w:iCs/>
        </w:rPr>
        <w:t xml:space="preserve">, </w:t>
      </w:r>
      <w:r w:rsidR="00001B1E">
        <w:t>28 November, accessed April 202</w:t>
      </w:r>
      <w:r w:rsidR="00D50E74">
        <w:t>5</w:t>
      </w:r>
      <w:r w:rsidR="0021473F">
        <w:t>.</w:t>
      </w:r>
    </w:p>
  </w:footnote>
  <w:footnote w:id="8">
    <w:p w14:paraId="1A13D9E2" w14:textId="1ED87EB2" w:rsidR="00F643D3" w:rsidRDefault="00F643D3" w:rsidP="00B71E6B">
      <w:pPr>
        <w:pStyle w:val="FootnoteText"/>
      </w:pPr>
      <w:r>
        <w:rPr>
          <w:rStyle w:val="FootnoteReference"/>
        </w:rPr>
        <w:footnoteRef/>
      </w:r>
      <w:r>
        <w:t xml:space="preserve"> Although most pronounced in the North West, the rest of the state is not immune to this problem. A person looking for a home in Sorell, Scottsdale or St Helens is also likely to </w:t>
      </w:r>
      <w:r w:rsidR="00B7730E">
        <w:t xml:space="preserve">have only a </w:t>
      </w:r>
      <w:r>
        <w:t>small number of rental properties</w:t>
      </w:r>
      <w:r w:rsidR="00B7730E">
        <w:t xml:space="preserve"> to choose from</w:t>
      </w:r>
      <w:r>
        <w:t>.</w:t>
      </w:r>
    </w:p>
  </w:footnote>
  <w:footnote w:id="9">
    <w:p w14:paraId="18C61D4D" w14:textId="13598E25" w:rsidR="00C41FF3" w:rsidRDefault="00506B08" w:rsidP="00B71E6B">
      <w:pPr>
        <w:pStyle w:val="FootnoteText"/>
      </w:pPr>
      <w:r>
        <w:rPr>
          <w:rStyle w:val="FootnoteReference"/>
        </w:rPr>
        <w:footnoteRef/>
      </w:r>
      <w:r>
        <w:t xml:space="preserve"> </w:t>
      </w:r>
      <w:r w:rsidRPr="00CE1DC5">
        <w:t xml:space="preserve">Reynolds M, Parkinson S, De Vries J and Hulse K (2024) </w:t>
      </w:r>
      <w:hyperlink r:id="rId3" w:history="1">
        <w:r w:rsidRPr="00FD096F">
          <w:rPr>
            <w:rStyle w:val="Hyperlink"/>
            <w:i/>
            <w:iCs/>
          </w:rPr>
          <w:t>Affordable private rental supply and demand: short</w:t>
        </w:r>
        <w:r w:rsidR="00BE2BCA" w:rsidRPr="00FD096F">
          <w:rPr>
            <w:rStyle w:val="Hyperlink"/>
            <w:i/>
            <w:iCs/>
          </w:rPr>
          <w:t>-</w:t>
        </w:r>
        <w:r w:rsidRPr="00FD096F">
          <w:rPr>
            <w:rStyle w:val="Hyperlink"/>
            <w:i/>
            <w:iCs/>
          </w:rPr>
          <w:t>term disruption (2016–2021) and longer-term structural change (1996–2021)</w:t>
        </w:r>
      </w:hyperlink>
      <w:r w:rsidRPr="00CE1DC5">
        <w:t xml:space="preserve">, AHURI Final Report No. 416, </w:t>
      </w:r>
      <w:r w:rsidR="00FD096F" w:rsidRPr="00FD096F">
        <w:t>accessed</w:t>
      </w:r>
      <w:r w:rsidR="00FD096F">
        <w:t xml:space="preserve"> April 2025</w:t>
      </w:r>
      <w:r w:rsidR="00C41FF3">
        <w:t>.</w:t>
      </w:r>
    </w:p>
  </w:footnote>
  <w:footnote w:id="10">
    <w:p w14:paraId="41180557" w14:textId="037F9657" w:rsidR="00DB2D8E" w:rsidRDefault="00DB2D8E" w:rsidP="00B71E6B">
      <w:pPr>
        <w:pStyle w:val="FootnoteText"/>
      </w:pPr>
      <w:r>
        <w:rPr>
          <w:rStyle w:val="FootnoteReference"/>
        </w:rPr>
        <w:footnoteRef/>
      </w:r>
      <w:r>
        <w:t xml:space="preserve"> </w:t>
      </w:r>
      <w:r w:rsidR="005A2FB6">
        <w:t>AIHW</w:t>
      </w:r>
      <w:r w:rsidR="009523AE">
        <w:t xml:space="preserve"> </w:t>
      </w:r>
      <w:r w:rsidR="00D4548D">
        <w:t>(</w:t>
      </w:r>
      <w:r w:rsidR="009523AE">
        <w:t>2025</w:t>
      </w:r>
      <w:r w:rsidR="00D4548D">
        <w:t>)</w:t>
      </w:r>
      <w:r w:rsidR="00192F46">
        <w:t xml:space="preserve"> </w:t>
      </w:r>
      <w:hyperlink r:id="rId4" w:history="1">
        <w:r w:rsidR="009523AE" w:rsidRPr="005A2FB6">
          <w:rPr>
            <w:rStyle w:val="Hyperlink"/>
            <w:i/>
            <w:iCs/>
          </w:rPr>
          <w:t>Family, domestic and sexual violence</w:t>
        </w:r>
        <w:r w:rsidR="00CA607A" w:rsidRPr="005A2FB6">
          <w:rPr>
            <w:rStyle w:val="Hyperlink"/>
            <w:i/>
            <w:iCs/>
          </w:rPr>
          <w:t>: Housing</w:t>
        </w:r>
      </w:hyperlink>
      <w:r w:rsidR="009523AE">
        <w:t>, Australian Institute of Health and Welfare, accessed March 2025</w:t>
      </w:r>
      <w:r w:rsidR="005A2FB6">
        <w:t>.</w:t>
      </w:r>
      <w:r>
        <w:t xml:space="preserve"> </w:t>
      </w:r>
    </w:p>
  </w:footnote>
  <w:footnote w:id="11">
    <w:p w14:paraId="233C260C" w14:textId="366DE3E1" w:rsidR="003B7F88" w:rsidRDefault="003B7F88" w:rsidP="00B71E6B">
      <w:pPr>
        <w:pStyle w:val="FootnoteText"/>
      </w:pPr>
      <w:r>
        <w:rPr>
          <w:rStyle w:val="FootnoteReference"/>
        </w:rPr>
        <w:footnoteRef/>
      </w:r>
      <w:r w:rsidR="009523AE">
        <w:t xml:space="preserve"> Australian Housing and Urban Research Institute </w:t>
      </w:r>
      <w:r w:rsidR="00753ECD">
        <w:t>(</w:t>
      </w:r>
      <w:r w:rsidR="00FD7138">
        <w:t>2022</w:t>
      </w:r>
      <w:r w:rsidR="00753ECD">
        <w:t>)</w:t>
      </w:r>
      <w:r w:rsidR="00FD7138">
        <w:t xml:space="preserve"> </w:t>
      </w:r>
      <w:hyperlink r:id="rId5" w:history="1">
        <w:r w:rsidR="00FD7138" w:rsidRPr="005A2FB6">
          <w:rPr>
            <w:rStyle w:val="Hyperlink"/>
            <w:i/>
            <w:iCs/>
          </w:rPr>
          <w:t>Housing, homelessness and domestic and family violence</w:t>
        </w:r>
      </w:hyperlink>
      <w:r w:rsidR="005B53F2">
        <w:t>, accessed March 2024</w:t>
      </w:r>
      <w:r w:rsidR="005A2FB6">
        <w:t>.</w:t>
      </w:r>
      <w:r>
        <w:t xml:space="preserve"> </w:t>
      </w:r>
    </w:p>
  </w:footnote>
  <w:footnote w:id="12">
    <w:p w14:paraId="3BE2914F" w14:textId="6A2D8183" w:rsidR="00B54FB2" w:rsidRDefault="00B54FB2" w:rsidP="00B71E6B">
      <w:pPr>
        <w:pStyle w:val="FootnoteText"/>
      </w:pPr>
      <w:r>
        <w:rPr>
          <w:rStyle w:val="FootnoteReference"/>
        </w:rPr>
        <w:footnoteRef/>
      </w:r>
      <w:r>
        <w:t xml:space="preserve"> Anglicare Tasmania </w:t>
      </w:r>
      <w:r w:rsidR="00531283">
        <w:t>(</w:t>
      </w:r>
      <w:r>
        <w:t>2025</w:t>
      </w:r>
      <w:r w:rsidR="00531283">
        <w:t>)</w:t>
      </w:r>
      <w:r>
        <w:t xml:space="preserve"> </w:t>
      </w:r>
      <w:r w:rsidRPr="002D2741">
        <w:rPr>
          <w:i/>
          <w:iCs/>
        </w:rPr>
        <w:t>Housing Connect Front Door Service Snapshot December 2024</w:t>
      </w:r>
      <w:r w:rsidR="005B53F2">
        <w:t>.</w:t>
      </w:r>
    </w:p>
  </w:footnote>
  <w:footnote w:id="13">
    <w:p w14:paraId="2886B032" w14:textId="30CC1192" w:rsidR="00A342A5" w:rsidRDefault="00A342A5" w:rsidP="00B71E6B">
      <w:pPr>
        <w:pStyle w:val="FootnoteText"/>
      </w:pPr>
      <w:r>
        <w:rPr>
          <w:rStyle w:val="FootnoteReference"/>
        </w:rPr>
        <w:footnoteRef/>
      </w:r>
      <w:r>
        <w:t xml:space="preserve"> Impact Economics and Policy </w:t>
      </w:r>
      <w:r w:rsidR="00531283">
        <w:t>(</w:t>
      </w:r>
      <w:r>
        <w:t>2023</w:t>
      </w:r>
      <w:r w:rsidR="00531283">
        <w:t>)</w:t>
      </w:r>
      <w:r>
        <w:t xml:space="preserve"> </w:t>
      </w:r>
      <w:r w:rsidRPr="006F6DB5">
        <w:rPr>
          <w:i/>
          <w:iCs/>
        </w:rPr>
        <w:t>Somewhere to Go: Meeting the housing needs of women &amp; children in Tasmania</w:t>
      </w:r>
      <w:r>
        <w:t xml:space="preserve">. </w:t>
      </w:r>
    </w:p>
  </w:footnote>
  <w:footnote w:id="14">
    <w:p w14:paraId="0DACFE22" w14:textId="41E0AB6F" w:rsidR="00B62325" w:rsidRDefault="00B62325" w:rsidP="00B71E6B">
      <w:pPr>
        <w:pStyle w:val="FootnoteText"/>
      </w:pPr>
      <w:r>
        <w:rPr>
          <w:rStyle w:val="FootnoteReference"/>
        </w:rPr>
        <w:footnoteRef/>
      </w:r>
      <w:r>
        <w:t xml:space="preserve"> Toombs G </w:t>
      </w:r>
      <w:r w:rsidR="00FF1909">
        <w:t>(</w:t>
      </w:r>
      <w:r>
        <w:t>2024</w:t>
      </w:r>
      <w:r w:rsidR="00FF1909">
        <w:t>)</w:t>
      </w:r>
      <w:r>
        <w:t xml:space="preserve"> </w:t>
      </w:r>
      <w:r w:rsidRPr="005B53F2">
        <w:rPr>
          <w:i/>
          <w:iCs/>
        </w:rPr>
        <w:t>Unsafe and Unhoused</w:t>
      </w:r>
      <w:r>
        <w:t xml:space="preserve">, Anglicare Tasmania. </w:t>
      </w:r>
    </w:p>
  </w:footnote>
  <w:footnote w:id="15">
    <w:p w14:paraId="5E639C6D" w14:textId="77777777" w:rsidR="00F93C1C" w:rsidRDefault="00F93C1C" w:rsidP="00F93C1C">
      <w:pPr>
        <w:pStyle w:val="FootnoteText"/>
      </w:pPr>
      <w:r>
        <w:rPr>
          <w:rStyle w:val="FootnoteReference"/>
        </w:rPr>
        <w:footnoteRef/>
      </w:r>
      <w:r>
        <w:t xml:space="preserve"> </w:t>
      </w:r>
      <w:r w:rsidRPr="000B39F3">
        <w:t xml:space="preserve">Moore TG, Arefadib N, Deery A, Keyes M </w:t>
      </w:r>
      <w:r>
        <w:t>and</w:t>
      </w:r>
      <w:r w:rsidRPr="000B39F3">
        <w:t xml:space="preserve"> West S</w:t>
      </w:r>
      <w:r>
        <w:t xml:space="preserve"> (</w:t>
      </w:r>
      <w:r w:rsidRPr="000B39F3">
        <w:t>2017</w:t>
      </w:r>
      <w:r>
        <w:t>)</w:t>
      </w:r>
      <w:r w:rsidRPr="000B39F3">
        <w:t xml:space="preserve"> </w:t>
      </w:r>
      <w:hyperlink r:id="rId6" w:history="1">
        <w:r w:rsidRPr="005A2FB6">
          <w:rPr>
            <w:rStyle w:val="Hyperlink"/>
            <w:i/>
            <w:iCs/>
          </w:rPr>
          <w:t>The first thousand days: An evidence paper</w:t>
        </w:r>
      </w:hyperlink>
      <w:r>
        <w:t>,</w:t>
      </w:r>
      <w:r w:rsidRPr="000B39F3">
        <w:t xml:space="preserve"> Centre for Community Child Health, Murdoch Children’s Research Institute</w:t>
      </w:r>
      <w:r>
        <w:t>, Victoria, accessed March 2025.</w:t>
      </w:r>
    </w:p>
  </w:footnote>
  <w:footnote w:id="16">
    <w:p w14:paraId="409E102E" w14:textId="01215415" w:rsidR="00B62325" w:rsidRPr="00205483" w:rsidRDefault="00B62325" w:rsidP="00B71E6B">
      <w:pPr>
        <w:pStyle w:val="FootnoteText"/>
      </w:pPr>
      <w:r>
        <w:rPr>
          <w:rStyle w:val="FootnoteReference"/>
        </w:rPr>
        <w:footnoteRef/>
      </w:r>
      <w:r>
        <w:t xml:space="preserve"> Equity Economics </w:t>
      </w:r>
      <w:r w:rsidR="00BE191D">
        <w:t>(</w:t>
      </w:r>
      <w:r>
        <w:t>2021</w:t>
      </w:r>
      <w:r w:rsidR="00BE191D">
        <w:t>)</w:t>
      </w:r>
      <w:r>
        <w:t xml:space="preserve"> </w:t>
      </w:r>
      <w:r w:rsidRPr="006F6DB5">
        <w:rPr>
          <w:i/>
          <w:iCs/>
        </w:rPr>
        <w:t>Nowhere to Go: The benefits of providing long term social housing to women that have experienced domestic and family violence</w:t>
      </w:r>
      <w:r w:rsidR="009E7274">
        <w:rPr>
          <w:i/>
          <w:iCs/>
        </w:rPr>
        <w:t>.</w:t>
      </w:r>
    </w:p>
  </w:footnote>
  <w:footnote w:id="17">
    <w:p w14:paraId="2120BF3D" w14:textId="22638683" w:rsidR="008A1393" w:rsidRDefault="002E0CFE" w:rsidP="00B71E6B">
      <w:pPr>
        <w:pStyle w:val="FootnoteText"/>
      </w:pPr>
      <w:r>
        <w:rPr>
          <w:rStyle w:val="FootnoteReference"/>
        </w:rPr>
        <w:footnoteRef/>
      </w:r>
      <w:r>
        <w:t xml:space="preserve"> </w:t>
      </w:r>
      <w:r w:rsidR="00352411" w:rsidRPr="000B39F3">
        <w:t xml:space="preserve">Moore TG, Arefadib N, Deery A, Keyes M </w:t>
      </w:r>
      <w:r w:rsidR="00352411">
        <w:t>and</w:t>
      </w:r>
      <w:r w:rsidR="00352411" w:rsidRPr="000B39F3">
        <w:t xml:space="preserve"> West S</w:t>
      </w:r>
      <w:r w:rsidR="00352411">
        <w:t xml:space="preserve"> (</w:t>
      </w:r>
      <w:r w:rsidR="00352411" w:rsidRPr="000B39F3">
        <w:t>2017</w:t>
      </w:r>
      <w:r w:rsidR="00352411">
        <w:t>)</w:t>
      </w:r>
      <w:r w:rsidR="00352411" w:rsidRPr="000B39F3">
        <w:t xml:space="preserve"> </w:t>
      </w:r>
      <w:hyperlink r:id="rId7" w:history="1">
        <w:r w:rsidR="00352411" w:rsidRPr="005A2FB6">
          <w:rPr>
            <w:rStyle w:val="Hyperlink"/>
            <w:i/>
            <w:iCs/>
          </w:rPr>
          <w:t>The first thousand days: An evidence paper</w:t>
        </w:r>
      </w:hyperlink>
      <w:r w:rsidR="00352411">
        <w:t>,</w:t>
      </w:r>
      <w:r w:rsidR="00352411" w:rsidRPr="000B39F3">
        <w:t xml:space="preserve"> Centre for Community Child Health, Murdoch Children’s Research Institute</w:t>
      </w:r>
      <w:r w:rsidR="00352411">
        <w:t>, Victoria, accessed March 2025.</w:t>
      </w:r>
    </w:p>
  </w:footnote>
  <w:footnote w:id="18">
    <w:p w14:paraId="2D65E6D4" w14:textId="2AE047A8" w:rsidR="002E0CFE" w:rsidRDefault="002E0CFE" w:rsidP="00B71E6B">
      <w:pPr>
        <w:pStyle w:val="FootnoteText"/>
      </w:pPr>
      <w:r>
        <w:rPr>
          <w:rStyle w:val="FootnoteReference"/>
        </w:rPr>
        <w:footnoteRef/>
      </w:r>
      <w:r>
        <w:t xml:space="preserve"> National Scientific Council on the Developing Child </w:t>
      </w:r>
      <w:r w:rsidR="00434012">
        <w:t>(</w:t>
      </w:r>
      <w:r>
        <w:t>2020</w:t>
      </w:r>
      <w:r w:rsidR="00434012">
        <w:t>)</w:t>
      </w:r>
      <w:r>
        <w:t xml:space="preserve"> ‘</w:t>
      </w:r>
      <w:r w:rsidRPr="001371D4">
        <w:t xml:space="preserve">Connecting the </w:t>
      </w:r>
      <w:r w:rsidR="00E82505">
        <w:t>b</w:t>
      </w:r>
      <w:r w:rsidRPr="001371D4">
        <w:t xml:space="preserve">rain to the </w:t>
      </w:r>
      <w:r w:rsidR="00E82505">
        <w:t>r</w:t>
      </w:r>
      <w:r w:rsidRPr="001371D4">
        <w:t xml:space="preserve">est of the </w:t>
      </w:r>
      <w:r w:rsidR="00E82505">
        <w:t>b</w:t>
      </w:r>
      <w:r w:rsidRPr="001371D4">
        <w:t xml:space="preserve">ody: Early </w:t>
      </w:r>
      <w:r w:rsidR="00E82505">
        <w:t>c</w:t>
      </w:r>
      <w:r w:rsidRPr="001371D4">
        <w:t xml:space="preserve">hildhood </w:t>
      </w:r>
      <w:r w:rsidR="00E82505">
        <w:t>d</w:t>
      </w:r>
      <w:r w:rsidRPr="001371D4">
        <w:t xml:space="preserve">evelopment and </w:t>
      </w:r>
      <w:r w:rsidR="00E82505">
        <w:t>l</w:t>
      </w:r>
      <w:r w:rsidRPr="001371D4">
        <w:t xml:space="preserve">ifelong </w:t>
      </w:r>
      <w:r w:rsidR="00E82505">
        <w:t>h</w:t>
      </w:r>
      <w:r w:rsidRPr="001371D4">
        <w:t xml:space="preserve">ealth </w:t>
      </w:r>
      <w:r w:rsidR="00E82505">
        <w:t>a</w:t>
      </w:r>
      <w:r w:rsidRPr="001371D4">
        <w:t xml:space="preserve">re </w:t>
      </w:r>
      <w:r w:rsidR="00E82505">
        <w:t>d</w:t>
      </w:r>
      <w:r w:rsidRPr="001371D4">
        <w:t xml:space="preserve">eeply </w:t>
      </w:r>
      <w:r w:rsidR="00E82505">
        <w:t>i</w:t>
      </w:r>
      <w:r w:rsidRPr="001371D4">
        <w:t>ntertwined</w:t>
      </w:r>
      <w:r>
        <w:t>’</w:t>
      </w:r>
      <w:r w:rsidR="00E82505">
        <w:t>,</w:t>
      </w:r>
      <w:r>
        <w:t xml:space="preserve"> Working Paper 15, Centre of the Developing Child, Harvard University.</w:t>
      </w:r>
    </w:p>
  </w:footnote>
  <w:footnote w:id="19">
    <w:p w14:paraId="5D5EA2A8" w14:textId="720039E3" w:rsidR="002E0CFE" w:rsidRDefault="002E0CFE" w:rsidP="00B71E6B">
      <w:pPr>
        <w:pStyle w:val="FootnoteText"/>
      </w:pPr>
      <w:r>
        <w:rPr>
          <w:rStyle w:val="FootnoteReference"/>
        </w:rPr>
        <w:footnoteRef/>
      </w:r>
      <w:r>
        <w:t xml:space="preserve"> </w:t>
      </w:r>
      <w:r w:rsidR="00C90AE1">
        <w:t>AIHW</w:t>
      </w:r>
      <w:r w:rsidR="004A4180">
        <w:t xml:space="preserve"> </w:t>
      </w:r>
      <w:r w:rsidR="00E81BC2">
        <w:t>(</w:t>
      </w:r>
      <w:r w:rsidR="004A4180">
        <w:t>2022</w:t>
      </w:r>
      <w:r w:rsidR="00E81BC2">
        <w:t>)</w:t>
      </w:r>
      <w:r w:rsidR="004A4180">
        <w:t xml:space="preserve">, </w:t>
      </w:r>
      <w:hyperlink r:id="rId8" w:history="1">
        <w:r w:rsidR="004A4180" w:rsidRPr="008223B6">
          <w:rPr>
            <w:rStyle w:val="Hyperlink"/>
            <w:i/>
            <w:iCs/>
          </w:rPr>
          <w:t>Australia’s children: overcrowding</w:t>
        </w:r>
      </w:hyperlink>
      <w:r w:rsidR="004A4180">
        <w:t>, Australian Institute of Health and Welfare, accessed March 2025</w:t>
      </w:r>
      <w:r w:rsidR="008223B6">
        <w:t>.</w:t>
      </w:r>
    </w:p>
  </w:footnote>
  <w:footnote w:id="20">
    <w:p w14:paraId="2512A6E7" w14:textId="2192768F" w:rsidR="00812D82" w:rsidRDefault="00812D82" w:rsidP="00B71E6B">
      <w:pPr>
        <w:pStyle w:val="FootnoteText"/>
      </w:pPr>
      <w:r>
        <w:rPr>
          <w:rStyle w:val="FootnoteReference"/>
        </w:rPr>
        <w:footnoteRef/>
      </w:r>
      <w:r>
        <w:t xml:space="preserve"> </w:t>
      </w:r>
      <w:r w:rsidR="00CA54D1">
        <w:t xml:space="preserve">AIHW (2022), </w:t>
      </w:r>
      <w:hyperlink r:id="rId9" w:history="1">
        <w:r w:rsidR="00CA54D1" w:rsidRPr="008223B6">
          <w:rPr>
            <w:rStyle w:val="Hyperlink"/>
            <w:i/>
            <w:iCs/>
          </w:rPr>
          <w:t>Australia’s children: overcrowding</w:t>
        </w:r>
      </w:hyperlink>
      <w:r w:rsidR="00CA54D1">
        <w:t>, Australian Institute of Health and Welfare, accessed March 2025.</w:t>
      </w:r>
    </w:p>
  </w:footnote>
  <w:footnote w:id="21">
    <w:p w14:paraId="47F1FF4F" w14:textId="13A6614D" w:rsidR="00357F51" w:rsidRDefault="00357F51" w:rsidP="00B71E6B">
      <w:pPr>
        <w:pStyle w:val="FootnoteText"/>
      </w:pPr>
      <w:r>
        <w:rPr>
          <w:rStyle w:val="FootnoteReference"/>
        </w:rPr>
        <w:footnoteRef/>
      </w:r>
      <w:r>
        <w:t xml:space="preserve"> </w:t>
      </w:r>
      <w:r w:rsidR="009B36FF" w:rsidRPr="000B39F3">
        <w:t xml:space="preserve">Moore TG, Arefadib N, Deery A, Keyes M </w:t>
      </w:r>
      <w:r w:rsidR="009B36FF">
        <w:t>and</w:t>
      </w:r>
      <w:r w:rsidR="009B36FF" w:rsidRPr="000B39F3">
        <w:t xml:space="preserve"> West S</w:t>
      </w:r>
      <w:r w:rsidR="009B36FF">
        <w:t xml:space="preserve"> (</w:t>
      </w:r>
      <w:r w:rsidR="009B36FF" w:rsidRPr="000B39F3">
        <w:t>2017</w:t>
      </w:r>
      <w:r w:rsidR="009B36FF">
        <w:t>)</w:t>
      </w:r>
      <w:r w:rsidR="009B36FF" w:rsidRPr="000B39F3">
        <w:t xml:space="preserve"> </w:t>
      </w:r>
      <w:hyperlink r:id="rId10" w:history="1">
        <w:r w:rsidR="009B36FF" w:rsidRPr="005A2FB6">
          <w:rPr>
            <w:rStyle w:val="Hyperlink"/>
            <w:i/>
            <w:iCs/>
          </w:rPr>
          <w:t>The first thousand days: An evidence paper</w:t>
        </w:r>
      </w:hyperlink>
      <w:r w:rsidR="009B36FF">
        <w:t>,</w:t>
      </w:r>
      <w:r w:rsidR="009B36FF" w:rsidRPr="000B39F3">
        <w:t xml:space="preserve"> Centre for Community Child Health, Murdoch Children’s Research Institute</w:t>
      </w:r>
      <w:r w:rsidR="009B36FF">
        <w:t>, Victoria, accessed March 2025.</w:t>
      </w:r>
    </w:p>
  </w:footnote>
  <w:footnote w:id="22">
    <w:p w14:paraId="71177FC7" w14:textId="77777777" w:rsidR="00A95407" w:rsidRDefault="00A95407" w:rsidP="00B71E6B">
      <w:pPr>
        <w:pStyle w:val="FootnoteText"/>
      </w:pPr>
      <w:r>
        <w:rPr>
          <w:rStyle w:val="FootnoteReference"/>
        </w:rPr>
        <w:footnoteRef/>
      </w:r>
      <w:r>
        <w:t xml:space="preserve"> Rents for one-bedroom properties have been compared with data from the 2024 Rental Affordability Snapshot to ensure that rents for the same type of properties are compared.</w:t>
      </w:r>
    </w:p>
  </w:footnote>
  <w:footnote w:id="23">
    <w:p w14:paraId="2D8DF2B9" w14:textId="43B56F5F" w:rsidR="00A95407" w:rsidRDefault="00A95407" w:rsidP="00B71E6B">
      <w:pPr>
        <w:pStyle w:val="FootnoteText"/>
      </w:pPr>
      <w:r>
        <w:rPr>
          <w:rStyle w:val="FootnoteReference"/>
        </w:rPr>
        <w:footnoteRef/>
      </w:r>
      <w:r>
        <w:t xml:space="preserve"> Rents on </w:t>
      </w:r>
      <w:r w:rsidR="00664166">
        <w:t>S</w:t>
      </w:r>
      <w:r>
        <w:t>napshot weekend 2025 were compared to the median rents for the same property type in the March quarter 2024 as compiled and reported by the T</w:t>
      </w:r>
      <w:r w:rsidR="0092728F">
        <w:t xml:space="preserve">enants Union of </w:t>
      </w:r>
      <w:r>
        <w:t>T</w:t>
      </w:r>
      <w:r w:rsidR="0092728F">
        <w:t>asmania</w:t>
      </w:r>
      <w:r>
        <w:t xml:space="preserve"> </w:t>
      </w:r>
      <w:hyperlink r:id="rId11" w:history="1">
        <w:r w:rsidRPr="00064662">
          <w:rPr>
            <w:rStyle w:val="Hyperlink"/>
          </w:rPr>
          <w:t>https://tutas.org.au/wp-content/uploads/2019/11/RDA-Rent-Stats-Mar-2024.pdf</w:t>
        </w:r>
      </w:hyperlink>
      <w:r>
        <w:t xml:space="preserve"> </w:t>
      </w:r>
    </w:p>
  </w:footnote>
  <w:footnote w:id="24">
    <w:p w14:paraId="39A57FBF" w14:textId="657D004C" w:rsidR="00A95407" w:rsidRDefault="00A95407" w:rsidP="00B71E6B">
      <w:pPr>
        <w:pStyle w:val="FootnoteText"/>
      </w:pPr>
      <w:r>
        <w:rPr>
          <w:rStyle w:val="FootnoteReference"/>
        </w:rPr>
        <w:footnoteRef/>
      </w:r>
      <w:r>
        <w:t xml:space="preserve"> Rents on </w:t>
      </w:r>
      <w:r w:rsidR="00664166">
        <w:t>S</w:t>
      </w:r>
      <w:r>
        <w:t>napshot weekend 2025 were compared to the median rents for the same property type in the March quarter 2024 as compiled and reported by the T</w:t>
      </w:r>
      <w:r w:rsidR="0092728F">
        <w:t xml:space="preserve">enants </w:t>
      </w:r>
      <w:r>
        <w:t>U</w:t>
      </w:r>
      <w:r w:rsidR="0092728F">
        <w:t xml:space="preserve">nion of </w:t>
      </w:r>
      <w:r>
        <w:t>T</w:t>
      </w:r>
      <w:r w:rsidR="0092728F">
        <w:t>asmania</w:t>
      </w:r>
      <w:r>
        <w:t xml:space="preserve"> </w:t>
      </w:r>
      <w:hyperlink r:id="rId12" w:history="1">
        <w:r w:rsidRPr="00064662">
          <w:rPr>
            <w:rStyle w:val="Hyperlink"/>
          </w:rPr>
          <w:t>https://tutas.org.au/wp-content/uploads/2019/11/RDA-Rent-Stats-Mar-2024.pdf</w:t>
        </w:r>
      </w:hyperlink>
    </w:p>
  </w:footnote>
  <w:footnote w:id="25">
    <w:p w14:paraId="314BD309" w14:textId="408886D2" w:rsidR="00343516" w:rsidRDefault="00343516" w:rsidP="00B71E6B">
      <w:pPr>
        <w:pStyle w:val="FootnoteText"/>
      </w:pPr>
      <w:r>
        <w:rPr>
          <w:rStyle w:val="FootnoteReference"/>
        </w:rPr>
        <w:footnoteRef/>
      </w:r>
      <w:r>
        <w:t xml:space="preserve"> </w:t>
      </w:r>
      <w:r w:rsidR="00D650F1">
        <w:t>AIHW</w:t>
      </w:r>
      <w:r w:rsidR="00584250">
        <w:t xml:space="preserve"> </w:t>
      </w:r>
      <w:r w:rsidR="00D650F1">
        <w:t>(</w:t>
      </w:r>
      <w:r w:rsidR="00584250">
        <w:t>2025</w:t>
      </w:r>
      <w:r w:rsidR="00D650F1">
        <w:t>)</w:t>
      </w:r>
      <w:r w:rsidR="00584250">
        <w:t xml:space="preserve"> </w:t>
      </w:r>
      <w:hyperlink r:id="rId13" w:history="1">
        <w:r w:rsidR="00584250" w:rsidRPr="00D650F1">
          <w:rPr>
            <w:rStyle w:val="Hyperlink"/>
            <w:i/>
            <w:iCs/>
          </w:rPr>
          <w:t>Homelessness and homelessness services</w:t>
        </w:r>
      </w:hyperlink>
      <w:r w:rsidR="00584250">
        <w:t>, Australian Institute of Health and Welfare, accessed March 2025</w:t>
      </w:r>
      <w:r w:rsidR="00D650F1">
        <w:t>.</w:t>
      </w:r>
    </w:p>
  </w:footnote>
  <w:footnote w:id="26">
    <w:p w14:paraId="7D6657CF" w14:textId="47BB9024" w:rsidR="00B65793" w:rsidRPr="00584250" w:rsidRDefault="00B65793" w:rsidP="00B71E6B">
      <w:pPr>
        <w:pStyle w:val="FootnoteText"/>
      </w:pPr>
      <w:r>
        <w:rPr>
          <w:rStyle w:val="FootnoteReference"/>
        </w:rPr>
        <w:footnoteRef/>
      </w:r>
      <w:r>
        <w:t xml:space="preserve"> Tasmanian Government, 2022, </w:t>
      </w:r>
      <w:r w:rsidRPr="00584250">
        <w:rPr>
          <w:i/>
          <w:iCs/>
        </w:rPr>
        <w:t>Tasmanian Housing Strategy 2023-2043</w:t>
      </w:r>
      <w:r w:rsidR="00584250">
        <w:t>.</w:t>
      </w:r>
    </w:p>
  </w:footnote>
  <w:footnote w:id="27">
    <w:p w14:paraId="55984DBE" w14:textId="03C0EE02" w:rsidR="0086694C" w:rsidRDefault="0086694C" w:rsidP="00B71E6B">
      <w:pPr>
        <w:pStyle w:val="FootnoteText"/>
      </w:pPr>
      <w:r>
        <w:rPr>
          <w:rStyle w:val="FootnoteReference"/>
        </w:rPr>
        <w:footnoteRef/>
      </w:r>
      <w:r>
        <w:t xml:space="preserve"> Tasmanian Government </w:t>
      </w:r>
      <w:r w:rsidR="0069231C">
        <w:t>(</w:t>
      </w:r>
      <w:r>
        <w:t>2025</w:t>
      </w:r>
      <w:r w:rsidR="0069231C">
        <w:t>)</w:t>
      </w:r>
      <w:r>
        <w:t xml:space="preserve"> </w:t>
      </w:r>
      <w:r w:rsidRPr="0069231C">
        <w:rPr>
          <w:i/>
          <w:iCs/>
        </w:rPr>
        <w:t>Homes Tasmania Housing Dashboard February 2025</w:t>
      </w:r>
      <w:r w:rsidR="0069231C">
        <w:rPr>
          <w:i/>
          <w:iCs/>
        </w:rPr>
        <w:t>.</w:t>
      </w:r>
    </w:p>
  </w:footnote>
  <w:footnote w:id="28">
    <w:p w14:paraId="4EEB54EE" w14:textId="72DD2020" w:rsidR="0086694C" w:rsidRDefault="0086694C" w:rsidP="00B71E6B">
      <w:pPr>
        <w:pStyle w:val="FootnoteText"/>
      </w:pPr>
      <w:r>
        <w:rPr>
          <w:rStyle w:val="FootnoteReference"/>
        </w:rPr>
        <w:footnoteRef/>
      </w:r>
      <w:r>
        <w:t xml:space="preserve"> Anglicare Tasmania </w:t>
      </w:r>
      <w:r w:rsidR="0069231C">
        <w:t>(</w:t>
      </w:r>
      <w:r>
        <w:t>2025</w:t>
      </w:r>
      <w:r w:rsidR="0069231C">
        <w:t>)</w:t>
      </w:r>
      <w:r>
        <w:t xml:space="preserve"> </w:t>
      </w:r>
      <w:r w:rsidRPr="0069231C">
        <w:rPr>
          <w:i/>
          <w:iCs/>
        </w:rPr>
        <w:t>Housing Connect Front Door Service Snapshot December quarter 2024</w:t>
      </w:r>
    </w:p>
  </w:footnote>
  <w:footnote w:id="29">
    <w:p w14:paraId="54EC6269" w14:textId="595F1CAF" w:rsidR="008A47A3" w:rsidRDefault="008A47A3" w:rsidP="00B71E6B">
      <w:pPr>
        <w:pStyle w:val="FootnoteText"/>
      </w:pPr>
      <w:r>
        <w:rPr>
          <w:rStyle w:val="FootnoteReference"/>
        </w:rPr>
        <w:footnoteRef/>
      </w:r>
      <w:r>
        <w:t xml:space="preserve"> </w:t>
      </w:r>
      <w:r w:rsidR="00C37117" w:rsidRPr="00C37117">
        <w:t>Anglicare Australia</w:t>
      </w:r>
      <w:r w:rsidR="00C37117">
        <w:t xml:space="preserve"> </w:t>
      </w:r>
      <w:r w:rsidR="0069231C">
        <w:t>(</w:t>
      </w:r>
      <w:r w:rsidR="00C37117" w:rsidRPr="00C37117">
        <w:t>2022</w:t>
      </w:r>
      <w:r w:rsidR="0069231C">
        <w:t>)</w:t>
      </w:r>
      <w:r w:rsidR="00C37117" w:rsidRPr="00C37117">
        <w:t xml:space="preserve"> </w:t>
      </w:r>
      <w:hyperlink r:id="rId14" w:history="1">
        <w:r w:rsidR="00C37117" w:rsidRPr="00332FA4">
          <w:rPr>
            <w:rStyle w:val="Hyperlink"/>
            <w:i/>
            <w:iCs/>
          </w:rPr>
          <w:t>Homes for all: A Roadmap to Affordable Housing</w:t>
        </w:r>
      </w:hyperlink>
      <w:r w:rsidR="00C37117">
        <w:t>,</w:t>
      </w:r>
      <w:r w:rsidR="00C37117" w:rsidRPr="00C37117">
        <w:t xml:space="preserve"> </w:t>
      </w:r>
      <w:r w:rsidR="00C37117">
        <w:t>accesse</w:t>
      </w:r>
      <w:r w:rsidR="0069231C">
        <w:t>d</w:t>
      </w:r>
      <w:r w:rsidR="00C37117">
        <w:t xml:space="preserve"> April 2025</w:t>
      </w:r>
      <w:r w:rsidR="00332FA4">
        <w:t>.</w:t>
      </w:r>
      <w:r w:rsidR="00EC5704">
        <w:t xml:space="preserve"> </w:t>
      </w:r>
    </w:p>
  </w:footnote>
  <w:footnote w:id="30">
    <w:p w14:paraId="0008C9BF" w14:textId="326909DC" w:rsidR="00EA2A67" w:rsidRDefault="00EA2A67" w:rsidP="00B71E6B">
      <w:pPr>
        <w:pStyle w:val="FootnoteText"/>
      </w:pPr>
      <w:r>
        <w:rPr>
          <w:rStyle w:val="FootnoteReference"/>
        </w:rPr>
        <w:footnoteRef/>
      </w:r>
      <w:r>
        <w:t xml:space="preserve"> </w:t>
      </w:r>
      <w:r w:rsidR="007E6E43">
        <w:t>Calculated using data from Australian Government Report on Government Services and Australian Bureau of Statistics.</w:t>
      </w:r>
    </w:p>
  </w:footnote>
  <w:footnote w:id="31">
    <w:p w14:paraId="7527E3FA" w14:textId="65E41C77" w:rsidR="00841C99" w:rsidRDefault="00841C99" w:rsidP="00B71E6B">
      <w:pPr>
        <w:pStyle w:val="FootnoteText"/>
      </w:pPr>
      <w:r>
        <w:rPr>
          <w:rStyle w:val="FootnoteReference"/>
        </w:rPr>
        <w:footnoteRef/>
      </w:r>
      <w:r>
        <w:t xml:space="preserve"> Coates B </w:t>
      </w:r>
      <w:r w:rsidR="002A1998">
        <w:t>(</w:t>
      </w:r>
      <w:r>
        <w:t>2021</w:t>
      </w:r>
      <w:r w:rsidR="002A1998">
        <w:t>)</w:t>
      </w:r>
      <w:r>
        <w:t xml:space="preserve"> ‘</w:t>
      </w:r>
      <w:hyperlink r:id="rId15" w:history="1">
        <w:r w:rsidRPr="007E4E8B">
          <w:rPr>
            <w:rStyle w:val="Hyperlink"/>
          </w:rPr>
          <w:t>The compelling case for a future fund for social housing</w:t>
        </w:r>
      </w:hyperlink>
      <w:r>
        <w:t xml:space="preserve">’, </w:t>
      </w:r>
      <w:r w:rsidR="000E773A" w:rsidRPr="00572FAD">
        <w:rPr>
          <w:i/>
          <w:iCs/>
        </w:rPr>
        <w:t>The Conversation</w:t>
      </w:r>
      <w:r w:rsidR="00850869">
        <w:t xml:space="preserve">, </w:t>
      </w:r>
      <w:r w:rsidR="007E6E43">
        <w:t>accessed April 2025</w:t>
      </w:r>
      <w:r w:rsidR="00892256">
        <w:t>.</w:t>
      </w:r>
    </w:p>
  </w:footnote>
  <w:footnote w:id="32">
    <w:p w14:paraId="6C534EFE" w14:textId="2C045602" w:rsidR="0062763C" w:rsidRDefault="0062763C" w:rsidP="00B71E6B">
      <w:pPr>
        <w:pStyle w:val="FootnoteText"/>
      </w:pPr>
      <w:r>
        <w:rPr>
          <w:rStyle w:val="FootnoteReference"/>
        </w:rPr>
        <w:footnoteRef/>
      </w:r>
      <w:r>
        <w:t xml:space="preserve"> </w:t>
      </w:r>
      <w:r w:rsidR="005E58FF" w:rsidRPr="005E58FF">
        <w:t>Sathanapally A, Bennett S, Breadon P, Coates B,</w:t>
      </w:r>
      <w:r w:rsidR="007E4E8B">
        <w:t xml:space="preserve"> </w:t>
      </w:r>
      <w:r w:rsidR="005E58FF" w:rsidRPr="005E58FF">
        <w:t>Hunter J, Wood T and Griffiths K (2025</w:t>
      </w:r>
      <w:r w:rsidR="005E58FF" w:rsidRPr="004B6281">
        <w:rPr>
          <w:i/>
          <w:iCs/>
        </w:rPr>
        <w:t>) Orange Book 2025: Policy priorities for</w:t>
      </w:r>
      <w:r w:rsidR="004B6281" w:rsidRPr="004B6281">
        <w:rPr>
          <w:i/>
          <w:iCs/>
        </w:rPr>
        <w:t xml:space="preserve"> </w:t>
      </w:r>
      <w:r w:rsidR="005E58FF" w:rsidRPr="004B6281">
        <w:rPr>
          <w:i/>
          <w:iCs/>
        </w:rPr>
        <w:t>the federal government</w:t>
      </w:r>
      <w:r w:rsidR="00747A3B">
        <w:rPr>
          <w:i/>
          <w:iCs/>
        </w:rPr>
        <w:t>,</w:t>
      </w:r>
      <w:r w:rsidR="005E58FF" w:rsidRPr="005E58FF">
        <w:t xml:space="preserve"> Grattan Institute.</w:t>
      </w:r>
    </w:p>
  </w:footnote>
  <w:footnote w:id="33">
    <w:p w14:paraId="255926C6" w14:textId="52ECAC1D" w:rsidR="0004486B" w:rsidRDefault="0004486B" w:rsidP="00B71E6B">
      <w:pPr>
        <w:pStyle w:val="FootnoteText"/>
      </w:pPr>
      <w:r>
        <w:rPr>
          <w:rStyle w:val="FootnoteReference"/>
        </w:rPr>
        <w:footnoteRef/>
      </w:r>
      <w:r>
        <w:t xml:space="preserve"> </w:t>
      </w:r>
      <w:r w:rsidR="005E58FF" w:rsidRPr="005E58FF">
        <w:t>Anglicare Australia</w:t>
      </w:r>
      <w:r w:rsidR="005E58FF">
        <w:t xml:space="preserve"> </w:t>
      </w:r>
      <w:r w:rsidR="005E58FF" w:rsidRPr="005E58FF">
        <w:t xml:space="preserve">2025 </w:t>
      </w:r>
      <w:hyperlink r:id="rId16" w:history="1">
        <w:r w:rsidR="005E58FF" w:rsidRPr="0078169C">
          <w:rPr>
            <w:rStyle w:val="Hyperlink"/>
            <w:i/>
            <w:iCs/>
          </w:rPr>
          <w:t>Investing in People: Anglicare Australia’s Plan for Australia’s Federal Budget</w:t>
        </w:r>
      </w:hyperlink>
      <w:r w:rsidR="005E58FF">
        <w:t>,</w:t>
      </w:r>
      <w:r w:rsidR="005E58FF" w:rsidRPr="005E58FF">
        <w:t xml:space="preserve"> </w:t>
      </w:r>
      <w:r w:rsidR="005E58FF">
        <w:t xml:space="preserve">accessed </w:t>
      </w:r>
      <w:r w:rsidR="00AA6182">
        <w:t>March 2025</w:t>
      </w:r>
      <w:r w:rsidR="000004FE">
        <w:t>.</w:t>
      </w:r>
    </w:p>
  </w:footnote>
  <w:footnote w:id="34">
    <w:p w14:paraId="5F2F217B" w14:textId="550DF8E3" w:rsidR="00F1373D" w:rsidRDefault="00F1373D">
      <w:pPr>
        <w:pStyle w:val="FootnoteText"/>
      </w:pPr>
      <w:r>
        <w:rPr>
          <w:rStyle w:val="FootnoteReference"/>
        </w:rPr>
        <w:footnoteRef/>
      </w:r>
      <w:r>
        <w:t xml:space="preserve"> </w:t>
      </w:r>
      <w:r w:rsidRPr="004429A8">
        <w:t>Sathanapally A, Bennett S, Breadon P, Coates B, Hunter J, Wood T and Griffiths K (2025</w:t>
      </w:r>
      <w:r w:rsidRPr="004429A8">
        <w:rPr>
          <w:i/>
          <w:iCs/>
        </w:rPr>
        <w:t>) Orange Book 2025: Policy priorities for the federal government,</w:t>
      </w:r>
      <w:r w:rsidRPr="004429A8">
        <w:t xml:space="preserve"> Grattan Institute.</w:t>
      </w:r>
    </w:p>
  </w:footnote>
  <w:footnote w:id="35">
    <w:p w14:paraId="6CC31957" w14:textId="23581539" w:rsidR="005467AA" w:rsidRDefault="005467AA" w:rsidP="00B71E6B">
      <w:pPr>
        <w:pStyle w:val="FootnoteText"/>
      </w:pPr>
      <w:r>
        <w:rPr>
          <w:rStyle w:val="FootnoteReference"/>
        </w:rPr>
        <w:footnoteRef/>
      </w:r>
      <w:r>
        <w:t xml:space="preserve"> </w:t>
      </w:r>
      <w:r w:rsidR="002E5EE1">
        <w:t>Eslake</w:t>
      </w:r>
      <w:r w:rsidR="00157655">
        <w:t xml:space="preserve"> S (202</w:t>
      </w:r>
      <w:r w:rsidR="000309E2">
        <w:t xml:space="preserve">4), </w:t>
      </w:r>
      <w:hyperlink r:id="rId17" w:history="1">
        <w:r w:rsidR="00CC7861" w:rsidRPr="00E65965">
          <w:rPr>
            <w:rStyle w:val="Hyperlink"/>
          </w:rPr>
          <w:t xml:space="preserve">Independent </w:t>
        </w:r>
        <w:r w:rsidR="00493D1E" w:rsidRPr="00E65965">
          <w:rPr>
            <w:rStyle w:val="Hyperlink"/>
          </w:rPr>
          <w:t>review of Tasmania’s state finances</w:t>
        </w:r>
      </w:hyperlink>
      <w:r w:rsidR="005C775B">
        <w:t>, accessed April 2025</w:t>
      </w:r>
      <w:r w:rsidR="00E65965">
        <w:t xml:space="preserve">; </w:t>
      </w:r>
      <w:bookmarkStart w:id="64" w:name="_Hlk195194670"/>
      <w:r w:rsidR="004429A8" w:rsidRPr="004429A8">
        <w:t>Sathanapally A, Bennett S, Breadon P, Coates B, Hunter J, Wood T and Griffiths K (2025</w:t>
      </w:r>
      <w:r w:rsidR="004429A8" w:rsidRPr="004429A8">
        <w:rPr>
          <w:i/>
          <w:iCs/>
        </w:rPr>
        <w:t>) Orange Book 2025: Policy priorities for the federal government,</w:t>
      </w:r>
      <w:r w:rsidR="004429A8" w:rsidRPr="004429A8">
        <w:t xml:space="preserve"> Grattan Institute.</w:t>
      </w:r>
      <w:bookmarkEnd w:id="64"/>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8779B"/>
    <w:multiLevelType w:val="hybridMultilevel"/>
    <w:tmpl w:val="840C2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5E1EF1"/>
    <w:multiLevelType w:val="hybridMultilevel"/>
    <w:tmpl w:val="6E262DC4"/>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 w15:restartNumberingAfterBreak="0">
    <w:nsid w:val="1097306B"/>
    <w:multiLevelType w:val="hybridMultilevel"/>
    <w:tmpl w:val="13562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980F1F"/>
    <w:multiLevelType w:val="hybridMultilevel"/>
    <w:tmpl w:val="9FCCF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C11ECC"/>
    <w:multiLevelType w:val="hybridMultilevel"/>
    <w:tmpl w:val="4886C8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B12278"/>
    <w:multiLevelType w:val="hybridMultilevel"/>
    <w:tmpl w:val="3CBC6B3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2E01BC7"/>
    <w:multiLevelType w:val="hybridMultilevel"/>
    <w:tmpl w:val="8BD631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B452110"/>
    <w:multiLevelType w:val="hybridMultilevel"/>
    <w:tmpl w:val="1422C64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19B4F4A"/>
    <w:multiLevelType w:val="hybridMultilevel"/>
    <w:tmpl w:val="23A26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4607E9"/>
    <w:multiLevelType w:val="hybridMultilevel"/>
    <w:tmpl w:val="C2DCFB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2113B25"/>
    <w:multiLevelType w:val="hybridMultilevel"/>
    <w:tmpl w:val="87BCA0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4F359B7"/>
    <w:multiLevelType w:val="hybridMultilevel"/>
    <w:tmpl w:val="08727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E96D5E"/>
    <w:multiLevelType w:val="hybridMultilevel"/>
    <w:tmpl w:val="064624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48C478E"/>
    <w:multiLevelType w:val="hybridMultilevel"/>
    <w:tmpl w:val="C7C44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4C0D2E"/>
    <w:multiLevelType w:val="hybridMultilevel"/>
    <w:tmpl w:val="C264066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649F7E46"/>
    <w:multiLevelType w:val="hybridMultilevel"/>
    <w:tmpl w:val="142EAF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86540E5"/>
    <w:multiLevelType w:val="hybridMultilevel"/>
    <w:tmpl w:val="D9B80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C7E6988"/>
    <w:multiLevelType w:val="hybridMultilevel"/>
    <w:tmpl w:val="AAF87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F46306"/>
    <w:multiLevelType w:val="hybridMultilevel"/>
    <w:tmpl w:val="3A58A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4"/>
  </w:num>
  <w:num w:numId="4">
    <w:abstractNumId w:val="7"/>
  </w:num>
  <w:num w:numId="5">
    <w:abstractNumId w:val="11"/>
  </w:num>
  <w:num w:numId="6">
    <w:abstractNumId w:val="18"/>
  </w:num>
  <w:num w:numId="7">
    <w:abstractNumId w:val="13"/>
  </w:num>
  <w:num w:numId="8">
    <w:abstractNumId w:val="8"/>
  </w:num>
  <w:num w:numId="9">
    <w:abstractNumId w:val="5"/>
  </w:num>
  <w:num w:numId="10">
    <w:abstractNumId w:val="1"/>
  </w:num>
  <w:num w:numId="11">
    <w:abstractNumId w:val="6"/>
  </w:num>
  <w:num w:numId="12">
    <w:abstractNumId w:val="17"/>
  </w:num>
  <w:num w:numId="13">
    <w:abstractNumId w:val="2"/>
  </w:num>
  <w:num w:numId="14">
    <w:abstractNumId w:val="0"/>
  </w:num>
  <w:num w:numId="15">
    <w:abstractNumId w:val="3"/>
  </w:num>
  <w:num w:numId="16">
    <w:abstractNumId w:val="9"/>
  </w:num>
  <w:num w:numId="17">
    <w:abstractNumId w:val="10"/>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3D3"/>
    <w:rsid w:val="000004FE"/>
    <w:rsid w:val="0000110F"/>
    <w:rsid w:val="00001B1E"/>
    <w:rsid w:val="000023AC"/>
    <w:rsid w:val="00002A4F"/>
    <w:rsid w:val="00003B37"/>
    <w:rsid w:val="000042BF"/>
    <w:rsid w:val="00004B70"/>
    <w:rsid w:val="00004BBE"/>
    <w:rsid w:val="00005A33"/>
    <w:rsid w:val="00006208"/>
    <w:rsid w:val="000062F4"/>
    <w:rsid w:val="0000729C"/>
    <w:rsid w:val="000072B2"/>
    <w:rsid w:val="00010478"/>
    <w:rsid w:val="00011376"/>
    <w:rsid w:val="00012665"/>
    <w:rsid w:val="000148E1"/>
    <w:rsid w:val="00014C80"/>
    <w:rsid w:val="00016BE4"/>
    <w:rsid w:val="000172F2"/>
    <w:rsid w:val="00020CAF"/>
    <w:rsid w:val="00022148"/>
    <w:rsid w:val="00023324"/>
    <w:rsid w:val="000233C8"/>
    <w:rsid w:val="00023EB5"/>
    <w:rsid w:val="00025D5D"/>
    <w:rsid w:val="00026453"/>
    <w:rsid w:val="00027340"/>
    <w:rsid w:val="000309E2"/>
    <w:rsid w:val="00030D22"/>
    <w:rsid w:val="00031740"/>
    <w:rsid w:val="0003197E"/>
    <w:rsid w:val="0003403C"/>
    <w:rsid w:val="000349D7"/>
    <w:rsid w:val="00034F58"/>
    <w:rsid w:val="00035000"/>
    <w:rsid w:val="000353E3"/>
    <w:rsid w:val="00035741"/>
    <w:rsid w:val="00036156"/>
    <w:rsid w:val="0003672F"/>
    <w:rsid w:val="000367CB"/>
    <w:rsid w:val="00037428"/>
    <w:rsid w:val="000374B4"/>
    <w:rsid w:val="00037716"/>
    <w:rsid w:val="00037BD6"/>
    <w:rsid w:val="00040343"/>
    <w:rsid w:val="000417EF"/>
    <w:rsid w:val="0004206C"/>
    <w:rsid w:val="0004486B"/>
    <w:rsid w:val="00045ECD"/>
    <w:rsid w:val="00050A6C"/>
    <w:rsid w:val="000515D0"/>
    <w:rsid w:val="000528F8"/>
    <w:rsid w:val="00053CB3"/>
    <w:rsid w:val="00054310"/>
    <w:rsid w:val="0005706D"/>
    <w:rsid w:val="0005721F"/>
    <w:rsid w:val="00057C8E"/>
    <w:rsid w:val="000600B7"/>
    <w:rsid w:val="00060925"/>
    <w:rsid w:val="00062291"/>
    <w:rsid w:val="00062619"/>
    <w:rsid w:val="00063B92"/>
    <w:rsid w:val="00065AE0"/>
    <w:rsid w:val="00065D22"/>
    <w:rsid w:val="00066F67"/>
    <w:rsid w:val="00067BC8"/>
    <w:rsid w:val="00071A7B"/>
    <w:rsid w:val="00075111"/>
    <w:rsid w:val="00076404"/>
    <w:rsid w:val="00076D2F"/>
    <w:rsid w:val="0008037A"/>
    <w:rsid w:val="0008199D"/>
    <w:rsid w:val="00081E33"/>
    <w:rsid w:val="00081F97"/>
    <w:rsid w:val="00082197"/>
    <w:rsid w:val="00082F71"/>
    <w:rsid w:val="0008312A"/>
    <w:rsid w:val="000831D4"/>
    <w:rsid w:val="00083322"/>
    <w:rsid w:val="00083AD1"/>
    <w:rsid w:val="00083C64"/>
    <w:rsid w:val="00083E76"/>
    <w:rsid w:val="000845C4"/>
    <w:rsid w:val="00084B96"/>
    <w:rsid w:val="00084C30"/>
    <w:rsid w:val="000856BA"/>
    <w:rsid w:val="000902CE"/>
    <w:rsid w:val="00091C5A"/>
    <w:rsid w:val="00092AC2"/>
    <w:rsid w:val="0009302F"/>
    <w:rsid w:val="00093086"/>
    <w:rsid w:val="00093172"/>
    <w:rsid w:val="00095AEF"/>
    <w:rsid w:val="00097064"/>
    <w:rsid w:val="0009756B"/>
    <w:rsid w:val="000A0DAF"/>
    <w:rsid w:val="000A2AE9"/>
    <w:rsid w:val="000A35CB"/>
    <w:rsid w:val="000A403E"/>
    <w:rsid w:val="000A417E"/>
    <w:rsid w:val="000A4DBA"/>
    <w:rsid w:val="000A77D4"/>
    <w:rsid w:val="000A782A"/>
    <w:rsid w:val="000A7AC8"/>
    <w:rsid w:val="000A7AFD"/>
    <w:rsid w:val="000B076D"/>
    <w:rsid w:val="000B07A6"/>
    <w:rsid w:val="000B08A2"/>
    <w:rsid w:val="000B17A3"/>
    <w:rsid w:val="000B3366"/>
    <w:rsid w:val="000B347B"/>
    <w:rsid w:val="000B34E7"/>
    <w:rsid w:val="000B358F"/>
    <w:rsid w:val="000B39F3"/>
    <w:rsid w:val="000B4099"/>
    <w:rsid w:val="000B42B1"/>
    <w:rsid w:val="000B456A"/>
    <w:rsid w:val="000B505A"/>
    <w:rsid w:val="000B5118"/>
    <w:rsid w:val="000B5C89"/>
    <w:rsid w:val="000B5D7E"/>
    <w:rsid w:val="000B66EB"/>
    <w:rsid w:val="000B675F"/>
    <w:rsid w:val="000C1AE0"/>
    <w:rsid w:val="000C2E78"/>
    <w:rsid w:val="000C46FE"/>
    <w:rsid w:val="000C4CCB"/>
    <w:rsid w:val="000C61A2"/>
    <w:rsid w:val="000C670C"/>
    <w:rsid w:val="000C69BD"/>
    <w:rsid w:val="000D06C0"/>
    <w:rsid w:val="000D08B7"/>
    <w:rsid w:val="000D12A4"/>
    <w:rsid w:val="000D1C12"/>
    <w:rsid w:val="000D1F34"/>
    <w:rsid w:val="000D587B"/>
    <w:rsid w:val="000D5A5E"/>
    <w:rsid w:val="000D5CE5"/>
    <w:rsid w:val="000D5D30"/>
    <w:rsid w:val="000D7A45"/>
    <w:rsid w:val="000E0099"/>
    <w:rsid w:val="000E2454"/>
    <w:rsid w:val="000E2E18"/>
    <w:rsid w:val="000E3BB1"/>
    <w:rsid w:val="000E4D1C"/>
    <w:rsid w:val="000E5231"/>
    <w:rsid w:val="000E6C42"/>
    <w:rsid w:val="000E766E"/>
    <w:rsid w:val="000E773A"/>
    <w:rsid w:val="000F099D"/>
    <w:rsid w:val="000F0A82"/>
    <w:rsid w:val="000F1284"/>
    <w:rsid w:val="000F2E19"/>
    <w:rsid w:val="000F3EF0"/>
    <w:rsid w:val="000F3FB3"/>
    <w:rsid w:val="000F41D9"/>
    <w:rsid w:val="000F4969"/>
    <w:rsid w:val="000F4A01"/>
    <w:rsid w:val="000F505C"/>
    <w:rsid w:val="00100030"/>
    <w:rsid w:val="001004E7"/>
    <w:rsid w:val="00100905"/>
    <w:rsid w:val="001017EE"/>
    <w:rsid w:val="00102632"/>
    <w:rsid w:val="00102FF8"/>
    <w:rsid w:val="001035AE"/>
    <w:rsid w:val="00104957"/>
    <w:rsid w:val="0010523A"/>
    <w:rsid w:val="0010563C"/>
    <w:rsid w:val="00105821"/>
    <w:rsid w:val="001061DA"/>
    <w:rsid w:val="00106B4A"/>
    <w:rsid w:val="00111E0F"/>
    <w:rsid w:val="0011225B"/>
    <w:rsid w:val="0011245E"/>
    <w:rsid w:val="001124EE"/>
    <w:rsid w:val="00112616"/>
    <w:rsid w:val="0011405E"/>
    <w:rsid w:val="00114896"/>
    <w:rsid w:val="00114971"/>
    <w:rsid w:val="001167F7"/>
    <w:rsid w:val="0011722E"/>
    <w:rsid w:val="00117529"/>
    <w:rsid w:val="00121018"/>
    <w:rsid w:val="00121E1E"/>
    <w:rsid w:val="001242AF"/>
    <w:rsid w:val="00125264"/>
    <w:rsid w:val="00125A60"/>
    <w:rsid w:val="00126222"/>
    <w:rsid w:val="001273DF"/>
    <w:rsid w:val="00131446"/>
    <w:rsid w:val="00133988"/>
    <w:rsid w:val="00133A28"/>
    <w:rsid w:val="00133B82"/>
    <w:rsid w:val="00133F7D"/>
    <w:rsid w:val="001343CB"/>
    <w:rsid w:val="001353C6"/>
    <w:rsid w:val="001356DD"/>
    <w:rsid w:val="00135C1E"/>
    <w:rsid w:val="001361FE"/>
    <w:rsid w:val="001404FD"/>
    <w:rsid w:val="00140E84"/>
    <w:rsid w:val="00142ABF"/>
    <w:rsid w:val="00142E80"/>
    <w:rsid w:val="001432B6"/>
    <w:rsid w:val="00144110"/>
    <w:rsid w:val="00144366"/>
    <w:rsid w:val="0014475A"/>
    <w:rsid w:val="00144B7C"/>
    <w:rsid w:val="00146035"/>
    <w:rsid w:val="0015130F"/>
    <w:rsid w:val="001520B1"/>
    <w:rsid w:val="00153EE6"/>
    <w:rsid w:val="001551EA"/>
    <w:rsid w:val="00157655"/>
    <w:rsid w:val="00157AE1"/>
    <w:rsid w:val="00161117"/>
    <w:rsid w:val="001640FD"/>
    <w:rsid w:val="001643B4"/>
    <w:rsid w:val="001643C8"/>
    <w:rsid w:val="00167A0C"/>
    <w:rsid w:val="00167C27"/>
    <w:rsid w:val="00167CFE"/>
    <w:rsid w:val="00170305"/>
    <w:rsid w:val="00170FDF"/>
    <w:rsid w:val="00171648"/>
    <w:rsid w:val="0017178D"/>
    <w:rsid w:val="00172945"/>
    <w:rsid w:val="00172C84"/>
    <w:rsid w:val="00174330"/>
    <w:rsid w:val="00174795"/>
    <w:rsid w:val="001754A6"/>
    <w:rsid w:val="00176049"/>
    <w:rsid w:val="0017604D"/>
    <w:rsid w:val="00176A7F"/>
    <w:rsid w:val="00176E05"/>
    <w:rsid w:val="00176F07"/>
    <w:rsid w:val="0017746A"/>
    <w:rsid w:val="00177996"/>
    <w:rsid w:val="00180301"/>
    <w:rsid w:val="001824DC"/>
    <w:rsid w:val="00182FC1"/>
    <w:rsid w:val="001859FC"/>
    <w:rsid w:val="001866F3"/>
    <w:rsid w:val="001869AD"/>
    <w:rsid w:val="00186BE7"/>
    <w:rsid w:val="00187671"/>
    <w:rsid w:val="00190BA0"/>
    <w:rsid w:val="00191622"/>
    <w:rsid w:val="001928F2"/>
    <w:rsid w:val="00192F46"/>
    <w:rsid w:val="0019475B"/>
    <w:rsid w:val="00196324"/>
    <w:rsid w:val="00196E8B"/>
    <w:rsid w:val="001A177F"/>
    <w:rsid w:val="001A2779"/>
    <w:rsid w:val="001A544C"/>
    <w:rsid w:val="001A5E89"/>
    <w:rsid w:val="001A6197"/>
    <w:rsid w:val="001A61E2"/>
    <w:rsid w:val="001A6719"/>
    <w:rsid w:val="001A6AA3"/>
    <w:rsid w:val="001A7D31"/>
    <w:rsid w:val="001B116A"/>
    <w:rsid w:val="001B22D9"/>
    <w:rsid w:val="001B233A"/>
    <w:rsid w:val="001B2616"/>
    <w:rsid w:val="001B2C04"/>
    <w:rsid w:val="001B30BD"/>
    <w:rsid w:val="001B4465"/>
    <w:rsid w:val="001B4CC0"/>
    <w:rsid w:val="001C02D9"/>
    <w:rsid w:val="001C1C85"/>
    <w:rsid w:val="001C251C"/>
    <w:rsid w:val="001C3686"/>
    <w:rsid w:val="001C36A8"/>
    <w:rsid w:val="001C3E32"/>
    <w:rsid w:val="001C5132"/>
    <w:rsid w:val="001C6306"/>
    <w:rsid w:val="001C6AB7"/>
    <w:rsid w:val="001D0536"/>
    <w:rsid w:val="001D21DF"/>
    <w:rsid w:val="001D2951"/>
    <w:rsid w:val="001D673E"/>
    <w:rsid w:val="001D67DE"/>
    <w:rsid w:val="001D748C"/>
    <w:rsid w:val="001D7D26"/>
    <w:rsid w:val="001E0489"/>
    <w:rsid w:val="001E45D9"/>
    <w:rsid w:val="001E4678"/>
    <w:rsid w:val="001E5001"/>
    <w:rsid w:val="001E5BA2"/>
    <w:rsid w:val="001E7255"/>
    <w:rsid w:val="001E73B3"/>
    <w:rsid w:val="001E7925"/>
    <w:rsid w:val="001F0642"/>
    <w:rsid w:val="001F0C17"/>
    <w:rsid w:val="001F18E9"/>
    <w:rsid w:val="001F1D2B"/>
    <w:rsid w:val="001F1FAA"/>
    <w:rsid w:val="001F26B2"/>
    <w:rsid w:val="001F38E4"/>
    <w:rsid w:val="001F51A9"/>
    <w:rsid w:val="001F5A11"/>
    <w:rsid w:val="002010EB"/>
    <w:rsid w:val="002011A1"/>
    <w:rsid w:val="00202BDC"/>
    <w:rsid w:val="00204EA5"/>
    <w:rsid w:val="00204FB8"/>
    <w:rsid w:val="00206342"/>
    <w:rsid w:val="00207650"/>
    <w:rsid w:val="00211250"/>
    <w:rsid w:val="00211F0C"/>
    <w:rsid w:val="00212DA1"/>
    <w:rsid w:val="0021473F"/>
    <w:rsid w:val="002147F2"/>
    <w:rsid w:val="00215280"/>
    <w:rsid w:val="0021623B"/>
    <w:rsid w:val="0022087A"/>
    <w:rsid w:val="00222162"/>
    <w:rsid w:val="00222F55"/>
    <w:rsid w:val="00224285"/>
    <w:rsid w:val="00224FB0"/>
    <w:rsid w:val="0022532E"/>
    <w:rsid w:val="00225CFE"/>
    <w:rsid w:val="00226E62"/>
    <w:rsid w:val="00227D5A"/>
    <w:rsid w:val="002306CF"/>
    <w:rsid w:val="0023201F"/>
    <w:rsid w:val="00236612"/>
    <w:rsid w:val="00236DED"/>
    <w:rsid w:val="00236F05"/>
    <w:rsid w:val="002378E5"/>
    <w:rsid w:val="00240517"/>
    <w:rsid w:val="00240D90"/>
    <w:rsid w:val="002426B3"/>
    <w:rsid w:val="00243E87"/>
    <w:rsid w:val="00243FB3"/>
    <w:rsid w:val="00246AD8"/>
    <w:rsid w:val="00246BB7"/>
    <w:rsid w:val="00246DCA"/>
    <w:rsid w:val="00247082"/>
    <w:rsid w:val="002478A1"/>
    <w:rsid w:val="0025150A"/>
    <w:rsid w:val="002520DE"/>
    <w:rsid w:val="0025378F"/>
    <w:rsid w:val="00253A24"/>
    <w:rsid w:val="00254CB0"/>
    <w:rsid w:val="002559C2"/>
    <w:rsid w:val="0025629B"/>
    <w:rsid w:val="002569B9"/>
    <w:rsid w:val="00256A92"/>
    <w:rsid w:val="0025706F"/>
    <w:rsid w:val="00261B5D"/>
    <w:rsid w:val="00262C90"/>
    <w:rsid w:val="00264748"/>
    <w:rsid w:val="00264805"/>
    <w:rsid w:val="00264A75"/>
    <w:rsid w:val="00264DAB"/>
    <w:rsid w:val="00266E5F"/>
    <w:rsid w:val="0026736C"/>
    <w:rsid w:val="0027218E"/>
    <w:rsid w:val="00272D3E"/>
    <w:rsid w:val="00274668"/>
    <w:rsid w:val="00275C63"/>
    <w:rsid w:val="00276949"/>
    <w:rsid w:val="00276AF6"/>
    <w:rsid w:val="002773E5"/>
    <w:rsid w:val="0027769D"/>
    <w:rsid w:val="00280A82"/>
    <w:rsid w:val="00282963"/>
    <w:rsid w:val="00282989"/>
    <w:rsid w:val="0028430B"/>
    <w:rsid w:val="00284FB5"/>
    <w:rsid w:val="00285ADC"/>
    <w:rsid w:val="0028614E"/>
    <w:rsid w:val="00286E3D"/>
    <w:rsid w:val="00286F92"/>
    <w:rsid w:val="00287381"/>
    <w:rsid w:val="0029122A"/>
    <w:rsid w:val="002912EB"/>
    <w:rsid w:val="002917AD"/>
    <w:rsid w:val="00292066"/>
    <w:rsid w:val="00293466"/>
    <w:rsid w:val="0029368D"/>
    <w:rsid w:val="0029388C"/>
    <w:rsid w:val="002947FC"/>
    <w:rsid w:val="00294E6F"/>
    <w:rsid w:val="002979EC"/>
    <w:rsid w:val="002A017E"/>
    <w:rsid w:val="002A0446"/>
    <w:rsid w:val="002A08F9"/>
    <w:rsid w:val="002A1393"/>
    <w:rsid w:val="002A1998"/>
    <w:rsid w:val="002A1C57"/>
    <w:rsid w:val="002A3763"/>
    <w:rsid w:val="002A4D5F"/>
    <w:rsid w:val="002A550A"/>
    <w:rsid w:val="002A75E3"/>
    <w:rsid w:val="002B1C2B"/>
    <w:rsid w:val="002B1DAB"/>
    <w:rsid w:val="002B2415"/>
    <w:rsid w:val="002B4920"/>
    <w:rsid w:val="002B4FDA"/>
    <w:rsid w:val="002B6262"/>
    <w:rsid w:val="002B6A36"/>
    <w:rsid w:val="002C0E98"/>
    <w:rsid w:val="002C234C"/>
    <w:rsid w:val="002C27E6"/>
    <w:rsid w:val="002C5D56"/>
    <w:rsid w:val="002C67B4"/>
    <w:rsid w:val="002C71C0"/>
    <w:rsid w:val="002D1F2A"/>
    <w:rsid w:val="002D209E"/>
    <w:rsid w:val="002D2741"/>
    <w:rsid w:val="002D4175"/>
    <w:rsid w:val="002D6BAA"/>
    <w:rsid w:val="002D76B9"/>
    <w:rsid w:val="002D7CE5"/>
    <w:rsid w:val="002E01E9"/>
    <w:rsid w:val="002E04D1"/>
    <w:rsid w:val="002E0CFE"/>
    <w:rsid w:val="002E1984"/>
    <w:rsid w:val="002E29E0"/>
    <w:rsid w:val="002E3AD0"/>
    <w:rsid w:val="002E4B30"/>
    <w:rsid w:val="002E50B7"/>
    <w:rsid w:val="002E5EE1"/>
    <w:rsid w:val="002E732B"/>
    <w:rsid w:val="002E76B2"/>
    <w:rsid w:val="002E7809"/>
    <w:rsid w:val="002F01BB"/>
    <w:rsid w:val="002F26F4"/>
    <w:rsid w:val="002F2A07"/>
    <w:rsid w:val="002F3A61"/>
    <w:rsid w:val="002F4138"/>
    <w:rsid w:val="002F432E"/>
    <w:rsid w:val="002F4D14"/>
    <w:rsid w:val="002F5644"/>
    <w:rsid w:val="002F5E17"/>
    <w:rsid w:val="002F6B94"/>
    <w:rsid w:val="002F7B62"/>
    <w:rsid w:val="002F7FE8"/>
    <w:rsid w:val="00301732"/>
    <w:rsid w:val="0030297B"/>
    <w:rsid w:val="00302DB6"/>
    <w:rsid w:val="003033B2"/>
    <w:rsid w:val="00303D51"/>
    <w:rsid w:val="00303E52"/>
    <w:rsid w:val="00304C1A"/>
    <w:rsid w:val="003054B0"/>
    <w:rsid w:val="003064C4"/>
    <w:rsid w:val="00307D32"/>
    <w:rsid w:val="00307F20"/>
    <w:rsid w:val="00310C79"/>
    <w:rsid w:val="0031295A"/>
    <w:rsid w:val="00313BC7"/>
    <w:rsid w:val="00313C56"/>
    <w:rsid w:val="00315605"/>
    <w:rsid w:val="003156B4"/>
    <w:rsid w:val="00320251"/>
    <w:rsid w:val="00320837"/>
    <w:rsid w:val="003225E2"/>
    <w:rsid w:val="00324C69"/>
    <w:rsid w:val="00326F1C"/>
    <w:rsid w:val="003274BD"/>
    <w:rsid w:val="00327507"/>
    <w:rsid w:val="00327E19"/>
    <w:rsid w:val="00331753"/>
    <w:rsid w:val="00332BA4"/>
    <w:rsid w:val="00332CE9"/>
    <w:rsid w:val="00332FA4"/>
    <w:rsid w:val="00334520"/>
    <w:rsid w:val="0033764C"/>
    <w:rsid w:val="00337FE3"/>
    <w:rsid w:val="00340564"/>
    <w:rsid w:val="00340842"/>
    <w:rsid w:val="00340B26"/>
    <w:rsid w:val="00340D45"/>
    <w:rsid w:val="00341064"/>
    <w:rsid w:val="00343516"/>
    <w:rsid w:val="00343A1F"/>
    <w:rsid w:val="00343C20"/>
    <w:rsid w:val="00344202"/>
    <w:rsid w:val="00344634"/>
    <w:rsid w:val="0034673D"/>
    <w:rsid w:val="00347B80"/>
    <w:rsid w:val="00347C9A"/>
    <w:rsid w:val="003507A8"/>
    <w:rsid w:val="00350A72"/>
    <w:rsid w:val="00352411"/>
    <w:rsid w:val="00353DB2"/>
    <w:rsid w:val="0035516D"/>
    <w:rsid w:val="00356A05"/>
    <w:rsid w:val="0035761E"/>
    <w:rsid w:val="00357F51"/>
    <w:rsid w:val="00360D1D"/>
    <w:rsid w:val="00360D22"/>
    <w:rsid w:val="0036262E"/>
    <w:rsid w:val="00362748"/>
    <w:rsid w:val="00362856"/>
    <w:rsid w:val="0036474A"/>
    <w:rsid w:val="0036561B"/>
    <w:rsid w:val="003666F0"/>
    <w:rsid w:val="00366A7F"/>
    <w:rsid w:val="00366AE9"/>
    <w:rsid w:val="00367658"/>
    <w:rsid w:val="00367FA0"/>
    <w:rsid w:val="00370065"/>
    <w:rsid w:val="00370689"/>
    <w:rsid w:val="00372132"/>
    <w:rsid w:val="00372803"/>
    <w:rsid w:val="00372DED"/>
    <w:rsid w:val="00374023"/>
    <w:rsid w:val="00374A7A"/>
    <w:rsid w:val="00375FBF"/>
    <w:rsid w:val="00376BD2"/>
    <w:rsid w:val="003804B9"/>
    <w:rsid w:val="003816F4"/>
    <w:rsid w:val="0038277F"/>
    <w:rsid w:val="00385DD6"/>
    <w:rsid w:val="00385F91"/>
    <w:rsid w:val="00387D29"/>
    <w:rsid w:val="0039008B"/>
    <w:rsid w:val="0039074A"/>
    <w:rsid w:val="003908B4"/>
    <w:rsid w:val="0039294C"/>
    <w:rsid w:val="00392AB2"/>
    <w:rsid w:val="003943C0"/>
    <w:rsid w:val="00397628"/>
    <w:rsid w:val="00397ED8"/>
    <w:rsid w:val="003A0868"/>
    <w:rsid w:val="003A1EF1"/>
    <w:rsid w:val="003A2B26"/>
    <w:rsid w:val="003A4238"/>
    <w:rsid w:val="003A54B4"/>
    <w:rsid w:val="003B4A76"/>
    <w:rsid w:val="003B4C4C"/>
    <w:rsid w:val="003B4EAC"/>
    <w:rsid w:val="003B6006"/>
    <w:rsid w:val="003B7F88"/>
    <w:rsid w:val="003C136E"/>
    <w:rsid w:val="003C1A59"/>
    <w:rsid w:val="003C2DF8"/>
    <w:rsid w:val="003C4729"/>
    <w:rsid w:val="003C4AA1"/>
    <w:rsid w:val="003C55C9"/>
    <w:rsid w:val="003C57DE"/>
    <w:rsid w:val="003C61D1"/>
    <w:rsid w:val="003C6689"/>
    <w:rsid w:val="003C78CB"/>
    <w:rsid w:val="003C7C88"/>
    <w:rsid w:val="003D051A"/>
    <w:rsid w:val="003D2142"/>
    <w:rsid w:val="003D225D"/>
    <w:rsid w:val="003D25C8"/>
    <w:rsid w:val="003D2F87"/>
    <w:rsid w:val="003D317E"/>
    <w:rsid w:val="003D4CB2"/>
    <w:rsid w:val="003D5643"/>
    <w:rsid w:val="003D5B0C"/>
    <w:rsid w:val="003D5FE1"/>
    <w:rsid w:val="003D6BA4"/>
    <w:rsid w:val="003D7095"/>
    <w:rsid w:val="003D7BBE"/>
    <w:rsid w:val="003E0359"/>
    <w:rsid w:val="003E0C10"/>
    <w:rsid w:val="003E16E3"/>
    <w:rsid w:val="003E2031"/>
    <w:rsid w:val="003E327A"/>
    <w:rsid w:val="003E3496"/>
    <w:rsid w:val="003E35C1"/>
    <w:rsid w:val="003E465C"/>
    <w:rsid w:val="003E4DD1"/>
    <w:rsid w:val="003E4FE2"/>
    <w:rsid w:val="003E6EBF"/>
    <w:rsid w:val="003E71AC"/>
    <w:rsid w:val="003E7792"/>
    <w:rsid w:val="003F0652"/>
    <w:rsid w:val="003F1FED"/>
    <w:rsid w:val="003F2493"/>
    <w:rsid w:val="003F2909"/>
    <w:rsid w:val="003F2F6F"/>
    <w:rsid w:val="003F3A3F"/>
    <w:rsid w:val="003F3F20"/>
    <w:rsid w:val="003F49A8"/>
    <w:rsid w:val="003F54EC"/>
    <w:rsid w:val="003F659C"/>
    <w:rsid w:val="003F6BB8"/>
    <w:rsid w:val="003F6CB4"/>
    <w:rsid w:val="003F78E3"/>
    <w:rsid w:val="00402C77"/>
    <w:rsid w:val="00402E2E"/>
    <w:rsid w:val="00404168"/>
    <w:rsid w:val="004046B3"/>
    <w:rsid w:val="00405BD7"/>
    <w:rsid w:val="00407070"/>
    <w:rsid w:val="00410274"/>
    <w:rsid w:val="00410C12"/>
    <w:rsid w:val="004114DE"/>
    <w:rsid w:val="00411547"/>
    <w:rsid w:val="00411DE2"/>
    <w:rsid w:val="00412615"/>
    <w:rsid w:val="00412B29"/>
    <w:rsid w:val="00412D32"/>
    <w:rsid w:val="004135B6"/>
    <w:rsid w:val="00413C94"/>
    <w:rsid w:val="00415A32"/>
    <w:rsid w:val="0042151B"/>
    <w:rsid w:val="00421FCF"/>
    <w:rsid w:val="004225B8"/>
    <w:rsid w:val="00423492"/>
    <w:rsid w:val="0042498A"/>
    <w:rsid w:val="00425028"/>
    <w:rsid w:val="00426F45"/>
    <w:rsid w:val="00427A7F"/>
    <w:rsid w:val="004304B3"/>
    <w:rsid w:val="00431A24"/>
    <w:rsid w:val="00431F93"/>
    <w:rsid w:val="0043270B"/>
    <w:rsid w:val="00432FB2"/>
    <w:rsid w:val="00434012"/>
    <w:rsid w:val="004343AE"/>
    <w:rsid w:val="00435245"/>
    <w:rsid w:val="004358DE"/>
    <w:rsid w:val="00436029"/>
    <w:rsid w:val="00440C00"/>
    <w:rsid w:val="004416BA"/>
    <w:rsid w:val="00441FC0"/>
    <w:rsid w:val="004429A8"/>
    <w:rsid w:val="00442AC8"/>
    <w:rsid w:val="004435FF"/>
    <w:rsid w:val="004448CC"/>
    <w:rsid w:val="00446AF2"/>
    <w:rsid w:val="00447DDC"/>
    <w:rsid w:val="004505AC"/>
    <w:rsid w:val="004514B2"/>
    <w:rsid w:val="00451E00"/>
    <w:rsid w:val="00453463"/>
    <w:rsid w:val="00453870"/>
    <w:rsid w:val="004557E7"/>
    <w:rsid w:val="00455991"/>
    <w:rsid w:val="00456343"/>
    <w:rsid w:val="004608A2"/>
    <w:rsid w:val="004619F7"/>
    <w:rsid w:val="00461BA8"/>
    <w:rsid w:val="00461DAC"/>
    <w:rsid w:val="0046296D"/>
    <w:rsid w:val="00465E24"/>
    <w:rsid w:val="00466B2C"/>
    <w:rsid w:val="00471467"/>
    <w:rsid w:val="0047166F"/>
    <w:rsid w:val="00472311"/>
    <w:rsid w:val="00472C4E"/>
    <w:rsid w:val="0047302A"/>
    <w:rsid w:val="00477163"/>
    <w:rsid w:val="004774AE"/>
    <w:rsid w:val="00481687"/>
    <w:rsid w:val="00481963"/>
    <w:rsid w:val="00481AF0"/>
    <w:rsid w:val="00481E7F"/>
    <w:rsid w:val="00483A0B"/>
    <w:rsid w:val="00484C4B"/>
    <w:rsid w:val="00486E01"/>
    <w:rsid w:val="00487169"/>
    <w:rsid w:val="0048755E"/>
    <w:rsid w:val="004875F1"/>
    <w:rsid w:val="004875F5"/>
    <w:rsid w:val="00487B21"/>
    <w:rsid w:val="0049135F"/>
    <w:rsid w:val="004932C8"/>
    <w:rsid w:val="004934EF"/>
    <w:rsid w:val="00493B77"/>
    <w:rsid w:val="00493B97"/>
    <w:rsid w:val="00493D1E"/>
    <w:rsid w:val="004950F9"/>
    <w:rsid w:val="004955A2"/>
    <w:rsid w:val="00496030"/>
    <w:rsid w:val="0049610C"/>
    <w:rsid w:val="00497701"/>
    <w:rsid w:val="004A2DB2"/>
    <w:rsid w:val="004A2F55"/>
    <w:rsid w:val="004A4180"/>
    <w:rsid w:val="004A5D03"/>
    <w:rsid w:val="004A62C3"/>
    <w:rsid w:val="004A662B"/>
    <w:rsid w:val="004A7892"/>
    <w:rsid w:val="004B10A7"/>
    <w:rsid w:val="004B1AD5"/>
    <w:rsid w:val="004B268D"/>
    <w:rsid w:val="004B28B0"/>
    <w:rsid w:val="004B4A4D"/>
    <w:rsid w:val="004B5C92"/>
    <w:rsid w:val="004B6281"/>
    <w:rsid w:val="004B6438"/>
    <w:rsid w:val="004C02D8"/>
    <w:rsid w:val="004C0EAB"/>
    <w:rsid w:val="004C1A56"/>
    <w:rsid w:val="004C2391"/>
    <w:rsid w:val="004C3B8D"/>
    <w:rsid w:val="004C5B62"/>
    <w:rsid w:val="004C6C85"/>
    <w:rsid w:val="004D03F3"/>
    <w:rsid w:val="004D0C7A"/>
    <w:rsid w:val="004D112B"/>
    <w:rsid w:val="004D2259"/>
    <w:rsid w:val="004D3030"/>
    <w:rsid w:val="004D3337"/>
    <w:rsid w:val="004D342A"/>
    <w:rsid w:val="004D4871"/>
    <w:rsid w:val="004D57CC"/>
    <w:rsid w:val="004D57D9"/>
    <w:rsid w:val="004D7A02"/>
    <w:rsid w:val="004E05A8"/>
    <w:rsid w:val="004E41F0"/>
    <w:rsid w:val="004E5391"/>
    <w:rsid w:val="004E5902"/>
    <w:rsid w:val="004E5BD2"/>
    <w:rsid w:val="004E6722"/>
    <w:rsid w:val="004F26D1"/>
    <w:rsid w:val="004F4935"/>
    <w:rsid w:val="004F7AC7"/>
    <w:rsid w:val="004F7B9E"/>
    <w:rsid w:val="00502FC4"/>
    <w:rsid w:val="00503B32"/>
    <w:rsid w:val="00504FE0"/>
    <w:rsid w:val="005051E5"/>
    <w:rsid w:val="00505CED"/>
    <w:rsid w:val="00506B08"/>
    <w:rsid w:val="00506DDB"/>
    <w:rsid w:val="00512F63"/>
    <w:rsid w:val="00513169"/>
    <w:rsid w:val="00514684"/>
    <w:rsid w:val="005153F8"/>
    <w:rsid w:val="00515AAF"/>
    <w:rsid w:val="00515DCE"/>
    <w:rsid w:val="00515F5F"/>
    <w:rsid w:val="00516B5C"/>
    <w:rsid w:val="00521B88"/>
    <w:rsid w:val="00521ED1"/>
    <w:rsid w:val="005228C7"/>
    <w:rsid w:val="00523D89"/>
    <w:rsid w:val="00523D90"/>
    <w:rsid w:val="00525216"/>
    <w:rsid w:val="0052674A"/>
    <w:rsid w:val="00526CA6"/>
    <w:rsid w:val="005303EB"/>
    <w:rsid w:val="00531251"/>
    <w:rsid w:val="00531283"/>
    <w:rsid w:val="005316FC"/>
    <w:rsid w:val="005321BE"/>
    <w:rsid w:val="00533F34"/>
    <w:rsid w:val="005344D4"/>
    <w:rsid w:val="00535EFE"/>
    <w:rsid w:val="00536720"/>
    <w:rsid w:val="00536ACD"/>
    <w:rsid w:val="00536AE8"/>
    <w:rsid w:val="0053777A"/>
    <w:rsid w:val="00540822"/>
    <w:rsid w:val="00540A85"/>
    <w:rsid w:val="00541C0F"/>
    <w:rsid w:val="0054248D"/>
    <w:rsid w:val="0054262A"/>
    <w:rsid w:val="00542D14"/>
    <w:rsid w:val="00543822"/>
    <w:rsid w:val="00543D46"/>
    <w:rsid w:val="00544CA8"/>
    <w:rsid w:val="00544F63"/>
    <w:rsid w:val="00545016"/>
    <w:rsid w:val="00545A4C"/>
    <w:rsid w:val="005464A9"/>
    <w:rsid w:val="005467AA"/>
    <w:rsid w:val="005500FC"/>
    <w:rsid w:val="00550C24"/>
    <w:rsid w:val="00551BE7"/>
    <w:rsid w:val="00554235"/>
    <w:rsid w:val="005552CF"/>
    <w:rsid w:val="00555321"/>
    <w:rsid w:val="00555495"/>
    <w:rsid w:val="00555CB3"/>
    <w:rsid w:val="005570C2"/>
    <w:rsid w:val="00560C13"/>
    <w:rsid w:val="005615EC"/>
    <w:rsid w:val="005619DD"/>
    <w:rsid w:val="00562CD1"/>
    <w:rsid w:val="00564989"/>
    <w:rsid w:val="00564B54"/>
    <w:rsid w:val="00565787"/>
    <w:rsid w:val="005658C4"/>
    <w:rsid w:val="00566D99"/>
    <w:rsid w:val="00567080"/>
    <w:rsid w:val="005673F4"/>
    <w:rsid w:val="00567A73"/>
    <w:rsid w:val="00570C67"/>
    <w:rsid w:val="0057177E"/>
    <w:rsid w:val="00571EA3"/>
    <w:rsid w:val="00572FAD"/>
    <w:rsid w:val="00574301"/>
    <w:rsid w:val="00581260"/>
    <w:rsid w:val="005815C6"/>
    <w:rsid w:val="00581EBB"/>
    <w:rsid w:val="00581FBB"/>
    <w:rsid w:val="00582040"/>
    <w:rsid w:val="00583ED6"/>
    <w:rsid w:val="00583FA7"/>
    <w:rsid w:val="00584250"/>
    <w:rsid w:val="005844B0"/>
    <w:rsid w:val="0058505C"/>
    <w:rsid w:val="00585310"/>
    <w:rsid w:val="00585524"/>
    <w:rsid w:val="00586CDF"/>
    <w:rsid w:val="00591966"/>
    <w:rsid w:val="00591B23"/>
    <w:rsid w:val="00591E18"/>
    <w:rsid w:val="00592209"/>
    <w:rsid w:val="00593B5F"/>
    <w:rsid w:val="005943EE"/>
    <w:rsid w:val="00595740"/>
    <w:rsid w:val="00595EB5"/>
    <w:rsid w:val="005A066A"/>
    <w:rsid w:val="005A1568"/>
    <w:rsid w:val="005A1FA7"/>
    <w:rsid w:val="005A27CD"/>
    <w:rsid w:val="005A2FB6"/>
    <w:rsid w:val="005A45B8"/>
    <w:rsid w:val="005A5576"/>
    <w:rsid w:val="005B0AEF"/>
    <w:rsid w:val="005B10C8"/>
    <w:rsid w:val="005B11C0"/>
    <w:rsid w:val="005B276B"/>
    <w:rsid w:val="005B2835"/>
    <w:rsid w:val="005B2DA6"/>
    <w:rsid w:val="005B4BA7"/>
    <w:rsid w:val="005B4BC9"/>
    <w:rsid w:val="005B4EE3"/>
    <w:rsid w:val="005B4F73"/>
    <w:rsid w:val="005B5094"/>
    <w:rsid w:val="005B53F2"/>
    <w:rsid w:val="005B5994"/>
    <w:rsid w:val="005B5C66"/>
    <w:rsid w:val="005C043F"/>
    <w:rsid w:val="005C1E29"/>
    <w:rsid w:val="005C2207"/>
    <w:rsid w:val="005C37D8"/>
    <w:rsid w:val="005C3834"/>
    <w:rsid w:val="005C4E39"/>
    <w:rsid w:val="005C6D59"/>
    <w:rsid w:val="005C75BB"/>
    <w:rsid w:val="005C775B"/>
    <w:rsid w:val="005C7BEF"/>
    <w:rsid w:val="005D10EE"/>
    <w:rsid w:val="005D1660"/>
    <w:rsid w:val="005D1BE1"/>
    <w:rsid w:val="005D3365"/>
    <w:rsid w:val="005D3D38"/>
    <w:rsid w:val="005D4C69"/>
    <w:rsid w:val="005D4C9A"/>
    <w:rsid w:val="005D51D6"/>
    <w:rsid w:val="005D59CB"/>
    <w:rsid w:val="005D5C29"/>
    <w:rsid w:val="005D624D"/>
    <w:rsid w:val="005D6E1F"/>
    <w:rsid w:val="005E368C"/>
    <w:rsid w:val="005E3709"/>
    <w:rsid w:val="005E37A0"/>
    <w:rsid w:val="005E3E52"/>
    <w:rsid w:val="005E457D"/>
    <w:rsid w:val="005E48F7"/>
    <w:rsid w:val="005E53C6"/>
    <w:rsid w:val="005E58FF"/>
    <w:rsid w:val="005E6562"/>
    <w:rsid w:val="005F0CDB"/>
    <w:rsid w:val="005F1D6B"/>
    <w:rsid w:val="005F528D"/>
    <w:rsid w:val="005F6425"/>
    <w:rsid w:val="005F75DE"/>
    <w:rsid w:val="005F79A0"/>
    <w:rsid w:val="00601272"/>
    <w:rsid w:val="00601655"/>
    <w:rsid w:val="00604185"/>
    <w:rsid w:val="00604673"/>
    <w:rsid w:val="00604D85"/>
    <w:rsid w:val="00605CDE"/>
    <w:rsid w:val="0060612F"/>
    <w:rsid w:val="00606B44"/>
    <w:rsid w:val="00606B74"/>
    <w:rsid w:val="00606C86"/>
    <w:rsid w:val="00606EA4"/>
    <w:rsid w:val="00611D4E"/>
    <w:rsid w:val="00612050"/>
    <w:rsid w:val="00612AA4"/>
    <w:rsid w:val="00613D5C"/>
    <w:rsid w:val="00614A68"/>
    <w:rsid w:val="00614C72"/>
    <w:rsid w:val="00614DEE"/>
    <w:rsid w:val="00614E68"/>
    <w:rsid w:val="00616169"/>
    <w:rsid w:val="00620E91"/>
    <w:rsid w:val="006211B2"/>
    <w:rsid w:val="006227DE"/>
    <w:rsid w:val="006232A4"/>
    <w:rsid w:val="0062370E"/>
    <w:rsid w:val="00623885"/>
    <w:rsid w:val="00624105"/>
    <w:rsid w:val="00624B14"/>
    <w:rsid w:val="00624F8B"/>
    <w:rsid w:val="00625461"/>
    <w:rsid w:val="0062763C"/>
    <w:rsid w:val="00631393"/>
    <w:rsid w:val="00632104"/>
    <w:rsid w:val="00632351"/>
    <w:rsid w:val="006324C9"/>
    <w:rsid w:val="006328B6"/>
    <w:rsid w:val="006332DD"/>
    <w:rsid w:val="00633F5E"/>
    <w:rsid w:val="006340E6"/>
    <w:rsid w:val="00637CF7"/>
    <w:rsid w:val="00640273"/>
    <w:rsid w:val="006406E3"/>
    <w:rsid w:val="0064163C"/>
    <w:rsid w:val="00646EC7"/>
    <w:rsid w:val="0064758C"/>
    <w:rsid w:val="0065000B"/>
    <w:rsid w:val="0065063E"/>
    <w:rsid w:val="00652DB4"/>
    <w:rsid w:val="00652F6D"/>
    <w:rsid w:val="0065794C"/>
    <w:rsid w:val="00657FA1"/>
    <w:rsid w:val="0066032E"/>
    <w:rsid w:val="00660BD5"/>
    <w:rsid w:val="00660F76"/>
    <w:rsid w:val="00661515"/>
    <w:rsid w:val="006625ED"/>
    <w:rsid w:val="00664166"/>
    <w:rsid w:val="00667912"/>
    <w:rsid w:val="00670332"/>
    <w:rsid w:val="00671C39"/>
    <w:rsid w:val="00673541"/>
    <w:rsid w:val="006739E1"/>
    <w:rsid w:val="00674C39"/>
    <w:rsid w:val="00675044"/>
    <w:rsid w:val="0067586F"/>
    <w:rsid w:val="006779F3"/>
    <w:rsid w:val="00677D7C"/>
    <w:rsid w:val="0068066A"/>
    <w:rsid w:val="00680863"/>
    <w:rsid w:val="006812F7"/>
    <w:rsid w:val="00681BCA"/>
    <w:rsid w:val="00682728"/>
    <w:rsid w:val="00683EEB"/>
    <w:rsid w:val="00686CB2"/>
    <w:rsid w:val="00690D16"/>
    <w:rsid w:val="00691133"/>
    <w:rsid w:val="0069231C"/>
    <w:rsid w:val="00692EE2"/>
    <w:rsid w:val="00693652"/>
    <w:rsid w:val="00695133"/>
    <w:rsid w:val="006958D9"/>
    <w:rsid w:val="00696E11"/>
    <w:rsid w:val="006A09C5"/>
    <w:rsid w:val="006A1150"/>
    <w:rsid w:val="006A1527"/>
    <w:rsid w:val="006A1572"/>
    <w:rsid w:val="006A2D25"/>
    <w:rsid w:val="006A49A6"/>
    <w:rsid w:val="006A4AB5"/>
    <w:rsid w:val="006A5DB5"/>
    <w:rsid w:val="006A6743"/>
    <w:rsid w:val="006B01A3"/>
    <w:rsid w:val="006B1AA0"/>
    <w:rsid w:val="006B2892"/>
    <w:rsid w:val="006B3D36"/>
    <w:rsid w:val="006B544A"/>
    <w:rsid w:val="006B6A93"/>
    <w:rsid w:val="006B6A96"/>
    <w:rsid w:val="006B7EC4"/>
    <w:rsid w:val="006C201A"/>
    <w:rsid w:val="006C30B2"/>
    <w:rsid w:val="006C3F0D"/>
    <w:rsid w:val="006C4B14"/>
    <w:rsid w:val="006C5704"/>
    <w:rsid w:val="006C5C08"/>
    <w:rsid w:val="006C5FF1"/>
    <w:rsid w:val="006C751A"/>
    <w:rsid w:val="006C776E"/>
    <w:rsid w:val="006D08D0"/>
    <w:rsid w:val="006D0A58"/>
    <w:rsid w:val="006D15DD"/>
    <w:rsid w:val="006D1E8B"/>
    <w:rsid w:val="006D2A70"/>
    <w:rsid w:val="006D3059"/>
    <w:rsid w:val="006D4663"/>
    <w:rsid w:val="006D73EF"/>
    <w:rsid w:val="006E1995"/>
    <w:rsid w:val="006E1CA4"/>
    <w:rsid w:val="006E23CA"/>
    <w:rsid w:val="006E29EB"/>
    <w:rsid w:val="006E3E31"/>
    <w:rsid w:val="006E4541"/>
    <w:rsid w:val="006E6C39"/>
    <w:rsid w:val="006F0672"/>
    <w:rsid w:val="006F089C"/>
    <w:rsid w:val="006F0F5E"/>
    <w:rsid w:val="006F29D8"/>
    <w:rsid w:val="006F2ACB"/>
    <w:rsid w:val="006F2DAF"/>
    <w:rsid w:val="006F3AF5"/>
    <w:rsid w:val="006F44FA"/>
    <w:rsid w:val="006F5BC4"/>
    <w:rsid w:val="006F6111"/>
    <w:rsid w:val="006F628D"/>
    <w:rsid w:val="006F6DB5"/>
    <w:rsid w:val="00700CCE"/>
    <w:rsid w:val="007016BB"/>
    <w:rsid w:val="00701C1A"/>
    <w:rsid w:val="007028C8"/>
    <w:rsid w:val="00703293"/>
    <w:rsid w:val="00703FC7"/>
    <w:rsid w:val="00705F97"/>
    <w:rsid w:val="00706C04"/>
    <w:rsid w:val="00711659"/>
    <w:rsid w:val="00711F04"/>
    <w:rsid w:val="0071472F"/>
    <w:rsid w:val="00714D67"/>
    <w:rsid w:val="00714E5A"/>
    <w:rsid w:val="00714F8D"/>
    <w:rsid w:val="00715087"/>
    <w:rsid w:val="007159C1"/>
    <w:rsid w:val="00716528"/>
    <w:rsid w:val="00720B3C"/>
    <w:rsid w:val="00720DA8"/>
    <w:rsid w:val="007210AF"/>
    <w:rsid w:val="00721286"/>
    <w:rsid w:val="00721BEF"/>
    <w:rsid w:val="00721D1F"/>
    <w:rsid w:val="00724075"/>
    <w:rsid w:val="00724F98"/>
    <w:rsid w:val="00725152"/>
    <w:rsid w:val="00725403"/>
    <w:rsid w:val="00727061"/>
    <w:rsid w:val="0072728E"/>
    <w:rsid w:val="007276AB"/>
    <w:rsid w:val="00727A8B"/>
    <w:rsid w:val="00727BA4"/>
    <w:rsid w:val="00732978"/>
    <w:rsid w:val="00732D16"/>
    <w:rsid w:val="00733B94"/>
    <w:rsid w:val="00733F33"/>
    <w:rsid w:val="007356C3"/>
    <w:rsid w:val="007374B1"/>
    <w:rsid w:val="00740192"/>
    <w:rsid w:val="00741825"/>
    <w:rsid w:val="00741E25"/>
    <w:rsid w:val="00741E30"/>
    <w:rsid w:val="00742041"/>
    <w:rsid w:val="0074269D"/>
    <w:rsid w:val="0074394A"/>
    <w:rsid w:val="007445F5"/>
    <w:rsid w:val="00745258"/>
    <w:rsid w:val="007463F9"/>
    <w:rsid w:val="00747A3B"/>
    <w:rsid w:val="00752A0C"/>
    <w:rsid w:val="00753227"/>
    <w:rsid w:val="007533F1"/>
    <w:rsid w:val="00753EBB"/>
    <w:rsid w:val="00753ECD"/>
    <w:rsid w:val="007568F2"/>
    <w:rsid w:val="00757F6B"/>
    <w:rsid w:val="00760624"/>
    <w:rsid w:val="00761B62"/>
    <w:rsid w:val="007626F0"/>
    <w:rsid w:val="007641B4"/>
    <w:rsid w:val="0076571B"/>
    <w:rsid w:val="00766A9D"/>
    <w:rsid w:val="007700EE"/>
    <w:rsid w:val="00770475"/>
    <w:rsid w:val="00770A51"/>
    <w:rsid w:val="00771145"/>
    <w:rsid w:val="007713CC"/>
    <w:rsid w:val="00774CE1"/>
    <w:rsid w:val="00775BEB"/>
    <w:rsid w:val="007765FD"/>
    <w:rsid w:val="007772C4"/>
    <w:rsid w:val="00780A2D"/>
    <w:rsid w:val="00780BFC"/>
    <w:rsid w:val="00780DE6"/>
    <w:rsid w:val="0078169C"/>
    <w:rsid w:val="00785145"/>
    <w:rsid w:val="00785B4C"/>
    <w:rsid w:val="00786D24"/>
    <w:rsid w:val="007873A6"/>
    <w:rsid w:val="00790DE6"/>
    <w:rsid w:val="0079192F"/>
    <w:rsid w:val="00791B4B"/>
    <w:rsid w:val="007920D1"/>
    <w:rsid w:val="007920FF"/>
    <w:rsid w:val="00792A97"/>
    <w:rsid w:val="00792F8E"/>
    <w:rsid w:val="007935F1"/>
    <w:rsid w:val="0079362E"/>
    <w:rsid w:val="00793DF6"/>
    <w:rsid w:val="00793F95"/>
    <w:rsid w:val="0079424F"/>
    <w:rsid w:val="007946D5"/>
    <w:rsid w:val="007953D6"/>
    <w:rsid w:val="007960C6"/>
    <w:rsid w:val="00796897"/>
    <w:rsid w:val="00796BC2"/>
    <w:rsid w:val="0079718D"/>
    <w:rsid w:val="00797759"/>
    <w:rsid w:val="007A2423"/>
    <w:rsid w:val="007A2FB0"/>
    <w:rsid w:val="007A3E0C"/>
    <w:rsid w:val="007A55A0"/>
    <w:rsid w:val="007A6F69"/>
    <w:rsid w:val="007A7E6D"/>
    <w:rsid w:val="007B07AF"/>
    <w:rsid w:val="007B2051"/>
    <w:rsid w:val="007B2405"/>
    <w:rsid w:val="007B2DC3"/>
    <w:rsid w:val="007B412B"/>
    <w:rsid w:val="007B4BE8"/>
    <w:rsid w:val="007B55E5"/>
    <w:rsid w:val="007B5625"/>
    <w:rsid w:val="007B5C22"/>
    <w:rsid w:val="007B6036"/>
    <w:rsid w:val="007B6D0F"/>
    <w:rsid w:val="007B7BC2"/>
    <w:rsid w:val="007C2794"/>
    <w:rsid w:val="007C367E"/>
    <w:rsid w:val="007C5783"/>
    <w:rsid w:val="007C57B2"/>
    <w:rsid w:val="007C6DE6"/>
    <w:rsid w:val="007C7849"/>
    <w:rsid w:val="007D0103"/>
    <w:rsid w:val="007D3926"/>
    <w:rsid w:val="007D466D"/>
    <w:rsid w:val="007D763C"/>
    <w:rsid w:val="007E1724"/>
    <w:rsid w:val="007E1CCA"/>
    <w:rsid w:val="007E32C9"/>
    <w:rsid w:val="007E38DC"/>
    <w:rsid w:val="007E415A"/>
    <w:rsid w:val="007E46CD"/>
    <w:rsid w:val="007E4E8B"/>
    <w:rsid w:val="007E65C5"/>
    <w:rsid w:val="007E69E0"/>
    <w:rsid w:val="007E6E43"/>
    <w:rsid w:val="007E79E5"/>
    <w:rsid w:val="007F157F"/>
    <w:rsid w:val="007F2DE9"/>
    <w:rsid w:val="007F3EE4"/>
    <w:rsid w:val="007F426F"/>
    <w:rsid w:val="007F51E8"/>
    <w:rsid w:val="007F56CB"/>
    <w:rsid w:val="007F6081"/>
    <w:rsid w:val="00801BA0"/>
    <w:rsid w:val="00802E9B"/>
    <w:rsid w:val="008033A6"/>
    <w:rsid w:val="0080375E"/>
    <w:rsid w:val="00806631"/>
    <w:rsid w:val="0080704D"/>
    <w:rsid w:val="008071D9"/>
    <w:rsid w:val="00810C1E"/>
    <w:rsid w:val="008111A9"/>
    <w:rsid w:val="00812D82"/>
    <w:rsid w:val="00812F63"/>
    <w:rsid w:val="00813D57"/>
    <w:rsid w:val="00814245"/>
    <w:rsid w:val="00814762"/>
    <w:rsid w:val="00814A70"/>
    <w:rsid w:val="008158CC"/>
    <w:rsid w:val="00815DB6"/>
    <w:rsid w:val="00815DEB"/>
    <w:rsid w:val="00816F3E"/>
    <w:rsid w:val="008201C7"/>
    <w:rsid w:val="00820892"/>
    <w:rsid w:val="008223B6"/>
    <w:rsid w:val="00823249"/>
    <w:rsid w:val="00823F1B"/>
    <w:rsid w:val="0082432A"/>
    <w:rsid w:val="008249CF"/>
    <w:rsid w:val="00825156"/>
    <w:rsid w:val="00827025"/>
    <w:rsid w:val="00827D6B"/>
    <w:rsid w:val="0083100B"/>
    <w:rsid w:val="00831617"/>
    <w:rsid w:val="00834A4A"/>
    <w:rsid w:val="00834C6B"/>
    <w:rsid w:val="008363F8"/>
    <w:rsid w:val="00840565"/>
    <w:rsid w:val="00841C99"/>
    <w:rsid w:val="008441BE"/>
    <w:rsid w:val="008447E4"/>
    <w:rsid w:val="00845C9B"/>
    <w:rsid w:val="00845D63"/>
    <w:rsid w:val="00845F66"/>
    <w:rsid w:val="0084751F"/>
    <w:rsid w:val="00847CA8"/>
    <w:rsid w:val="00850521"/>
    <w:rsid w:val="00850869"/>
    <w:rsid w:val="00850958"/>
    <w:rsid w:val="00850B28"/>
    <w:rsid w:val="0085133F"/>
    <w:rsid w:val="00851532"/>
    <w:rsid w:val="00857ED0"/>
    <w:rsid w:val="008601AB"/>
    <w:rsid w:val="008618EA"/>
    <w:rsid w:val="00861C12"/>
    <w:rsid w:val="00861E77"/>
    <w:rsid w:val="008621C8"/>
    <w:rsid w:val="00862207"/>
    <w:rsid w:val="00862AEF"/>
    <w:rsid w:val="0086302F"/>
    <w:rsid w:val="0086327C"/>
    <w:rsid w:val="00865A2C"/>
    <w:rsid w:val="0086602E"/>
    <w:rsid w:val="00866679"/>
    <w:rsid w:val="008666D3"/>
    <w:rsid w:val="0086694C"/>
    <w:rsid w:val="00867343"/>
    <w:rsid w:val="008674BC"/>
    <w:rsid w:val="00870912"/>
    <w:rsid w:val="00874FB9"/>
    <w:rsid w:val="0087528C"/>
    <w:rsid w:val="0087542D"/>
    <w:rsid w:val="00875499"/>
    <w:rsid w:val="0087560E"/>
    <w:rsid w:val="0088013C"/>
    <w:rsid w:val="008813FB"/>
    <w:rsid w:val="008818BF"/>
    <w:rsid w:val="00883F09"/>
    <w:rsid w:val="008841E3"/>
    <w:rsid w:val="008848A7"/>
    <w:rsid w:val="00886B91"/>
    <w:rsid w:val="00890E7B"/>
    <w:rsid w:val="0089109A"/>
    <w:rsid w:val="00892153"/>
    <w:rsid w:val="00892256"/>
    <w:rsid w:val="0089452F"/>
    <w:rsid w:val="0089581B"/>
    <w:rsid w:val="00895B40"/>
    <w:rsid w:val="008967D3"/>
    <w:rsid w:val="00896E8B"/>
    <w:rsid w:val="008A1275"/>
    <w:rsid w:val="008A1393"/>
    <w:rsid w:val="008A2202"/>
    <w:rsid w:val="008A2C26"/>
    <w:rsid w:val="008A301A"/>
    <w:rsid w:val="008A47A3"/>
    <w:rsid w:val="008A65F8"/>
    <w:rsid w:val="008A6B92"/>
    <w:rsid w:val="008A7476"/>
    <w:rsid w:val="008A74B5"/>
    <w:rsid w:val="008B2058"/>
    <w:rsid w:val="008B2C1F"/>
    <w:rsid w:val="008B4E79"/>
    <w:rsid w:val="008B5B0D"/>
    <w:rsid w:val="008B705C"/>
    <w:rsid w:val="008B7D00"/>
    <w:rsid w:val="008C0220"/>
    <w:rsid w:val="008C0719"/>
    <w:rsid w:val="008C187C"/>
    <w:rsid w:val="008C204D"/>
    <w:rsid w:val="008C3511"/>
    <w:rsid w:val="008C4294"/>
    <w:rsid w:val="008C4966"/>
    <w:rsid w:val="008C6718"/>
    <w:rsid w:val="008D0931"/>
    <w:rsid w:val="008D1282"/>
    <w:rsid w:val="008D17D2"/>
    <w:rsid w:val="008D21AD"/>
    <w:rsid w:val="008D2221"/>
    <w:rsid w:val="008D2263"/>
    <w:rsid w:val="008D25A9"/>
    <w:rsid w:val="008D3176"/>
    <w:rsid w:val="008D5076"/>
    <w:rsid w:val="008E0D56"/>
    <w:rsid w:val="008E0F15"/>
    <w:rsid w:val="008E123D"/>
    <w:rsid w:val="008E253F"/>
    <w:rsid w:val="008E2D41"/>
    <w:rsid w:val="008E38D7"/>
    <w:rsid w:val="008E44BC"/>
    <w:rsid w:val="008E549E"/>
    <w:rsid w:val="008E56DC"/>
    <w:rsid w:val="008E698D"/>
    <w:rsid w:val="008E7795"/>
    <w:rsid w:val="008F02F2"/>
    <w:rsid w:val="008F06B6"/>
    <w:rsid w:val="008F0C5B"/>
    <w:rsid w:val="008F17C7"/>
    <w:rsid w:val="008F23CB"/>
    <w:rsid w:val="008F330B"/>
    <w:rsid w:val="008F3695"/>
    <w:rsid w:val="008F3ED0"/>
    <w:rsid w:val="008F3FB2"/>
    <w:rsid w:val="008F55EE"/>
    <w:rsid w:val="008F5C5F"/>
    <w:rsid w:val="008F6F48"/>
    <w:rsid w:val="008F7796"/>
    <w:rsid w:val="008F7D2D"/>
    <w:rsid w:val="008F7F55"/>
    <w:rsid w:val="0090065C"/>
    <w:rsid w:val="0090312C"/>
    <w:rsid w:val="009039B8"/>
    <w:rsid w:val="0090414D"/>
    <w:rsid w:val="00904B9F"/>
    <w:rsid w:val="00905C54"/>
    <w:rsid w:val="009070A7"/>
    <w:rsid w:val="00907E42"/>
    <w:rsid w:val="009113D5"/>
    <w:rsid w:val="00911B36"/>
    <w:rsid w:val="00912F91"/>
    <w:rsid w:val="00914678"/>
    <w:rsid w:val="00915207"/>
    <w:rsid w:val="00915C6D"/>
    <w:rsid w:val="009175DE"/>
    <w:rsid w:val="00917F69"/>
    <w:rsid w:val="00920741"/>
    <w:rsid w:val="00920C52"/>
    <w:rsid w:val="009217C9"/>
    <w:rsid w:val="00923D18"/>
    <w:rsid w:val="00923F6C"/>
    <w:rsid w:val="009264C5"/>
    <w:rsid w:val="00926C3E"/>
    <w:rsid w:val="0092728F"/>
    <w:rsid w:val="00930917"/>
    <w:rsid w:val="0093171C"/>
    <w:rsid w:val="00931BA9"/>
    <w:rsid w:val="00931D07"/>
    <w:rsid w:val="00932E52"/>
    <w:rsid w:val="00933EDE"/>
    <w:rsid w:val="0093465A"/>
    <w:rsid w:val="00935124"/>
    <w:rsid w:val="009400EC"/>
    <w:rsid w:val="00941119"/>
    <w:rsid w:val="00941C24"/>
    <w:rsid w:val="009426D5"/>
    <w:rsid w:val="009429D4"/>
    <w:rsid w:val="00943055"/>
    <w:rsid w:val="0094420A"/>
    <w:rsid w:val="009447A1"/>
    <w:rsid w:val="00944EB9"/>
    <w:rsid w:val="00945083"/>
    <w:rsid w:val="00945786"/>
    <w:rsid w:val="00946522"/>
    <w:rsid w:val="00946A3B"/>
    <w:rsid w:val="00950384"/>
    <w:rsid w:val="009507DB"/>
    <w:rsid w:val="00950D13"/>
    <w:rsid w:val="009523AE"/>
    <w:rsid w:val="00955F51"/>
    <w:rsid w:val="0095717B"/>
    <w:rsid w:val="0096221D"/>
    <w:rsid w:val="009640AB"/>
    <w:rsid w:val="0096748B"/>
    <w:rsid w:val="00970342"/>
    <w:rsid w:val="009718C8"/>
    <w:rsid w:val="0097528A"/>
    <w:rsid w:val="00976B4E"/>
    <w:rsid w:val="009773D7"/>
    <w:rsid w:val="00980844"/>
    <w:rsid w:val="00981184"/>
    <w:rsid w:val="0098136C"/>
    <w:rsid w:val="0098152E"/>
    <w:rsid w:val="009817FE"/>
    <w:rsid w:val="00984D2E"/>
    <w:rsid w:val="00986758"/>
    <w:rsid w:val="00986C75"/>
    <w:rsid w:val="00987C80"/>
    <w:rsid w:val="00987EFF"/>
    <w:rsid w:val="0099006D"/>
    <w:rsid w:val="00990616"/>
    <w:rsid w:val="009906F3"/>
    <w:rsid w:val="0099086B"/>
    <w:rsid w:val="00990EBE"/>
    <w:rsid w:val="00991FE1"/>
    <w:rsid w:val="0099262E"/>
    <w:rsid w:val="00994000"/>
    <w:rsid w:val="0099637B"/>
    <w:rsid w:val="00996C61"/>
    <w:rsid w:val="009A11D2"/>
    <w:rsid w:val="009A1951"/>
    <w:rsid w:val="009A1D3E"/>
    <w:rsid w:val="009A20E0"/>
    <w:rsid w:val="009A3DB3"/>
    <w:rsid w:val="009A3F5A"/>
    <w:rsid w:val="009A53A8"/>
    <w:rsid w:val="009B07CB"/>
    <w:rsid w:val="009B2177"/>
    <w:rsid w:val="009B2441"/>
    <w:rsid w:val="009B2762"/>
    <w:rsid w:val="009B2BD6"/>
    <w:rsid w:val="009B2F6E"/>
    <w:rsid w:val="009B36FF"/>
    <w:rsid w:val="009B396D"/>
    <w:rsid w:val="009B5274"/>
    <w:rsid w:val="009B5672"/>
    <w:rsid w:val="009B5723"/>
    <w:rsid w:val="009B585D"/>
    <w:rsid w:val="009B604E"/>
    <w:rsid w:val="009B6177"/>
    <w:rsid w:val="009B686C"/>
    <w:rsid w:val="009B75CC"/>
    <w:rsid w:val="009C0024"/>
    <w:rsid w:val="009C0A39"/>
    <w:rsid w:val="009C2BF3"/>
    <w:rsid w:val="009C3A3E"/>
    <w:rsid w:val="009C463F"/>
    <w:rsid w:val="009C47D0"/>
    <w:rsid w:val="009C4BE7"/>
    <w:rsid w:val="009C4C78"/>
    <w:rsid w:val="009C54C5"/>
    <w:rsid w:val="009C6D2E"/>
    <w:rsid w:val="009D0CAA"/>
    <w:rsid w:val="009D18AB"/>
    <w:rsid w:val="009D4059"/>
    <w:rsid w:val="009D58E5"/>
    <w:rsid w:val="009D59B9"/>
    <w:rsid w:val="009D634A"/>
    <w:rsid w:val="009D7392"/>
    <w:rsid w:val="009E1B34"/>
    <w:rsid w:val="009E2542"/>
    <w:rsid w:val="009E35E5"/>
    <w:rsid w:val="009E3B8F"/>
    <w:rsid w:val="009E41B0"/>
    <w:rsid w:val="009E4BFD"/>
    <w:rsid w:val="009E4DBB"/>
    <w:rsid w:val="009E5C54"/>
    <w:rsid w:val="009E7257"/>
    <w:rsid w:val="009E7274"/>
    <w:rsid w:val="009E771C"/>
    <w:rsid w:val="009F0880"/>
    <w:rsid w:val="009F0C9F"/>
    <w:rsid w:val="009F18D0"/>
    <w:rsid w:val="009F1DCD"/>
    <w:rsid w:val="009F2278"/>
    <w:rsid w:val="009F30C7"/>
    <w:rsid w:val="009F4190"/>
    <w:rsid w:val="009F42FC"/>
    <w:rsid w:val="009F5729"/>
    <w:rsid w:val="009F6355"/>
    <w:rsid w:val="009F73CA"/>
    <w:rsid w:val="009F756C"/>
    <w:rsid w:val="009F7869"/>
    <w:rsid w:val="009F7B8E"/>
    <w:rsid w:val="009F7EBD"/>
    <w:rsid w:val="00A00F81"/>
    <w:rsid w:val="00A025E0"/>
    <w:rsid w:val="00A02BDA"/>
    <w:rsid w:val="00A02EC7"/>
    <w:rsid w:val="00A03C15"/>
    <w:rsid w:val="00A05750"/>
    <w:rsid w:val="00A05FC7"/>
    <w:rsid w:val="00A06D88"/>
    <w:rsid w:val="00A07363"/>
    <w:rsid w:val="00A07A73"/>
    <w:rsid w:val="00A118A2"/>
    <w:rsid w:val="00A120F1"/>
    <w:rsid w:val="00A12E6B"/>
    <w:rsid w:val="00A12F38"/>
    <w:rsid w:val="00A1301A"/>
    <w:rsid w:val="00A13BA8"/>
    <w:rsid w:val="00A15139"/>
    <w:rsid w:val="00A15653"/>
    <w:rsid w:val="00A157B1"/>
    <w:rsid w:val="00A161A9"/>
    <w:rsid w:val="00A162C7"/>
    <w:rsid w:val="00A175C9"/>
    <w:rsid w:val="00A20A9D"/>
    <w:rsid w:val="00A223FD"/>
    <w:rsid w:val="00A22EFF"/>
    <w:rsid w:val="00A23BB4"/>
    <w:rsid w:val="00A24A8A"/>
    <w:rsid w:val="00A30703"/>
    <w:rsid w:val="00A31FE9"/>
    <w:rsid w:val="00A32A13"/>
    <w:rsid w:val="00A33A41"/>
    <w:rsid w:val="00A3401F"/>
    <w:rsid w:val="00A342A5"/>
    <w:rsid w:val="00A352A7"/>
    <w:rsid w:val="00A35B5C"/>
    <w:rsid w:val="00A40244"/>
    <w:rsid w:val="00A413C1"/>
    <w:rsid w:val="00A416C2"/>
    <w:rsid w:val="00A42547"/>
    <w:rsid w:val="00A457F2"/>
    <w:rsid w:val="00A458F5"/>
    <w:rsid w:val="00A468A5"/>
    <w:rsid w:val="00A473B5"/>
    <w:rsid w:val="00A47671"/>
    <w:rsid w:val="00A51A13"/>
    <w:rsid w:val="00A54894"/>
    <w:rsid w:val="00A5514E"/>
    <w:rsid w:val="00A5559F"/>
    <w:rsid w:val="00A559D4"/>
    <w:rsid w:val="00A55D59"/>
    <w:rsid w:val="00A574E1"/>
    <w:rsid w:val="00A578CA"/>
    <w:rsid w:val="00A607C2"/>
    <w:rsid w:val="00A61E02"/>
    <w:rsid w:val="00A62328"/>
    <w:rsid w:val="00A645D3"/>
    <w:rsid w:val="00A65A07"/>
    <w:rsid w:val="00A6654B"/>
    <w:rsid w:val="00A710C3"/>
    <w:rsid w:val="00A71B83"/>
    <w:rsid w:val="00A732B2"/>
    <w:rsid w:val="00A73910"/>
    <w:rsid w:val="00A75200"/>
    <w:rsid w:val="00A75540"/>
    <w:rsid w:val="00A77B83"/>
    <w:rsid w:val="00A80644"/>
    <w:rsid w:val="00A80B7E"/>
    <w:rsid w:val="00A80D02"/>
    <w:rsid w:val="00A8166F"/>
    <w:rsid w:val="00A829C3"/>
    <w:rsid w:val="00A83F8A"/>
    <w:rsid w:val="00A84E41"/>
    <w:rsid w:val="00A8503D"/>
    <w:rsid w:val="00A8547E"/>
    <w:rsid w:val="00A856B0"/>
    <w:rsid w:val="00A87CFC"/>
    <w:rsid w:val="00A9008F"/>
    <w:rsid w:val="00A90253"/>
    <w:rsid w:val="00A90545"/>
    <w:rsid w:val="00A91082"/>
    <w:rsid w:val="00A9122E"/>
    <w:rsid w:val="00A918A3"/>
    <w:rsid w:val="00A933C4"/>
    <w:rsid w:val="00A9360F"/>
    <w:rsid w:val="00A93E3E"/>
    <w:rsid w:val="00A93FC6"/>
    <w:rsid w:val="00A9467E"/>
    <w:rsid w:val="00A95407"/>
    <w:rsid w:val="00A966D1"/>
    <w:rsid w:val="00AA0620"/>
    <w:rsid w:val="00AA08CC"/>
    <w:rsid w:val="00AA0984"/>
    <w:rsid w:val="00AA1CAE"/>
    <w:rsid w:val="00AA1E70"/>
    <w:rsid w:val="00AA1F22"/>
    <w:rsid w:val="00AA35A1"/>
    <w:rsid w:val="00AA38A0"/>
    <w:rsid w:val="00AA38AE"/>
    <w:rsid w:val="00AA5030"/>
    <w:rsid w:val="00AA5464"/>
    <w:rsid w:val="00AA58AF"/>
    <w:rsid w:val="00AA6177"/>
    <w:rsid w:val="00AA6182"/>
    <w:rsid w:val="00AB1908"/>
    <w:rsid w:val="00AB1BBA"/>
    <w:rsid w:val="00AB2961"/>
    <w:rsid w:val="00AB2B50"/>
    <w:rsid w:val="00AB3550"/>
    <w:rsid w:val="00AB3D8F"/>
    <w:rsid w:val="00AB4780"/>
    <w:rsid w:val="00AB4786"/>
    <w:rsid w:val="00AB5578"/>
    <w:rsid w:val="00AB6ABB"/>
    <w:rsid w:val="00AB6C8C"/>
    <w:rsid w:val="00AB7199"/>
    <w:rsid w:val="00AB73C4"/>
    <w:rsid w:val="00AB785D"/>
    <w:rsid w:val="00AC0549"/>
    <w:rsid w:val="00AC09A9"/>
    <w:rsid w:val="00AC1614"/>
    <w:rsid w:val="00AC27C5"/>
    <w:rsid w:val="00AC321C"/>
    <w:rsid w:val="00AC3E92"/>
    <w:rsid w:val="00AC426A"/>
    <w:rsid w:val="00AC43AD"/>
    <w:rsid w:val="00AC51F4"/>
    <w:rsid w:val="00AC538D"/>
    <w:rsid w:val="00AC5B28"/>
    <w:rsid w:val="00AC6E46"/>
    <w:rsid w:val="00AD289C"/>
    <w:rsid w:val="00AD50C7"/>
    <w:rsid w:val="00AD523B"/>
    <w:rsid w:val="00AD5E89"/>
    <w:rsid w:val="00AD605B"/>
    <w:rsid w:val="00AD7DB5"/>
    <w:rsid w:val="00AE08A4"/>
    <w:rsid w:val="00AE1AC8"/>
    <w:rsid w:val="00AE3ACB"/>
    <w:rsid w:val="00AE40B8"/>
    <w:rsid w:val="00AE4BAD"/>
    <w:rsid w:val="00AE5B93"/>
    <w:rsid w:val="00AE74AF"/>
    <w:rsid w:val="00AE7AC8"/>
    <w:rsid w:val="00AF0C61"/>
    <w:rsid w:val="00AF136B"/>
    <w:rsid w:val="00AF2139"/>
    <w:rsid w:val="00AF248C"/>
    <w:rsid w:val="00AF270F"/>
    <w:rsid w:val="00AF2ABC"/>
    <w:rsid w:val="00AF3252"/>
    <w:rsid w:val="00AF4AEB"/>
    <w:rsid w:val="00AF4BCC"/>
    <w:rsid w:val="00AF5129"/>
    <w:rsid w:val="00AF5238"/>
    <w:rsid w:val="00AF6152"/>
    <w:rsid w:val="00AF638F"/>
    <w:rsid w:val="00AF76D2"/>
    <w:rsid w:val="00B00393"/>
    <w:rsid w:val="00B0071A"/>
    <w:rsid w:val="00B028CD"/>
    <w:rsid w:val="00B032E1"/>
    <w:rsid w:val="00B0357A"/>
    <w:rsid w:val="00B03A71"/>
    <w:rsid w:val="00B041C6"/>
    <w:rsid w:val="00B048E4"/>
    <w:rsid w:val="00B055FE"/>
    <w:rsid w:val="00B05AE9"/>
    <w:rsid w:val="00B05E46"/>
    <w:rsid w:val="00B06267"/>
    <w:rsid w:val="00B06748"/>
    <w:rsid w:val="00B06D59"/>
    <w:rsid w:val="00B1034C"/>
    <w:rsid w:val="00B10427"/>
    <w:rsid w:val="00B10B5B"/>
    <w:rsid w:val="00B1277C"/>
    <w:rsid w:val="00B13714"/>
    <w:rsid w:val="00B137C7"/>
    <w:rsid w:val="00B13A90"/>
    <w:rsid w:val="00B13E45"/>
    <w:rsid w:val="00B14602"/>
    <w:rsid w:val="00B15B12"/>
    <w:rsid w:val="00B172ED"/>
    <w:rsid w:val="00B17924"/>
    <w:rsid w:val="00B17E56"/>
    <w:rsid w:val="00B205CD"/>
    <w:rsid w:val="00B2077A"/>
    <w:rsid w:val="00B21907"/>
    <w:rsid w:val="00B2399C"/>
    <w:rsid w:val="00B24A4D"/>
    <w:rsid w:val="00B2512B"/>
    <w:rsid w:val="00B25298"/>
    <w:rsid w:val="00B262FB"/>
    <w:rsid w:val="00B27B90"/>
    <w:rsid w:val="00B27CA8"/>
    <w:rsid w:val="00B30BDD"/>
    <w:rsid w:val="00B311E5"/>
    <w:rsid w:val="00B32374"/>
    <w:rsid w:val="00B32AEB"/>
    <w:rsid w:val="00B35B05"/>
    <w:rsid w:val="00B369AC"/>
    <w:rsid w:val="00B37768"/>
    <w:rsid w:val="00B37D50"/>
    <w:rsid w:val="00B40ED3"/>
    <w:rsid w:val="00B416FF"/>
    <w:rsid w:val="00B425F2"/>
    <w:rsid w:val="00B426CB"/>
    <w:rsid w:val="00B43828"/>
    <w:rsid w:val="00B43B44"/>
    <w:rsid w:val="00B44D33"/>
    <w:rsid w:val="00B4648A"/>
    <w:rsid w:val="00B46E58"/>
    <w:rsid w:val="00B477B5"/>
    <w:rsid w:val="00B511D9"/>
    <w:rsid w:val="00B515D0"/>
    <w:rsid w:val="00B51C86"/>
    <w:rsid w:val="00B524C2"/>
    <w:rsid w:val="00B52673"/>
    <w:rsid w:val="00B54D86"/>
    <w:rsid w:val="00B54FB2"/>
    <w:rsid w:val="00B557CC"/>
    <w:rsid w:val="00B60292"/>
    <w:rsid w:val="00B60CFF"/>
    <w:rsid w:val="00B62024"/>
    <w:rsid w:val="00B62325"/>
    <w:rsid w:val="00B62641"/>
    <w:rsid w:val="00B64713"/>
    <w:rsid w:val="00B64F0D"/>
    <w:rsid w:val="00B65793"/>
    <w:rsid w:val="00B65FCE"/>
    <w:rsid w:val="00B660A0"/>
    <w:rsid w:val="00B669A1"/>
    <w:rsid w:val="00B7138F"/>
    <w:rsid w:val="00B71E3A"/>
    <w:rsid w:val="00B71E6B"/>
    <w:rsid w:val="00B72B55"/>
    <w:rsid w:val="00B72EA7"/>
    <w:rsid w:val="00B7419D"/>
    <w:rsid w:val="00B74856"/>
    <w:rsid w:val="00B755D1"/>
    <w:rsid w:val="00B75686"/>
    <w:rsid w:val="00B75FBB"/>
    <w:rsid w:val="00B768EF"/>
    <w:rsid w:val="00B76E38"/>
    <w:rsid w:val="00B7730A"/>
    <w:rsid w:val="00B7730E"/>
    <w:rsid w:val="00B80683"/>
    <w:rsid w:val="00B807C6"/>
    <w:rsid w:val="00B816E2"/>
    <w:rsid w:val="00B82268"/>
    <w:rsid w:val="00B82889"/>
    <w:rsid w:val="00B82EAA"/>
    <w:rsid w:val="00B877D7"/>
    <w:rsid w:val="00B9018F"/>
    <w:rsid w:val="00B92193"/>
    <w:rsid w:val="00B92F26"/>
    <w:rsid w:val="00B93893"/>
    <w:rsid w:val="00B94760"/>
    <w:rsid w:val="00B970C0"/>
    <w:rsid w:val="00B9722B"/>
    <w:rsid w:val="00BA038C"/>
    <w:rsid w:val="00BA2920"/>
    <w:rsid w:val="00BA348F"/>
    <w:rsid w:val="00BA3852"/>
    <w:rsid w:val="00BA406C"/>
    <w:rsid w:val="00BA5302"/>
    <w:rsid w:val="00BA6EBD"/>
    <w:rsid w:val="00BA74E8"/>
    <w:rsid w:val="00BB00C7"/>
    <w:rsid w:val="00BB0DBB"/>
    <w:rsid w:val="00BB0EB6"/>
    <w:rsid w:val="00BB1403"/>
    <w:rsid w:val="00BB2B32"/>
    <w:rsid w:val="00BB4F5D"/>
    <w:rsid w:val="00BB54D2"/>
    <w:rsid w:val="00BB5A36"/>
    <w:rsid w:val="00BB7F0A"/>
    <w:rsid w:val="00BC0404"/>
    <w:rsid w:val="00BC0F00"/>
    <w:rsid w:val="00BC12F4"/>
    <w:rsid w:val="00BC14D8"/>
    <w:rsid w:val="00BC2037"/>
    <w:rsid w:val="00BC29D0"/>
    <w:rsid w:val="00BC4289"/>
    <w:rsid w:val="00BC4C02"/>
    <w:rsid w:val="00BC5010"/>
    <w:rsid w:val="00BC5265"/>
    <w:rsid w:val="00BC5494"/>
    <w:rsid w:val="00BC5DB7"/>
    <w:rsid w:val="00BC5FA7"/>
    <w:rsid w:val="00BC627B"/>
    <w:rsid w:val="00BC6697"/>
    <w:rsid w:val="00BC7D71"/>
    <w:rsid w:val="00BD0068"/>
    <w:rsid w:val="00BD0CB3"/>
    <w:rsid w:val="00BD1192"/>
    <w:rsid w:val="00BD3BEB"/>
    <w:rsid w:val="00BD3E9A"/>
    <w:rsid w:val="00BD4F9D"/>
    <w:rsid w:val="00BD56EA"/>
    <w:rsid w:val="00BD6426"/>
    <w:rsid w:val="00BD6F27"/>
    <w:rsid w:val="00BE05DA"/>
    <w:rsid w:val="00BE17A6"/>
    <w:rsid w:val="00BE191D"/>
    <w:rsid w:val="00BE1A70"/>
    <w:rsid w:val="00BE2BCA"/>
    <w:rsid w:val="00BE3475"/>
    <w:rsid w:val="00BE3E69"/>
    <w:rsid w:val="00BE40C8"/>
    <w:rsid w:val="00BE4F69"/>
    <w:rsid w:val="00BE75B4"/>
    <w:rsid w:val="00BE7AA9"/>
    <w:rsid w:val="00BE7C96"/>
    <w:rsid w:val="00BF1CCB"/>
    <w:rsid w:val="00BF1E3F"/>
    <w:rsid w:val="00BF29AF"/>
    <w:rsid w:val="00BF5A6F"/>
    <w:rsid w:val="00C0089E"/>
    <w:rsid w:val="00C00BFB"/>
    <w:rsid w:val="00C01386"/>
    <w:rsid w:val="00C0158E"/>
    <w:rsid w:val="00C01883"/>
    <w:rsid w:val="00C06556"/>
    <w:rsid w:val="00C107BD"/>
    <w:rsid w:val="00C1094F"/>
    <w:rsid w:val="00C11CB6"/>
    <w:rsid w:val="00C11E1D"/>
    <w:rsid w:val="00C11EDF"/>
    <w:rsid w:val="00C13094"/>
    <w:rsid w:val="00C14E3B"/>
    <w:rsid w:val="00C15C70"/>
    <w:rsid w:val="00C16759"/>
    <w:rsid w:val="00C16EF0"/>
    <w:rsid w:val="00C20329"/>
    <w:rsid w:val="00C22E02"/>
    <w:rsid w:val="00C2375C"/>
    <w:rsid w:val="00C25EB6"/>
    <w:rsid w:val="00C26C9B"/>
    <w:rsid w:val="00C2790E"/>
    <w:rsid w:val="00C30B7A"/>
    <w:rsid w:val="00C31052"/>
    <w:rsid w:val="00C33634"/>
    <w:rsid w:val="00C33648"/>
    <w:rsid w:val="00C337BD"/>
    <w:rsid w:val="00C33887"/>
    <w:rsid w:val="00C34167"/>
    <w:rsid w:val="00C345D1"/>
    <w:rsid w:val="00C3497A"/>
    <w:rsid w:val="00C35E15"/>
    <w:rsid w:val="00C35E41"/>
    <w:rsid w:val="00C37117"/>
    <w:rsid w:val="00C3774F"/>
    <w:rsid w:val="00C4043D"/>
    <w:rsid w:val="00C41FF3"/>
    <w:rsid w:val="00C44625"/>
    <w:rsid w:val="00C44D06"/>
    <w:rsid w:val="00C46F8E"/>
    <w:rsid w:val="00C47E91"/>
    <w:rsid w:val="00C50093"/>
    <w:rsid w:val="00C50BD0"/>
    <w:rsid w:val="00C522E2"/>
    <w:rsid w:val="00C53E57"/>
    <w:rsid w:val="00C54658"/>
    <w:rsid w:val="00C549D1"/>
    <w:rsid w:val="00C54D7F"/>
    <w:rsid w:val="00C552BF"/>
    <w:rsid w:val="00C554F1"/>
    <w:rsid w:val="00C55545"/>
    <w:rsid w:val="00C56B77"/>
    <w:rsid w:val="00C61332"/>
    <w:rsid w:val="00C61F12"/>
    <w:rsid w:val="00C62822"/>
    <w:rsid w:val="00C6319A"/>
    <w:rsid w:val="00C63440"/>
    <w:rsid w:val="00C6352C"/>
    <w:rsid w:val="00C63B38"/>
    <w:rsid w:val="00C63DCB"/>
    <w:rsid w:val="00C64E6E"/>
    <w:rsid w:val="00C67BF0"/>
    <w:rsid w:val="00C73D12"/>
    <w:rsid w:val="00C740E4"/>
    <w:rsid w:val="00C746AF"/>
    <w:rsid w:val="00C74861"/>
    <w:rsid w:val="00C74DF7"/>
    <w:rsid w:val="00C75767"/>
    <w:rsid w:val="00C75C44"/>
    <w:rsid w:val="00C76C23"/>
    <w:rsid w:val="00C80097"/>
    <w:rsid w:val="00C80305"/>
    <w:rsid w:val="00C80D6D"/>
    <w:rsid w:val="00C80DF0"/>
    <w:rsid w:val="00C80FBC"/>
    <w:rsid w:val="00C82E54"/>
    <w:rsid w:val="00C83072"/>
    <w:rsid w:val="00C83F75"/>
    <w:rsid w:val="00C85CB0"/>
    <w:rsid w:val="00C86030"/>
    <w:rsid w:val="00C8674A"/>
    <w:rsid w:val="00C874F1"/>
    <w:rsid w:val="00C87716"/>
    <w:rsid w:val="00C90AE1"/>
    <w:rsid w:val="00C919DB"/>
    <w:rsid w:val="00C93603"/>
    <w:rsid w:val="00C94027"/>
    <w:rsid w:val="00C944EA"/>
    <w:rsid w:val="00C94E6C"/>
    <w:rsid w:val="00C9546A"/>
    <w:rsid w:val="00C95757"/>
    <w:rsid w:val="00C96E52"/>
    <w:rsid w:val="00C96FB9"/>
    <w:rsid w:val="00CA1C09"/>
    <w:rsid w:val="00CA23B5"/>
    <w:rsid w:val="00CA298E"/>
    <w:rsid w:val="00CA29A2"/>
    <w:rsid w:val="00CA43FB"/>
    <w:rsid w:val="00CA51F6"/>
    <w:rsid w:val="00CA54D1"/>
    <w:rsid w:val="00CA607A"/>
    <w:rsid w:val="00CA7034"/>
    <w:rsid w:val="00CA778E"/>
    <w:rsid w:val="00CA7A67"/>
    <w:rsid w:val="00CB16D4"/>
    <w:rsid w:val="00CB26EF"/>
    <w:rsid w:val="00CB2703"/>
    <w:rsid w:val="00CB3449"/>
    <w:rsid w:val="00CB358A"/>
    <w:rsid w:val="00CB3BE1"/>
    <w:rsid w:val="00CB42DB"/>
    <w:rsid w:val="00CB568E"/>
    <w:rsid w:val="00CB6C6F"/>
    <w:rsid w:val="00CB7126"/>
    <w:rsid w:val="00CB7980"/>
    <w:rsid w:val="00CC05D7"/>
    <w:rsid w:val="00CC0D04"/>
    <w:rsid w:val="00CC19B6"/>
    <w:rsid w:val="00CC2CEF"/>
    <w:rsid w:val="00CC354B"/>
    <w:rsid w:val="00CC425B"/>
    <w:rsid w:val="00CC4C57"/>
    <w:rsid w:val="00CC5171"/>
    <w:rsid w:val="00CC5ED7"/>
    <w:rsid w:val="00CC5F27"/>
    <w:rsid w:val="00CC7368"/>
    <w:rsid w:val="00CC7861"/>
    <w:rsid w:val="00CD06D4"/>
    <w:rsid w:val="00CD1414"/>
    <w:rsid w:val="00CD168D"/>
    <w:rsid w:val="00CD1ABA"/>
    <w:rsid w:val="00CD1E59"/>
    <w:rsid w:val="00CD260C"/>
    <w:rsid w:val="00CD3786"/>
    <w:rsid w:val="00CD3C3D"/>
    <w:rsid w:val="00CD3D4A"/>
    <w:rsid w:val="00CD497E"/>
    <w:rsid w:val="00CD53BA"/>
    <w:rsid w:val="00CD6633"/>
    <w:rsid w:val="00CD68A4"/>
    <w:rsid w:val="00CD726F"/>
    <w:rsid w:val="00CD7777"/>
    <w:rsid w:val="00CD7CDF"/>
    <w:rsid w:val="00CE0199"/>
    <w:rsid w:val="00CE146C"/>
    <w:rsid w:val="00CE1820"/>
    <w:rsid w:val="00CE1DC5"/>
    <w:rsid w:val="00CE1E1E"/>
    <w:rsid w:val="00CE50EB"/>
    <w:rsid w:val="00CE5B02"/>
    <w:rsid w:val="00CE5EC6"/>
    <w:rsid w:val="00CE631A"/>
    <w:rsid w:val="00CE6B9D"/>
    <w:rsid w:val="00CF0965"/>
    <w:rsid w:val="00CF27A7"/>
    <w:rsid w:val="00CF37F0"/>
    <w:rsid w:val="00CF3EBB"/>
    <w:rsid w:val="00CF4FC5"/>
    <w:rsid w:val="00CF5350"/>
    <w:rsid w:val="00CF574B"/>
    <w:rsid w:val="00CF5797"/>
    <w:rsid w:val="00CF6390"/>
    <w:rsid w:val="00CF6D74"/>
    <w:rsid w:val="00D00036"/>
    <w:rsid w:val="00D00806"/>
    <w:rsid w:val="00D0087A"/>
    <w:rsid w:val="00D00987"/>
    <w:rsid w:val="00D0144F"/>
    <w:rsid w:val="00D014FB"/>
    <w:rsid w:val="00D01BF6"/>
    <w:rsid w:val="00D028E0"/>
    <w:rsid w:val="00D02A60"/>
    <w:rsid w:val="00D02C28"/>
    <w:rsid w:val="00D06CE3"/>
    <w:rsid w:val="00D10AC4"/>
    <w:rsid w:val="00D126F9"/>
    <w:rsid w:val="00D14BA5"/>
    <w:rsid w:val="00D15152"/>
    <w:rsid w:val="00D16BD4"/>
    <w:rsid w:val="00D16CC9"/>
    <w:rsid w:val="00D204A8"/>
    <w:rsid w:val="00D20FF5"/>
    <w:rsid w:val="00D22106"/>
    <w:rsid w:val="00D2284C"/>
    <w:rsid w:val="00D22A45"/>
    <w:rsid w:val="00D23A0A"/>
    <w:rsid w:val="00D2465F"/>
    <w:rsid w:val="00D26338"/>
    <w:rsid w:val="00D26AC2"/>
    <w:rsid w:val="00D2720B"/>
    <w:rsid w:val="00D303CA"/>
    <w:rsid w:val="00D30542"/>
    <w:rsid w:val="00D3145C"/>
    <w:rsid w:val="00D3146B"/>
    <w:rsid w:val="00D31D2C"/>
    <w:rsid w:val="00D32C7F"/>
    <w:rsid w:val="00D32E8F"/>
    <w:rsid w:val="00D33F39"/>
    <w:rsid w:val="00D34EE2"/>
    <w:rsid w:val="00D3534A"/>
    <w:rsid w:val="00D356D6"/>
    <w:rsid w:val="00D362F9"/>
    <w:rsid w:val="00D4003F"/>
    <w:rsid w:val="00D42CA4"/>
    <w:rsid w:val="00D4463D"/>
    <w:rsid w:val="00D4548D"/>
    <w:rsid w:val="00D456D5"/>
    <w:rsid w:val="00D46A75"/>
    <w:rsid w:val="00D477BC"/>
    <w:rsid w:val="00D47BBC"/>
    <w:rsid w:val="00D50E74"/>
    <w:rsid w:val="00D51042"/>
    <w:rsid w:val="00D51CD9"/>
    <w:rsid w:val="00D52011"/>
    <w:rsid w:val="00D52D70"/>
    <w:rsid w:val="00D5394B"/>
    <w:rsid w:val="00D54828"/>
    <w:rsid w:val="00D62A17"/>
    <w:rsid w:val="00D6357D"/>
    <w:rsid w:val="00D650F1"/>
    <w:rsid w:val="00D65A63"/>
    <w:rsid w:val="00D6750E"/>
    <w:rsid w:val="00D67650"/>
    <w:rsid w:val="00D711A5"/>
    <w:rsid w:val="00D71C12"/>
    <w:rsid w:val="00D7275A"/>
    <w:rsid w:val="00D74C02"/>
    <w:rsid w:val="00D75726"/>
    <w:rsid w:val="00D76830"/>
    <w:rsid w:val="00D778BC"/>
    <w:rsid w:val="00D81130"/>
    <w:rsid w:val="00D82AF5"/>
    <w:rsid w:val="00D8432B"/>
    <w:rsid w:val="00D8504F"/>
    <w:rsid w:val="00D85E02"/>
    <w:rsid w:val="00D86052"/>
    <w:rsid w:val="00D87582"/>
    <w:rsid w:val="00D87F53"/>
    <w:rsid w:val="00D91D07"/>
    <w:rsid w:val="00D94FAD"/>
    <w:rsid w:val="00D95E57"/>
    <w:rsid w:val="00D96020"/>
    <w:rsid w:val="00D97116"/>
    <w:rsid w:val="00DA00CB"/>
    <w:rsid w:val="00DA064F"/>
    <w:rsid w:val="00DA180B"/>
    <w:rsid w:val="00DA26BA"/>
    <w:rsid w:val="00DA26D3"/>
    <w:rsid w:val="00DA270A"/>
    <w:rsid w:val="00DA3EA3"/>
    <w:rsid w:val="00DA4273"/>
    <w:rsid w:val="00DA4966"/>
    <w:rsid w:val="00DA5145"/>
    <w:rsid w:val="00DA79C3"/>
    <w:rsid w:val="00DB1007"/>
    <w:rsid w:val="00DB13E1"/>
    <w:rsid w:val="00DB1CEA"/>
    <w:rsid w:val="00DB2733"/>
    <w:rsid w:val="00DB2896"/>
    <w:rsid w:val="00DB2D8E"/>
    <w:rsid w:val="00DB2DD9"/>
    <w:rsid w:val="00DB5730"/>
    <w:rsid w:val="00DB5AF4"/>
    <w:rsid w:val="00DB6942"/>
    <w:rsid w:val="00DB76B6"/>
    <w:rsid w:val="00DC0401"/>
    <w:rsid w:val="00DC0AC1"/>
    <w:rsid w:val="00DC16DB"/>
    <w:rsid w:val="00DC3280"/>
    <w:rsid w:val="00DC36C4"/>
    <w:rsid w:val="00DC579F"/>
    <w:rsid w:val="00DC5EED"/>
    <w:rsid w:val="00DC6081"/>
    <w:rsid w:val="00DC711A"/>
    <w:rsid w:val="00DC79F7"/>
    <w:rsid w:val="00DC7CF5"/>
    <w:rsid w:val="00DC7D7D"/>
    <w:rsid w:val="00DD1386"/>
    <w:rsid w:val="00DD2B89"/>
    <w:rsid w:val="00DD3715"/>
    <w:rsid w:val="00DD3A6E"/>
    <w:rsid w:val="00DD3D09"/>
    <w:rsid w:val="00DD41F1"/>
    <w:rsid w:val="00DD4B76"/>
    <w:rsid w:val="00DD52DD"/>
    <w:rsid w:val="00DD56E4"/>
    <w:rsid w:val="00DD5C57"/>
    <w:rsid w:val="00DD723A"/>
    <w:rsid w:val="00DD7847"/>
    <w:rsid w:val="00DE22EC"/>
    <w:rsid w:val="00DE4B2C"/>
    <w:rsid w:val="00DE51E2"/>
    <w:rsid w:val="00DE623D"/>
    <w:rsid w:val="00DE75E4"/>
    <w:rsid w:val="00DF07BB"/>
    <w:rsid w:val="00DF1C8C"/>
    <w:rsid w:val="00DF1DED"/>
    <w:rsid w:val="00DF221D"/>
    <w:rsid w:val="00DF2CAE"/>
    <w:rsid w:val="00DF2E83"/>
    <w:rsid w:val="00DF4335"/>
    <w:rsid w:val="00DF48FC"/>
    <w:rsid w:val="00DF6BEE"/>
    <w:rsid w:val="00DF7ACA"/>
    <w:rsid w:val="00E0062A"/>
    <w:rsid w:val="00E027B8"/>
    <w:rsid w:val="00E031F0"/>
    <w:rsid w:val="00E03866"/>
    <w:rsid w:val="00E03A7F"/>
    <w:rsid w:val="00E04BC6"/>
    <w:rsid w:val="00E058BF"/>
    <w:rsid w:val="00E07F9F"/>
    <w:rsid w:val="00E11DF8"/>
    <w:rsid w:val="00E12AA7"/>
    <w:rsid w:val="00E13892"/>
    <w:rsid w:val="00E13CE7"/>
    <w:rsid w:val="00E145E0"/>
    <w:rsid w:val="00E14CB5"/>
    <w:rsid w:val="00E158B5"/>
    <w:rsid w:val="00E16633"/>
    <w:rsid w:val="00E17429"/>
    <w:rsid w:val="00E2068D"/>
    <w:rsid w:val="00E20B24"/>
    <w:rsid w:val="00E215A8"/>
    <w:rsid w:val="00E215FC"/>
    <w:rsid w:val="00E217B1"/>
    <w:rsid w:val="00E245EC"/>
    <w:rsid w:val="00E255C7"/>
    <w:rsid w:val="00E26E0B"/>
    <w:rsid w:val="00E27ADA"/>
    <w:rsid w:val="00E27D94"/>
    <w:rsid w:val="00E32E68"/>
    <w:rsid w:val="00E32F08"/>
    <w:rsid w:val="00E331BF"/>
    <w:rsid w:val="00E33847"/>
    <w:rsid w:val="00E34666"/>
    <w:rsid w:val="00E36436"/>
    <w:rsid w:val="00E37523"/>
    <w:rsid w:val="00E3787F"/>
    <w:rsid w:val="00E406AD"/>
    <w:rsid w:val="00E40AD7"/>
    <w:rsid w:val="00E41162"/>
    <w:rsid w:val="00E415CD"/>
    <w:rsid w:val="00E4296B"/>
    <w:rsid w:val="00E4328B"/>
    <w:rsid w:val="00E4522F"/>
    <w:rsid w:val="00E4530E"/>
    <w:rsid w:val="00E46D49"/>
    <w:rsid w:val="00E4710B"/>
    <w:rsid w:val="00E473D1"/>
    <w:rsid w:val="00E47AF7"/>
    <w:rsid w:val="00E47C35"/>
    <w:rsid w:val="00E47EA6"/>
    <w:rsid w:val="00E50390"/>
    <w:rsid w:val="00E505B0"/>
    <w:rsid w:val="00E50AF8"/>
    <w:rsid w:val="00E50CC8"/>
    <w:rsid w:val="00E523D2"/>
    <w:rsid w:val="00E53582"/>
    <w:rsid w:val="00E53D9F"/>
    <w:rsid w:val="00E54BBF"/>
    <w:rsid w:val="00E551A9"/>
    <w:rsid w:val="00E55D34"/>
    <w:rsid w:val="00E55F2D"/>
    <w:rsid w:val="00E562B0"/>
    <w:rsid w:val="00E60287"/>
    <w:rsid w:val="00E6068F"/>
    <w:rsid w:val="00E612C0"/>
    <w:rsid w:val="00E61B3E"/>
    <w:rsid w:val="00E61E93"/>
    <w:rsid w:val="00E63123"/>
    <w:rsid w:val="00E64BCA"/>
    <w:rsid w:val="00E65965"/>
    <w:rsid w:val="00E65E9F"/>
    <w:rsid w:val="00E66CB3"/>
    <w:rsid w:val="00E66F22"/>
    <w:rsid w:val="00E67568"/>
    <w:rsid w:val="00E67EFF"/>
    <w:rsid w:val="00E716A0"/>
    <w:rsid w:val="00E72526"/>
    <w:rsid w:val="00E731C7"/>
    <w:rsid w:val="00E7344F"/>
    <w:rsid w:val="00E77118"/>
    <w:rsid w:val="00E773E5"/>
    <w:rsid w:val="00E77746"/>
    <w:rsid w:val="00E80AE6"/>
    <w:rsid w:val="00E81A97"/>
    <w:rsid w:val="00E81BC2"/>
    <w:rsid w:val="00E82505"/>
    <w:rsid w:val="00E82B72"/>
    <w:rsid w:val="00E878D4"/>
    <w:rsid w:val="00E90950"/>
    <w:rsid w:val="00E9099C"/>
    <w:rsid w:val="00E9099E"/>
    <w:rsid w:val="00E90B1A"/>
    <w:rsid w:val="00E90F17"/>
    <w:rsid w:val="00E94C7E"/>
    <w:rsid w:val="00E95FA4"/>
    <w:rsid w:val="00E961F5"/>
    <w:rsid w:val="00E965D4"/>
    <w:rsid w:val="00EA0764"/>
    <w:rsid w:val="00EA1E69"/>
    <w:rsid w:val="00EA2196"/>
    <w:rsid w:val="00EA24E6"/>
    <w:rsid w:val="00EA2A67"/>
    <w:rsid w:val="00EA3D43"/>
    <w:rsid w:val="00EA48EE"/>
    <w:rsid w:val="00EA5966"/>
    <w:rsid w:val="00EA5A2A"/>
    <w:rsid w:val="00EA60AB"/>
    <w:rsid w:val="00EA63C5"/>
    <w:rsid w:val="00EA7029"/>
    <w:rsid w:val="00EB0398"/>
    <w:rsid w:val="00EB1035"/>
    <w:rsid w:val="00EB15E2"/>
    <w:rsid w:val="00EB1C6B"/>
    <w:rsid w:val="00EB28C7"/>
    <w:rsid w:val="00EB29DD"/>
    <w:rsid w:val="00EB3196"/>
    <w:rsid w:val="00EB380A"/>
    <w:rsid w:val="00EB3C3C"/>
    <w:rsid w:val="00EB3DF4"/>
    <w:rsid w:val="00EB69C4"/>
    <w:rsid w:val="00EB7ECE"/>
    <w:rsid w:val="00EC00A1"/>
    <w:rsid w:val="00EC105F"/>
    <w:rsid w:val="00EC1EB4"/>
    <w:rsid w:val="00EC28D6"/>
    <w:rsid w:val="00EC40CD"/>
    <w:rsid w:val="00EC46FF"/>
    <w:rsid w:val="00EC48CD"/>
    <w:rsid w:val="00EC5704"/>
    <w:rsid w:val="00EC611C"/>
    <w:rsid w:val="00EC7271"/>
    <w:rsid w:val="00ED0AA9"/>
    <w:rsid w:val="00ED0CA5"/>
    <w:rsid w:val="00ED18A2"/>
    <w:rsid w:val="00ED3A09"/>
    <w:rsid w:val="00ED5316"/>
    <w:rsid w:val="00ED60AA"/>
    <w:rsid w:val="00ED6D2A"/>
    <w:rsid w:val="00ED742C"/>
    <w:rsid w:val="00ED7884"/>
    <w:rsid w:val="00ED7901"/>
    <w:rsid w:val="00ED7EE9"/>
    <w:rsid w:val="00EE0639"/>
    <w:rsid w:val="00EE0FD9"/>
    <w:rsid w:val="00EE2C6F"/>
    <w:rsid w:val="00EE3753"/>
    <w:rsid w:val="00EE42F2"/>
    <w:rsid w:val="00EE43FA"/>
    <w:rsid w:val="00EE4442"/>
    <w:rsid w:val="00EE579D"/>
    <w:rsid w:val="00EE6120"/>
    <w:rsid w:val="00EE6390"/>
    <w:rsid w:val="00EE66DD"/>
    <w:rsid w:val="00EE6FC7"/>
    <w:rsid w:val="00EE7510"/>
    <w:rsid w:val="00EE785C"/>
    <w:rsid w:val="00EE7860"/>
    <w:rsid w:val="00EE78BD"/>
    <w:rsid w:val="00EE7FED"/>
    <w:rsid w:val="00EF072A"/>
    <w:rsid w:val="00EF0F4D"/>
    <w:rsid w:val="00EF1027"/>
    <w:rsid w:val="00EF1960"/>
    <w:rsid w:val="00EF2253"/>
    <w:rsid w:val="00EF2340"/>
    <w:rsid w:val="00EF37F1"/>
    <w:rsid w:val="00EF535B"/>
    <w:rsid w:val="00EF56B5"/>
    <w:rsid w:val="00EF5806"/>
    <w:rsid w:val="00F00E91"/>
    <w:rsid w:val="00F0344B"/>
    <w:rsid w:val="00F03C0A"/>
    <w:rsid w:val="00F060D4"/>
    <w:rsid w:val="00F0610C"/>
    <w:rsid w:val="00F11919"/>
    <w:rsid w:val="00F127B5"/>
    <w:rsid w:val="00F12D1D"/>
    <w:rsid w:val="00F12F2F"/>
    <w:rsid w:val="00F1373D"/>
    <w:rsid w:val="00F13E85"/>
    <w:rsid w:val="00F14489"/>
    <w:rsid w:val="00F14DFA"/>
    <w:rsid w:val="00F1500D"/>
    <w:rsid w:val="00F161EA"/>
    <w:rsid w:val="00F16F4A"/>
    <w:rsid w:val="00F17694"/>
    <w:rsid w:val="00F202A9"/>
    <w:rsid w:val="00F21D7E"/>
    <w:rsid w:val="00F22E88"/>
    <w:rsid w:val="00F235D7"/>
    <w:rsid w:val="00F235FD"/>
    <w:rsid w:val="00F2593E"/>
    <w:rsid w:val="00F26A4E"/>
    <w:rsid w:val="00F330A3"/>
    <w:rsid w:val="00F33551"/>
    <w:rsid w:val="00F33A1D"/>
    <w:rsid w:val="00F34FC0"/>
    <w:rsid w:val="00F36C4E"/>
    <w:rsid w:val="00F37F49"/>
    <w:rsid w:val="00F405B8"/>
    <w:rsid w:val="00F40F5F"/>
    <w:rsid w:val="00F41E52"/>
    <w:rsid w:val="00F422A6"/>
    <w:rsid w:val="00F423CE"/>
    <w:rsid w:val="00F42C0A"/>
    <w:rsid w:val="00F44836"/>
    <w:rsid w:val="00F449F7"/>
    <w:rsid w:val="00F44CF0"/>
    <w:rsid w:val="00F44D7D"/>
    <w:rsid w:val="00F44DA5"/>
    <w:rsid w:val="00F4601C"/>
    <w:rsid w:val="00F462B0"/>
    <w:rsid w:val="00F46B5C"/>
    <w:rsid w:val="00F46EC2"/>
    <w:rsid w:val="00F4746F"/>
    <w:rsid w:val="00F47F87"/>
    <w:rsid w:val="00F5027A"/>
    <w:rsid w:val="00F5047F"/>
    <w:rsid w:val="00F51EA4"/>
    <w:rsid w:val="00F52151"/>
    <w:rsid w:val="00F53692"/>
    <w:rsid w:val="00F54130"/>
    <w:rsid w:val="00F553AD"/>
    <w:rsid w:val="00F55763"/>
    <w:rsid w:val="00F56235"/>
    <w:rsid w:val="00F5757B"/>
    <w:rsid w:val="00F57A42"/>
    <w:rsid w:val="00F57F56"/>
    <w:rsid w:val="00F60C09"/>
    <w:rsid w:val="00F6121A"/>
    <w:rsid w:val="00F616BA"/>
    <w:rsid w:val="00F61723"/>
    <w:rsid w:val="00F62BD1"/>
    <w:rsid w:val="00F64299"/>
    <w:rsid w:val="00F643D3"/>
    <w:rsid w:val="00F661F5"/>
    <w:rsid w:val="00F715BB"/>
    <w:rsid w:val="00F73059"/>
    <w:rsid w:val="00F761AE"/>
    <w:rsid w:val="00F77C20"/>
    <w:rsid w:val="00F8063F"/>
    <w:rsid w:val="00F80BF0"/>
    <w:rsid w:val="00F81464"/>
    <w:rsid w:val="00F81B9B"/>
    <w:rsid w:val="00F81DC1"/>
    <w:rsid w:val="00F83B01"/>
    <w:rsid w:val="00F83E09"/>
    <w:rsid w:val="00F84089"/>
    <w:rsid w:val="00F85271"/>
    <w:rsid w:val="00F85AFC"/>
    <w:rsid w:val="00F86A59"/>
    <w:rsid w:val="00F878EC"/>
    <w:rsid w:val="00F87AAF"/>
    <w:rsid w:val="00F87ECB"/>
    <w:rsid w:val="00F90B99"/>
    <w:rsid w:val="00F90D2C"/>
    <w:rsid w:val="00F91DF6"/>
    <w:rsid w:val="00F92497"/>
    <w:rsid w:val="00F9268D"/>
    <w:rsid w:val="00F93C1C"/>
    <w:rsid w:val="00F9523C"/>
    <w:rsid w:val="00F95A5E"/>
    <w:rsid w:val="00F9658C"/>
    <w:rsid w:val="00F97386"/>
    <w:rsid w:val="00FA107D"/>
    <w:rsid w:val="00FA2773"/>
    <w:rsid w:val="00FA369C"/>
    <w:rsid w:val="00FA3C15"/>
    <w:rsid w:val="00FA4028"/>
    <w:rsid w:val="00FA7296"/>
    <w:rsid w:val="00FB09D1"/>
    <w:rsid w:val="00FB09DF"/>
    <w:rsid w:val="00FB0FDB"/>
    <w:rsid w:val="00FB2566"/>
    <w:rsid w:val="00FB257C"/>
    <w:rsid w:val="00FB3910"/>
    <w:rsid w:val="00FB5177"/>
    <w:rsid w:val="00FB59B8"/>
    <w:rsid w:val="00FB5E26"/>
    <w:rsid w:val="00FB6400"/>
    <w:rsid w:val="00FB6AE9"/>
    <w:rsid w:val="00FC036F"/>
    <w:rsid w:val="00FC164B"/>
    <w:rsid w:val="00FC200E"/>
    <w:rsid w:val="00FC3011"/>
    <w:rsid w:val="00FC38EE"/>
    <w:rsid w:val="00FC4B9C"/>
    <w:rsid w:val="00FC529C"/>
    <w:rsid w:val="00FC5C87"/>
    <w:rsid w:val="00FC6348"/>
    <w:rsid w:val="00FC67C6"/>
    <w:rsid w:val="00FC6D00"/>
    <w:rsid w:val="00FC6ECB"/>
    <w:rsid w:val="00FC7DAB"/>
    <w:rsid w:val="00FC7ED0"/>
    <w:rsid w:val="00FD096F"/>
    <w:rsid w:val="00FD19DA"/>
    <w:rsid w:val="00FD268C"/>
    <w:rsid w:val="00FD2FFF"/>
    <w:rsid w:val="00FD310E"/>
    <w:rsid w:val="00FD411F"/>
    <w:rsid w:val="00FD4D30"/>
    <w:rsid w:val="00FD68B2"/>
    <w:rsid w:val="00FD7138"/>
    <w:rsid w:val="00FD75AB"/>
    <w:rsid w:val="00FE0706"/>
    <w:rsid w:val="00FE213F"/>
    <w:rsid w:val="00FE2506"/>
    <w:rsid w:val="00FE3C75"/>
    <w:rsid w:val="00FE47D3"/>
    <w:rsid w:val="00FE55DA"/>
    <w:rsid w:val="00FE5FFD"/>
    <w:rsid w:val="00FE6A42"/>
    <w:rsid w:val="00FE7378"/>
    <w:rsid w:val="00FF04FF"/>
    <w:rsid w:val="00FF065F"/>
    <w:rsid w:val="00FF0784"/>
    <w:rsid w:val="00FF1909"/>
    <w:rsid w:val="00FF26E9"/>
    <w:rsid w:val="00FF2933"/>
    <w:rsid w:val="00FF38E1"/>
    <w:rsid w:val="00FF5DC1"/>
    <w:rsid w:val="029E2AA7"/>
    <w:rsid w:val="04F8DBDA"/>
    <w:rsid w:val="0849391C"/>
    <w:rsid w:val="09211AD9"/>
    <w:rsid w:val="0CD8DE5E"/>
    <w:rsid w:val="0D48AD25"/>
    <w:rsid w:val="0DE60969"/>
    <w:rsid w:val="0EE37CEE"/>
    <w:rsid w:val="11079063"/>
    <w:rsid w:val="11B5383D"/>
    <w:rsid w:val="1291CFBA"/>
    <w:rsid w:val="13915A83"/>
    <w:rsid w:val="13F870AC"/>
    <w:rsid w:val="14AB4D92"/>
    <w:rsid w:val="15E67289"/>
    <w:rsid w:val="16170D09"/>
    <w:rsid w:val="178F5DC0"/>
    <w:rsid w:val="17A3FB45"/>
    <w:rsid w:val="19D56E6D"/>
    <w:rsid w:val="19F38A31"/>
    <w:rsid w:val="1A5E9A5F"/>
    <w:rsid w:val="1AF175B6"/>
    <w:rsid w:val="1B7B30CA"/>
    <w:rsid w:val="1BE39BF1"/>
    <w:rsid w:val="1C8BD476"/>
    <w:rsid w:val="1F857941"/>
    <w:rsid w:val="224A97EE"/>
    <w:rsid w:val="2313C2F3"/>
    <w:rsid w:val="23D17133"/>
    <w:rsid w:val="269D96FC"/>
    <w:rsid w:val="276FE079"/>
    <w:rsid w:val="28981798"/>
    <w:rsid w:val="289A6DB6"/>
    <w:rsid w:val="2A02F176"/>
    <w:rsid w:val="2A789E48"/>
    <w:rsid w:val="2B1146A4"/>
    <w:rsid w:val="2B5A30CC"/>
    <w:rsid w:val="2D0629B4"/>
    <w:rsid w:val="2D138819"/>
    <w:rsid w:val="2D5D8465"/>
    <w:rsid w:val="2D64F6BC"/>
    <w:rsid w:val="2D6C9E02"/>
    <w:rsid w:val="2D7E72C4"/>
    <w:rsid w:val="2DD8EEFC"/>
    <w:rsid w:val="2FCDE963"/>
    <w:rsid w:val="30EAA44F"/>
    <w:rsid w:val="3131737C"/>
    <w:rsid w:val="318A62FE"/>
    <w:rsid w:val="31C80364"/>
    <w:rsid w:val="32B57D26"/>
    <w:rsid w:val="33930F65"/>
    <w:rsid w:val="33D58379"/>
    <w:rsid w:val="34C1737E"/>
    <w:rsid w:val="3545CA2B"/>
    <w:rsid w:val="35476813"/>
    <w:rsid w:val="3583ED55"/>
    <w:rsid w:val="36084814"/>
    <w:rsid w:val="3636D9F9"/>
    <w:rsid w:val="3738663D"/>
    <w:rsid w:val="374BB778"/>
    <w:rsid w:val="3781336C"/>
    <w:rsid w:val="3810E013"/>
    <w:rsid w:val="3A851564"/>
    <w:rsid w:val="3B3F40B0"/>
    <w:rsid w:val="3E8E241D"/>
    <w:rsid w:val="3F1344B1"/>
    <w:rsid w:val="40CD5277"/>
    <w:rsid w:val="424E11E8"/>
    <w:rsid w:val="42FD3625"/>
    <w:rsid w:val="4341AADD"/>
    <w:rsid w:val="443A53E6"/>
    <w:rsid w:val="45151459"/>
    <w:rsid w:val="45ECAB9C"/>
    <w:rsid w:val="47CF0AC4"/>
    <w:rsid w:val="47E7842A"/>
    <w:rsid w:val="49718EA3"/>
    <w:rsid w:val="4A1B9995"/>
    <w:rsid w:val="4B5B5796"/>
    <w:rsid w:val="4BCFC421"/>
    <w:rsid w:val="4CA29AE0"/>
    <w:rsid w:val="4CA36DE2"/>
    <w:rsid w:val="4D6F6D5B"/>
    <w:rsid w:val="4DA25CE1"/>
    <w:rsid w:val="4DA82119"/>
    <w:rsid w:val="500CD4AE"/>
    <w:rsid w:val="5151D9E1"/>
    <w:rsid w:val="51B18798"/>
    <w:rsid w:val="520AC6EF"/>
    <w:rsid w:val="545298E3"/>
    <w:rsid w:val="5488E007"/>
    <w:rsid w:val="54B8B383"/>
    <w:rsid w:val="551117C0"/>
    <w:rsid w:val="566D37FE"/>
    <w:rsid w:val="57A0B885"/>
    <w:rsid w:val="59AEB1CA"/>
    <w:rsid w:val="59B9C557"/>
    <w:rsid w:val="5C9C7E6E"/>
    <w:rsid w:val="5D68A334"/>
    <w:rsid w:val="5F2CED42"/>
    <w:rsid w:val="60250D24"/>
    <w:rsid w:val="61303D89"/>
    <w:rsid w:val="6212B338"/>
    <w:rsid w:val="62BC6091"/>
    <w:rsid w:val="63521F5B"/>
    <w:rsid w:val="6490593C"/>
    <w:rsid w:val="655BAF8B"/>
    <w:rsid w:val="67132699"/>
    <w:rsid w:val="67788926"/>
    <w:rsid w:val="67F3570C"/>
    <w:rsid w:val="688E770E"/>
    <w:rsid w:val="69E1BCF9"/>
    <w:rsid w:val="6A49ECAE"/>
    <w:rsid w:val="6BA5201E"/>
    <w:rsid w:val="6CD78D65"/>
    <w:rsid w:val="6CD9C14E"/>
    <w:rsid w:val="6D256FBC"/>
    <w:rsid w:val="6DB57B89"/>
    <w:rsid w:val="6E75F6A0"/>
    <w:rsid w:val="70700EA9"/>
    <w:rsid w:val="70C9A053"/>
    <w:rsid w:val="71B5620C"/>
    <w:rsid w:val="71BBDFCA"/>
    <w:rsid w:val="74A4CD96"/>
    <w:rsid w:val="7525FFEF"/>
    <w:rsid w:val="75591E09"/>
    <w:rsid w:val="7787E6BC"/>
    <w:rsid w:val="779900C1"/>
    <w:rsid w:val="787CB6AF"/>
    <w:rsid w:val="7B018CC1"/>
    <w:rsid w:val="7B53E65A"/>
    <w:rsid w:val="7B8F053B"/>
    <w:rsid w:val="7C5A8553"/>
    <w:rsid w:val="7CCE5665"/>
    <w:rsid w:val="7F03FC0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BFBA7"/>
  <w15:chartTrackingRefBased/>
  <w15:docId w15:val="{BAEB4223-07F5-469A-957B-AE60066DB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0FF"/>
    <w:rPr>
      <w:rFonts w:ascii="Avenir Next LT Pro" w:hAnsi="Avenir Next LT Pro"/>
      <w:sz w:val="24"/>
    </w:rPr>
  </w:style>
  <w:style w:type="paragraph" w:styleId="Heading1">
    <w:name w:val="heading 1"/>
    <w:basedOn w:val="Normal"/>
    <w:next w:val="Normal"/>
    <w:link w:val="Heading1Char"/>
    <w:uiPriority w:val="9"/>
    <w:qFormat/>
    <w:rsid w:val="00F643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643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235D7"/>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unhideWhenUsed/>
    <w:qFormat/>
    <w:rsid w:val="00F643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F643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43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43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43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43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3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643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235D7"/>
    <w:rPr>
      <w:rFonts w:ascii="Avenir Next LT Pro" w:eastAsiaTheme="majorEastAsia" w:hAnsi="Avenir Next LT Pro" w:cstheme="majorBidi"/>
      <w:color w:val="0F4761" w:themeColor="accent1" w:themeShade="BF"/>
      <w:szCs w:val="28"/>
    </w:rPr>
  </w:style>
  <w:style w:type="character" w:customStyle="1" w:styleId="Heading4Char">
    <w:name w:val="Heading 4 Char"/>
    <w:basedOn w:val="DefaultParagraphFont"/>
    <w:link w:val="Heading4"/>
    <w:uiPriority w:val="9"/>
    <w:rsid w:val="00F643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F643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43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43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43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43D3"/>
    <w:rPr>
      <w:rFonts w:eastAsiaTheme="majorEastAsia" w:cstheme="majorBidi"/>
      <w:color w:val="272727" w:themeColor="text1" w:themeTint="D8"/>
    </w:rPr>
  </w:style>
  <w:style w:type="paragraph" w:styleId="Title">
    <w:name w:val="Title"/>
    <w:basedOn w:val="Normal"/>
    <w:next w:val="Normal"/>
    <w:link w:val="TitleChar"/>
    <w:uiPriority w:val="10"/>
    <w:qFormat/>
    <w:rsid w:val="00F643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43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43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43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43D3"/>
    <w:pPr>
      <w:spacing w:before="160"/>
      <w:jc w:val="center"/>
    </w:pPr>
    <w:rPr>
      <w:i/>
      <w:iCs/>
      <w:color w:val="404040" w:themeColor="text1" w:themeTint="BF"/>
    </w:rPr>
  </w:style>
  <w:style w:type="character" w:customStyle="1" w:styleId="QuoteChar">
    <w:name w:val="Quote Char"/>
    <w:basedOn w:val="DefaultParagraphFont"/>
    <w:link w:val="Quote"/>
    <w:uiPriority w:val="29"/>
    <w:rsid w:val="00F643D3"/>
    <w:rPr>
      <w:i/>
      <w:iCs/>
      <w:color w:val="404040" w:themeColor="text1" w:themeTint="BF"/>
    </w:rPr>
  </w:style>
  <w:style w:type="paragraph" w:styleId="ListParagraph">
    <w:name w:val="List Paragraph"/>
    <w:basedOn w:val="Normal"/>
    <w:uiPriority w:val="34"/>
    <w:qFormat/>
    <w:rsid w:val="00F643D3"/>
    <w:pPr>
      <w:ind w:left="720"/>
      <w:contextualSpacing/>
    </w:pPr>
  </w:style>
  <w:style w:type="character" w:styleId="IntenseEmphasis">
    <w:name w:val="Intense Emphasis"/>
    <w:basedOn w:val="DefaultParagraphFont"/>
    <w:uiPriority w:val="21"/>
    <w:qFormat/>
    <w:rsid w:val="00F643D3"/>
    <w:rPr>
      <w:i/>
      <w:iCs/>
      <w:color w:val="0F4761" w:themeColor="accent1" w:themeShade="BF"/>
    </w:rPr>
  </w:style>
  <w:style w:type="paragraph" w:styleId="IntenseQuote">
    <w:name w:val="Intense Quote"/>
    <w:basedOn w:val="Normal"/>
    <w:next w:val="Normal"/>
    <w:link w:val="IntenseQuoteChar"/>
    <w:uiPriority w:val="30"/>
    <w:qFormat/>
    <w:rsid w:val="00F643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43D3"/>
    <w:rPr>
      <w:i/>
      <w:iCs/>
      <w:color w:val="0F4761" w:themeColor="accent1" w:themeShade="BF"/>
    </w:rPr>
  </w:style>
  <w:style w:type="character" w:styleId="IntenseReference">
    <w:name w:val="Intense Reference"/>
    <w:basedOn w:val="DefaultParagraphFont"/>
    <w:uiPriority w:val="32"/>
    <w:qFormat/>
    <w:rsid w:val="00F643D3"/>
    <w:rPr>
      <w:b/>
      <w:bCs/>
      <w:smallCaps/>
      <w:color w:val="0F4761" w:themeColor="accent1" w:themeShade="BF"/>
      <w:spacing w:val="5"/>
    </w:rPr>
  </w:style>
  <w:style w:type="paragraph" w:styleId="FootnoteText">
    <w:name w:val="footnote text"/>
    <w:basedOn w:val="Normal"/>
    <w:link w:val="FootnoteTextChar"/>
    <w:uiPriority w:val="99"/>
    <w:unhideWhenUsed/>
    <w:rsid w:val="00F643D3"/>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rsid w:val="00F643D3"/>
    <w:rPr>
      <w:kern w:val="0"/>
      <w:sz w:val="20"/>
      <w:szCs w:val="20"/>
      <w14:ligatures w14:val="none"/>
    </w:rPr>
  </w:style>
  <w:style w:type="character" w:styleId="FootnoteReference">
    <w:name w:val="footnote reference"/>
    <w:basedOn w:val="DefaultParagraphFont"/>
    <w:uiPriority w:val="99"/>
    <w:semiHidden/>
    <w:unhideWhenUsed/>
    <w:rsid w:val="00F643D3"/>
    <w:rPr>
      <w:vertAlign w:val="superscript"/>
    </w:rPr>
  </w:style>
  <w:style w:type="character" w:styleId="CommentReference">
    <w:name w:val="annotation reference"/>
    <w:basedOn w:val="DefaultParagraphFont"/>
    <w:uiPriority w:val="99"/>
    <w:semiHidden/>
    <w:unhideWhenUsed/>
    <w:rsid w:val="00A95407"/>
    <w:rPr>
      <w:sz w:val="16"/>
      <w:szCs w:val="16"/>
    </w:rPr>
  </w:style>
  <w:style w:type="paragraph" w:styleId="CommentText">
    <w:name w:val="annotation text"/>
    <w:basedOn w:val="Normal"/>
    <w:link w:val="CommentTextChar"/>
    <w:uiPriority w:val="99"/>
    <w:unhideWhenUsed/>
    <w:rsid w:val="00A95407"/>
    <w:pPr>
      <w:spacing w:line="240" w:lineRule="auto"/>
    </w:pPr>
    <w:rPr>
      <w:sz w:val="20"/>
      <w:szCs w:val="20"/>
    </w:rPr>
  </w:style>
  <w:style w:type="character" w:customStyle="1" w:styleId="CommentTextChar">
    <w:name w:val="Comment Text Char"/>
    <w:basedOn w:val="DefaultParagraphFont"/>
    <w:link w:val="CommentText"/>
    <w:uiPriority w:val="99"/>
    <w:rsid w:val="00A95407"/>
    <w:rPr>
      <w:sz w:val="20"/>
      <w:szCs w:val="20"/>
    </w:rPr>
  </w:style>
  <w:style w:type="character" w:styleId="Hyperlink">
    <w:name w:val="Hyperlink"/>
    <w:basedOn w:val="DefaultParagraphFont"/>
    <w:uiPriority w:val="99"/>
    <w:unhideWhenUsed/>
    <w:rsid w:val="00A95407"/>
    <w:rPr>
      <w:color w:val="467886" w:themeColor="hyperlink"/>
      <w:u w:val="single"/>
    </w:rPr>
  </w:style>
  <w:style w:type="table" w:styleId="TableGrid">
    <w:name w:val="Table Grid"/>
    <w:basedOn w:val="TableNormal"/>
    <w:uiPriority w:val="39"/>
    <w:rsid w:val="00A95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E7792"/>
    <w:rPr>
      <w:b/>
      <w:bCs/>
    </w:rPr>
  </w:style>
  <w:style w:type="character" w:customStyle="1" w:styleId="CommentSubjectChar">
    <w:name w:val="Comment Subject Char"/>
    <w:basedOn w:val="CommentTextChar"/>
    <w:link w:val="CommentSubject"/>
    <w:uiPriority w:val="99"/>
    <w:semiHidden/>
    <w:rsid w:val="003E7792"/>
    <w:rPr>
      <w:b/>
      <w:bCs/>
      <w:sz w:val="20"/>
      <w:szCs w:val="20"/>
    </w:rPr>
  </w:style>
  <w:style w:type="character" w:styleId="FollowedHyperlink">
    <w:name w:val="FollowedHyperlink"/>
    <w:basedOn w:val="DefaultParagraphFont"/>
    <w:uiPriority w:val="99"/>
    <w:semiHidden/>
    <w:unhideWhenUsed/>
    <w:rsid w:val="00067BC8"/>
    <w:rPr>
      <w:color w:val="96607D" w:themeColor="followedHyperlink"/>
      <w:u w:val="single"/>
    </w:rPr>
  </w:style>
  <w:style w:type="character" w:customStyle="1" w:styleId="UnresolvedMention">
    <w:name w:val="Unresolved Mention"/>
    <w:basedOn w:val="DefaultParagraphFont"/>
    <w:uiPriority w:val="99"/>
    <w:semiHidden/>
    <w:unhideWhenUsed/>
    <w:rsid w:val="00343516"/>
    <w:rPr>
      <w:color w:val="605E5C"/>
      <w:shd w:val="clear" w:color="auto" w:fill="E1DFDD"/>
    </w:rPr>
  </w:style>
  <w:style w:type="paragraph" w:styleId="Revision">
    <w:name w:val="Revision"/>
    <w:hidden/>
    <w:uiPriority w:val="99"/>
    <w:semiHidden/>
    <w:rsid w:val="00240D90"/>
    <w:pPr>
      <w:spacing w:after="0" w:line="240" w:lineRule="auto"/>
    </w:pPr>
  </w:style>
  <w:style w:type="paragraph" w:styleId="Header">
    <w:name w:val="header"/>
    <w:basedOn w:val="Normal"/>
    <w:link w:val="HeaderChar"/>
    <w:uiPriority w:val="99"/>
    <w:unhideWhenUsed/>
    <w:rsid w:val="000930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302F"/>
  </w:style>
  <w:style w:type="paragraph" w:styleId="Footer">
    <w:name w:val="footer"/>
    <w:basedOn w:val="Normal"/>
    <w:link w:val="FooterChar"/>
    <w:uiPriority w:val="99"/>
    <w:unhideWhenUsed/>
    <w:rsid w:val="000930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302F"/>
  </w:style>
  <w:style w:type="paragraph" w:styleId="TOCHeading">
    <w:name w:val="TOC Heading"/>
    <w:basedOn w:val="Heading1"/>
    <w:next w:val="Normal"/>
    <w:uiPriority w:val="39"/>
    <w:unhideWhenUsed/>
    <w:qFormat/>
    <w:rsid w:val="001C6AB7"/>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814762"/>
    <w:pPr>
      <w:tabs>
        <w:tab w:val="right" w:leader="dot" w:pos="9016"/>
      </w:tabs>
      <w:spacing w:after="100"/>
    </w:pPr>
    <w:rPr>
      <w:noProof/>
    </w:rPr>
  </w:style>
  <w:style w:type="paragraph" w:styleId="TOC2">
    <w:name w:val="toc 2"/>
    <w:basedOn w:val="Normal"/>
    <w:next w:val="Normal"/>
    <w:autoRedefine/>
    <w:uiPriority w:val="39"/>
    <w:unhideWhenUsed/>
    <w:rsid w:val="001C6AB7"/>
    <w:pPr>
      <w:spacing w:after="100"/>
      <w:ind w:left="220"/>
    </w:pPr>
  </w:style>
  <w:style w:type="paragraph" w:styleId="TOC3">
    <w:name w:val="toc 3"/>
    <w:basedOn w:val="Normal"/>
    <w:next w:val="Normal"/>
    <w:autoRedefine/>
    <w:uiPriority w:val="39"/>
    <w:unhideWhenUsed/>
    <w:rsid w:val="001C6AB7"/>
    <w:pPr>
      <w:spacing w:after="100"/>
      <w:ind w:left="440"/>
    </w:pPr>
  </w:style>
  <w:style w:type="character" w:styleId="Strong">
    <w:name w:val="Strong"/>
    <w:basedOn w:val="DefaultParagraphFont"/>
    <w:uiPriority w:val="22"/>
    <w:qFormat/>
    <w:rsid w:val="00133F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641850">
      <w:bodyDiv w:val="1"/>
      <w:marLeft w:val="0"/>
      <w:marRight w:val="0"/>
      <w:marTop w:val="0"/>
      <w:marBottom w:val="0"/>
      <w:divBdr>
        <w:top w:val="none" w:sz="0" w:space="0" w:color="auto"/>
        <w:left w:val="none" w:sz="0" w:space="0" w:color="auto"/>
        <w:bottom w:val="none" w:sz="0" w:space="0" w:color="auto"/>
        <w:right w:val="none" w:sz="0" w:space="0" w:color="auto"/>
      </w:divBdr>
    </w:div>
    <w:div w:id="879048161">
      <w:bodyDiv w:val="1"/>
      <w:marLeft w:val="0"/>
      <w:marRight w:val="0"/>
      <w:marTop w:val="0"/>
      <w:marBottom w:val="0"/>
      <w:divBdr>
        <w:top w:val="none" w:sz="0" w:space="0" w:color="auto"/>
        <w:left w:val="none" w:sz="0" w:space="0" w:color="auto"/>
        <w:bottom w:val="none" w:sz="0" w:space="0" w:color="auto"/>
        <w:right w:val="none" w:sz="0" w:space="0" w:color="auto"/>
      </w:divBdr>
    </w:div>
    <w:div w:id="941036334">
      <w:bodyDiv w:val="1"/>
      <w:marLeft w:val="0"/>
      <w:marRight w:val="0"/>
      <w:marTop w:val="0"/>
      <w:marBottom w:val="0"/>
      <w:divBdr>
        <w:top w:val="none" w:sz="0" w:space="0" w:color="auto"/>
        <w:left w:val="none" w:sz="0" w:space="0" w:color="auto"/>
        <w:bottom w:val="none" w:sz="0" w:space="0" w:color="auto"/>
        <w:right w:val="none" w:sz="0" w:space="0" w:color="auto"/>
      </w:divBdr>
    </w:div>
    <w:div w:id="1511875287">
      <w:bodyDiv w:val="1"/>
      <w:marLeft w:val="0"/>
      <w:marRight w:val="0"/>
      <w:marTop w:val="0"/>
      <w:marBottom w:val="0"/>
      <w:divBdr>
        <w:top w:val="none" w:sz="0" w:space="0" w:color="auto"/>
        <w:left w:val="none" w:sz="0" w:space="0" w:color="auto"/>
        <w:bottom w:val="none" w:sz="0" w:space="0" w:color="auto"/>
        <w:right w:val="none" w:sz="0" w:space="0" w:color="auto"/>
      </w:divBdr>
    </w:div>
    <w:div w:id="1567836689">
      <w:bodyDiv w:val="1"/>
      <w:marLeft w:val="0"/>
      <w:marRight w:val="0"/>
      <w:marTop w:val="0"/>
      <w:marBottom w:val="0"/>
      <w:divBdr>
        <w:top w:val="none" w:sz="0" w:space="0" w:color="auto"/>
        <w:left w:val="none" w:sz="0" w:space="0" w:color="auto"/>
        <w:bottom w:val="none" w:sz="0" w:space="0" w:color="auto"/>
        <w:right w:val="none" w:sz="0" w:space="0" w:color="auto"/>
      </w:divBdr>
    </w:div>
    <w:div w:id="1611354192">
      <w:bodyDiv w:val="1"/>
      <w:marLeft w:val="0"/>
      <w:marRight w:val="0"/>
      <w:marTop w:val="0"/>
      <w:marBottom w:val="0"/>
      <w:divBdr>
        <w:top w:val="none" w:sz="0" w:space="0" w:color="auto"/>
        <w:left w:val="none" w:sz="0" w:space="0" w:color="auto"/>
        <w:bottom w:val="none" w:sz="0" w:space="0" w:color="auto"/>
        <w:right w:val="none" w:sz="0" w:space="0" w:color="auto"/>
      </w:divBdr>
    </w:div>
    <w:div w:id="211871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nglicare-tas.org.au/research/housing-connect-front-door-service-snapshot-december-quarter-2024/" TargetMode="External"/><Relationship Id="rId18" Type="http://schemas.openxmlformats.org/officeDocument/2006/relationships/chart" Target="charts/chart3.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anglicare-tas.org.au/research/stretched-too-far-children-and-families-surviving-the-cost-of-living-crisis-in-tasmania/" TargetMode="External"/><Relationship Id="rId7" Type="http://schemas.openxmlformats.org/officeDocument/2006/relationships/settings" Target="settings.xml"/><Relationship Id="rId12" Type="http://schemas.openxmlformats.org/officeDocument/2006/relationships/hyperlink" Target="http://www.lifeline.org.au" TargetMode="External"/><Relationship Id="rId17" Type="http://schemas.openxmlformats.org/officeDocument/2006/relationships/chart" Target="charts/chart2.xml"/><Relationship Id="rId25" Type="http://schemas.openxmlformats.org/officeDocument/2006/relationships/image" Target="media/image3.sv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nglicare-tas.org.au/research/sarc-more-houses-needed-report-october-2024/" TargetMode="External"/><Relationship Id="rId29" Type="http://schemas.openxmlformats.org/officeDocument/2006/relationships/hyperlink" Target="https://www.anglicare-tas.org.au/research/housing-connect-front-door-service-snapshot-december-quarter-202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1800respect.org.au" TargetMode="External"/><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anglicare-tas.org.au/research/in-limbo-exploring-income-and-housing-barriers-for-reunifying-tasmanian-families/" TargetMode="External"/><Relationship Id="rId28"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chart" Target="charts/chart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hyperlink" Target="https://www.anglicare-tas.org.au/research/unsafe-and-unhoused/" TargetMode="External"/><Relationship Id="rId27" Type="http://schemas.openxmlformats.org/officeDocument/2006/relationships/image" Target="media/image5.svg"/><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aihw.gov.au/reports/children-youth/australias-children/contents/housing/overcrowding" TargetMode="External"/><Relationship Id="rId13" Type="http://schemas.openxmlformats.org/officeDocument/2006/relationships/hyperlink" Target="https://www.aihw.gov.au/reports/australias-welfare/homelessness-and-homelessness-services" TargetMode="External"/><Relationship Id="rId3" Type="http://schemas.openxmlformats.org/officeDocument/2006/relationships/hyperlink" Target="https://www.ahuri.edu.au/research/final-reports/416" TargetMode="External"/><Relationship Id="rId7" Type="http://schemas.openxmlformats.org/officeDocument/2006/relationships/hyperlink" Target="https://www.aracy.org.au/resources/the-first-thousand-days-an-evidence-paper/" TargetMode="External"/><Relationship Id="rId12" Type="http://schemas.openxmlformats.org/officeDocument/2006/relationships/hyperlink" Target="https://tutas.org.au/wp-content/uploads/2019/11/RDA-Rent-Stats-Mar-2024.pdf" TargetMode="External"/><Relationship Id="rId17" Type="http://schemas.openxmlformats.org/officeDocument/2006/relationships/hyperlink" Target="https://www.sauleslake.info/independent-review-of-tasmanias-state-finances/" TargetMode="External"/><Relationship Id="rId2" Type="http://schemas.openxmlformats.org/officeDocument/2006/relationships/hyperlink" Target="https://www.realestate.com.au/insights/more-renters-homeowners-turn-to-share-accommodation-to-make-ends-meet/" TargetMode="External"/><Relationship Id="rId16" Type="http://schemas.openxmlformats.org/officeDocument/2006/relationships/hyperlink" Target="https://www.anglicare.asn.au/publications/investing-in-people/" TargetMode="External"/><Relationship Id="rId1" Type="http://schemas.openxmlformats.org/officeDocument/2006/relationships/hyperlink" Target="https://www.aihw.gov.au/reports/family-domestic-and-sexual-violence/family-domestic-sexual-violence-in-australia-2018/summary" TargetMode="External"/><Relationship Id="rId6" Type="http://schemas.openxmlformats.org/officeDocument/2006/relationships/hyperlink" Target="https://www.aracy.org.au/resources/the-first-thousand-days-an-evidence-paper/" TargetMode="External"/><Relationship Id="rId11" Type="http://schemas.openxmlformats.org/officeDocument/2006/relationships/hyperlink" Target="https://tutas.org.au/wp-content/uploads/2019/11/RDA-Rent-Stats-Mar-2024.pdf" TargetMode="External"/><Relationship Id="rId5" Type="http://schemas.openxmlformats.org/officeDocument/2006/relationships/hyperlink" Target="https://www.ahuri.edu.au/analysis/brief/housing-homelessness-and-domestic-and-family-violence" TargetMode="External"/><Relationship Id="rId15" Type="http://schemas.openxmlformats.org/officeDocument/2006/relationships/hyperlink" Target="https://theconversation.com/the-compelling-case-for-a-future-fund-for-social-housing-172508" TargetMode="External"/><Relationship Id="rId10" Type="http://schemas.openxmlformats.org/officeDocument/2006/relationships/hyperlink" Target="https://www.aracy.org.au/resources/the-first-thousand-days-an-evidence-paper/" TargetMode="External"/><Relationship Id="rId4" Type="http://schemas.openxmlformats.org/officeDocument/2006/relationships/hyperlink" Target="https://www.aihw.gov.au/family-domestic-and-sexual-violence/responses-and-outcomes/housing" TargetMode="External"/><Relationship Id="rId9" Type="http://schemas.openxmlformats.org/officeDocument/2006/relationships/hyperlink" Target="https://www.aihw.gov.au/reports/children-youth/australias-children/contents/housing/overcrowding" TargetMode="External"/><Relationship Id="rId14" Type="http://schemas.openxmlformats.org/officeDocument/2006/relationships/hyperlink" Target="https://www.anglicare.asn.au/publications/homes-for-all-a-roadmap-to-affordable-housing/"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Number of properties advertised in Tasmania </a:t>
            </a:r>
          </a:p>
          <a:p>
            <a:pPr>
              <a:defRPr/>
            </a:pPr>
            <a:r>
              <a:rPr lang="en-US"/>
              <a:t>in </a:t>
            </a:r>
            <a:r>
              <a:rPr lang="en-US" baseline="0"/>
              <a:t>Snapshot week, 2013-2025</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Number of properties</c:v>
                </c:pt>
              </c:strCache>
            </c:strRef>
          </c:tx>
          <c:spPr>
            <a:solidFill>
              <a:schemeClr val="accent1"/>
            </a:solidFill>
            <a:ln>
              <a:noFill/>
            </a:ln>
            <a:effectLst/>
          </c:spPr>
          <c:invertIfNegative val="0"/>
          <c:dLbls>
            <c:dLbl>
              <c:idx val="12"/>
              <c:layout/>
              <c:tx>
                <c:rich>
                  <a:bodyPr/>
                  <a:lstStyle/>
                  <a:p>
                    <a:r>
                      <a:rPr lang="en-US"/>
                      <a:t>845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1B7D-416D-B445-BAD5542E4997}"/>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Sheet1!$A$2:$A$14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Sheet1!$B$2:$B$14</c:f>
              <c:numCache>
                <c:formatCode>General</c:formatCode>
                <c:ptCount val="13"/>
                <c:pt idx="0">
                  <c:v>2677</c:v>
                </c:pt>
                <c:pt idx="1">
                  <c:v>2010</c:v>
                </c:pt>
                <c:pt idx="2">
                  <c:v>1842</c:v>
                </c:pt>
                <c:pt idx="3">
                  <c:v>1588</c:v>
                </c:pt>
                <c:pt idx="4">
                  <c:v>1363</c:v>
                </c:pt>
                <c:pt idx="5">
                  <c:v>1245</c:v>
                </c:pt>
                <c:pt idx="6">
                  <c:v>1050</c:v>
                </c:pt>
                <c:pt idx="7">
                  <c:v>1291</c:v>
                </c:pt>
                <c:pt idx="8">
                  <c:v>729</c:v>
                </c:pt>
                <c:pt idx="9">
                  <c:v>737</c:v>
                </c:pt>
                <c:pt idx="10">
                  <c:v>1037</c:v>
                </c:pt>
                <c:pt idx="11">
                  <c:v>1127</c:v>
                </c:pt>
                <c:pt idx="12">
                  <c:v>849</c:v>
                </c:pt>
              </c:numCache>
            </c:numRef>
          </c:val>
          <c:extLst xmlns:c16r2="http://schemas.microsoft.com/office/drawing/2015/06/chart">
            <c:ext xmlns:c16="http://schemas.microsoft.com/office/drawing/2014/chart" uri="{C3380CC4-5D6E-409C-BE32-E72D297353CC}">
              <c16:uniqueId val="{00000000-D421-45AF-B72B-D0FFE3C15309}"/>
            </c:ext>
          </c:extLst>
        </c:ser>
        <c:dLbls>
          <c:showLegendKey val="0"/>
          <c:showVal val="0"/>
          <c:showCatName val="0"/>
          <c:showSerName val="0"/>
          <c:showPercent val="0"/>
          <c:showBubbleSize val="0"/>
        </c:dLbls>
        <c:gapWidth val="219"/>
        <c:overlap val="-27"/>
        <c:axId val="63952792"/>
        <c:axId val="295648528"/>
      </c:barChart>
      <c:catAx>
        <c:axId val="63952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648528"/>
        <c:crosses val="autoZero"/>
        <c:auto val="1"/>
        <c:lblAlgn val="ctr"/>
        <c:lblOffset val="100"/>
        <c:noMultiLvlLbl val="0"/>
      </c:catAx>
      <c:valAx>
        <c:axId val="295648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9527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Number of properties advertised </a:t>
            </a:r>
          </a:p>
          <a:p>
            <a:pPr>
              <a:defRPr/>
            </a:pPr>
            <a:r>
              <a:rPr lang="en-US"/>
              <a:t>on Snapshot weekend</a:t>
            </a:r>
          </a:p>
          <a:p>
            <a:pPr>
              <a:defRPr/>
            </a:pPr>
            <a:r>
              <a:rPr lang="en-US" baseline="0"/>
              <a:t>in the South, 2013-2025</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Number of properties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Sheet1!$A$2:$A$14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Sheet1!$B$2:$B$14</c:f>
              <c:numCache>
                <c:formatCode>General</c:formatCode>
                <c:ptCount val="13"/>
                <c:pt idx="0">
                  <c:v>1304</c:v>
                </c:pt>
                <c:pt idx="1">
                  <c:v>941</c:v>
                </c:pt>
                <c:pt idx="2">
                  <c:v>856</c:v>
                </c:pt>
                <c:pt idx="3">
                  <c:v>632</c:v>
                </c:pt>
                <c:pt idx="4">
                  <c:v>512</c:v>
                </c:pt>
                <c:pt idx="5">
                  <c:v>562</c:v>
                </c:pt>
                <c:pt idx="6">
                  <c:v>434</c:v>
                </c:pt>
                <c:pt idx="7">
                  <c:v>755</c:v>
                </c:pt>
                <c:pt idx="8">
                  <c:v>433</c:v>
                </c:pt>
                <c:pt idx="9">
                  <c:v>339</c:v>
                </c:pt>
                <c:pt idx="10">
                  <c:v>637</c:v>
                </c:pt>
                <c:pt idx="11">
                  <c:v>659</c:v>
                </c:pt>
                <c:pt idx="12">
                  <c:v>449</c:v>
                </c:pt>
              </c:numCache>
            </c:numRef>
          </c:val>
          <c:extLst xmlns:c16r2="http://schemas.microsoft.com/office/drawing/2015/06/chart">
            <c:ext xmlns:c16="http://schemas.microsoft.com/office/drawing/2014/chart" uri="{C3380CC4-5D6E-409C-BE32-E72D297353CC}">
              <c16:uniqueId val="{00000000-E677-48E8-BBB1-9BF8892E86A5}"/>
            </c:ext>
          </c:extLst>
        </c:ser>
        <c:dLbls>
          <c:showLegendKey val="0"/>
          <c:showVal val="0"/>
          <c:showCatName val="0"/>
          <c:showSerName val="0"/>
          <c:showPercent val="0"/>
          <c:showBubbleSize val="0"/>
        </c:dLbls>
        <c:gapWidth val="150"/>
        <c:axId val="295159032"/>
        <c:axId val="295159416"/>
      </c:barChart>
      <c:catAx>
        <c:axId val="295159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159416"/>
        <c:crosses val="autoZero"/>
        <c:auto val="1"/>
        <c:lblAlgn val="ctr"/>
        <c:lblOffset val="100"/>
        <c:noMultiLvlLbl val="0"/>
      </c:catAx>
      <c:valAx>
        <c:axId val="295159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1590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Number of properties advertised</a:t>
            </a:r>
            <a:r>
              <a:rPr lang="en-US" baseline="0"/>
              <a:t> for rent </a:t>
            </a:r>
          </a:p>
          <a:p>
            <a:pPr>
              <a:defRPr/>
            </a:pPr>
            <a:r>
              <a:rPr lang="en-US" baseline="0"/>
              <a:t>on Snapshot weekend in the North, 2013-2025</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Number of properties</c:v>
                </c:pt>
              </c:strCache>
            </c:strRef>
          </c:tx>
          <c:spPr>
            <a:solidFill>
              <a:schemeClr val="accent1"/>
            </a:solidFill>
            <a:ln>
              <a:noFill/>
            </a:ln>
            <a:effectLst/>
          </c:spPr>
          <c:invertIfNegative val="0"/>
          <c:dLbls>
            <c:dLbl>
              <c:idx val="12"/>
              <c:layout/>
              <c:tx>
                <c:rich>
                  <a:bodyPr/>
                  <a:lstStyle/>
                  <a:p>
                    <a:r>
                      <a:rPr lang="en-US"/>
                      <a:t>271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FAF-4624-B5EB-D854CD651289}"/>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Sheet1!$A$2:$A$14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Sheet1!$B$2:$B$14</c:f>
              <c:numCache>
                <c:formatCode>General</c:formatCode>
                <c:ptCount val="13"/>
                <c:pt idx="0">
                  <c:v>809</c:v>
                </c:pt>
                <c:pt idx="1">
                  <c:v>649</c:v>
                </c:pt>
                <c:pt idx="2">
                  <c:v>593</c:v>
                </c:pt>
                <c:pt idx="3">
                  <c:v>490</c:v>
                </c:pt>
                <c:pt idx="4">
                  <c:v>413</c:v>
                </c:pt>
                <c:pt idx="5">
                  <c:v>440</c:v>
                </c:pt>
                <c:pt idx="6">
                  <c:v>354</c:v>
                </c:pt>
                <c:pt idx="7">
                  <c:v>395</c:v>
                </c:pt>
                <c:pt idx="8">
                  <c:v>209</c:v>
                </c:pt>
                <c:pt idx="9">
                  <c:v>277</c:v>
                </c:pt>
                <c:pt idx="10">
                  <c:v>277</c:v>
                </c:pt>
                <c:pt idx="11">
                  <c:v>297</c:v>
                </c:pt>
                <c:pt idx="12">
                  <c:v>272</c:v>
                </c:pt>
              </c:numCache>
            </c:numRef>
          </c:val>
          <c:extLst xmlns:c16r2="http://schemas.microsoft.com/office/drawing/2015/06/chart">
            <c:ext xmlns:c16="http://schemas.microsoft.com/office/drawing/2014/chart" uri="{C3380CC4-5D6E-409C-BE32-E72D297353CC}">
              <c16:uniqueId val="{00000000-6374-4B8A-B1E7-D980218A662A}"/>
            </c:ext>
          </c:extLst>
        </c:ser>
        <c:dLbls>
          <c:showLegendKey val="0"/>
          <c:showVal val="0"/>
          <c:showCatName val="0"/>
          <c:showSerName val="0"/>
          <c:showPercent val="0"/>
          <c:showBubbleSize val="0"/>
        </c:dLbls>
        <c:gapWidth val="150"/>
        <c:axId val="295134936"/>
        <c:axId val="295135320"/>
      </c:barChart>
      <c:catAx>
        <c:axId val="295134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135320"/>
        <c:crosses val="autoZero"/>
        <c:auto val="1"/>
        <c:lblAlgn val="ctr"/>
        <c:lblOffset val="100"/>
        <c:noMultiLvlLbl val="0"/>
      </c:catAx>
      <c:valAx>
        <c:axId val="295135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1349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Number of properties advertised on </a:t>
            </a:r>
          </a:p>
          <a:p>
            <a:pPr>
              <a:defRPr/>
            </a:pPr>
            <a:r>
              <a:rPr lang="en-US"/>
              <a:t>Snapshot weekend in the North West, 2013-2025</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Number of properties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Sheet1!$A$2:$A$14</c:f>
              <c:numCache>
                <c:formatCode>General</c:formatCode>
                <c:ptCount val="13"/>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numCache>
            </c:numRef>
          </c:cat>
          <c:val>
            <c:numRef>
              <c:f>Sheet1!$B$2:$B$14</c:f>
              <c:numCache>
                <c:formatCode>General</c:formatCode>
                <c:ptCount val="13"/>
                <c:pt idx="0">
                  <c:v>563</c:v>
                </c:pt>
                <c:pt idx="1">
                  <c:v>420</c:v>
                </c:pt>
                <c:pt idx="2">
                  <c:v>393</c:v>
                </c:pt>
                <c:pt idx="3">
                  <c:v>481</c:v>
                </c:pt>
                <c:pt idx="4">
                  <c:v>438</c:v>
                </c:pt>
                <c:pt idx="5">
                  <c:v>243</c:v>
                </c:pt>
                <c:pt idx="6">
                  <c:v>262</c:v>
                </c:pt>
                <c:pt idx="7">
                  <c:v>141</c:v>
                </c:pt>
                <c:pt idx="8">
                  <c:v>87</c:v>
                </c:pt>
                <c:pt idx="9">
                  <c:v>121</c:v>
                </c:pt>
                <c:pt idx="10">
                  <c:v>123</c:v>
                </c:pt>
                <c:pt idx="11">
                  <c:v>171</c:v>
                </c:pt>
                <c:pt idx="12">
                  <c:v>125</c:v>
                </c:pt>
              </c:numCache>
            </c:numRef>
          </c:val>
          <c:extLst xmlns:c16r2="http://schemas.microsoft.com/office/drawing/2015/06/chart">
            <c:ext xmlns:c16="http://schemas.microsoft.com/office/drawing/2014/chart" uri="{C3380CC4-5D6E-409C-BE32-E72D297353CC}">
              <c16:uniqueId val="{00000000-E12F-49AF-A034-8FF987B5ED9D}"/>
            </c:ext>
          </c:extLst>
        </c:ser>
        <c:dLbls>
          <c:showLegendKey val="0"/>
          <c:showVal val="0"/>
          <c:showCatName val="0"/>
          <c:showSerName val="0"/>
          <c:showPercent val="0"/>
          <c:showBubbleSize val="0"/>
        </c:dLbls>
        <c:gapWidth val="150"/>
        <c:axId val="293933928"/>
        <c:axId val="293936280"/>
      </c:barChart>
      <c:catAx>
        <c:axId val="293933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3936280"/>
        <c:crosses val="autoZero"/>
        <c:auto val="1"/>
        <c:lblAlgn val="ctr"/>
        <c:lblOffset val="100"/>
        <c:noMultiLvlLbl val="0"/>
      </c:catAx>
      <c:valAx>
        <c:axId val="293936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39339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147A9C52B66F43ADA71E02B06EFE33" ma:contentTypeVersion="4" ma:contentTypeDescription="Create a new document." ma:contentTypeScope="" ma:versionID="07174547853642353048707cff023a03">
  <xsd:schema xmlns:xsd="http://www.w3.org/2001/XMLSchema" xmlns:xs="http://www.w3.org/2001/XMLSchema" xmlns:p="http://schemas.microsoft.com/office/2006/metadata/properties" xmlns:ns2="b9339c31-8080-492a-8c6b-c6960c53aca6" targetNamespace="http://schemas.microsoft.com/office/2006/metadata/properties" ma:root="true" ma:fieldsID="6028543974047797c16110bffd0db279" ns2:_="">
    <xsd:import namespace="b9339c31-8080-492a-8c6b-c6960c53ac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39c31-8080-492a-8c6b-c6960c53a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2EFD6-1223-42C0-AC4B-F6A08A3C5F67}">
  <ds:schemaRefs>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b9339c31-8080-492a-8c6b-c6960c53aca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6D6FCF2-C531-49EA-AA93-0CEDE238A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39c31-8080-492a-8c6b-c6960c53a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2018CF-0FED-4E4A-8642-6409EB507CA3}">
  <ds:schemaRefs>
    <ds:schemaRef ds:uri="http://schemas.microsoft.com/sharepoint/v3/contenttype/forms"/>
  </ds:schemaRefs>
</ds:datastoreItem>
</file>

<file path=customXml/itemProps4.xml><?xml version="1.0" encoding="utf-8"?>
<ds:datastoreItem xmlns:ds="http://schemas.openxmlformats.org/officeDocument/2006/customXml" ds:itemID="{3973EF32-8203-4985-8936-D72E17E0E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7400</Words>
  <Characters>42185</Characters>
  <Application>Microsoft Office Word</Application>
  <DocSecurity>4</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49487</CharactersWithSpaces>
  <SharedDoc>false</SharedDoc>
  <HLinks>
    <vt:vector size="294" baseType="variant">
      <vt:variant>
        <vt:i4>458770</vt:i4>
      </vt:variant>
      <vt:variant>
        <vt:i4>174</vt:i4>
      </vt:variant>
      <vt:variant>
        <vt:i4>0</vt:i4>
      </vt:variant>
      <vt:variant>
        <vt:i4>5</vt:i4>
      </vt:variant>
      <vt:variant>
        <vt:lpwstr>https://www.anglicare-tas.org.au/research/housing-connect-front-door-service-snapshot-december-quarter-2024/</vt:lpwstr>
      </vt:variant>
      <vt:variant>
        <vt:lpwstr/>
      </vt:variant>
      <vt:variant>
        <vt:i4>6750241</vt:i4>
      </vt:variant>
      <vt:variant>
        <vt:i4>171</vt:i4>
      </vt:variant>
      <vt:variant>
        <vt:i4>0</vt:i4>
      </vt:variant>
      <vt:variant>
        <vt:i4>5</vt:i4>
      </vt:variant>
      <vt:variant>
        <vt:lpwstr>https://www.anglicare-tas.org.au/research/in-limbo-exploring-income-and-housing-barriers-for-reunifying-tasmanian-families/</vt:lpwstr>
      </vt:variant>
      <vt:variant>
        <vt:lpwstr/>
      </vt:variant>
      <vt:variant>
        <vt:i4>7405672</vt:i4>
      </vt:variant>
      <vt:variant>
        <vt:i4>168</vt:i4>
      </vt:variant>
      <vt:variant>
        <vt:i4>0</vt:i4>
      </vt:variant>
      <vt:variant>
        <vt:i4>5</vt:i4>
      </vt:variant>
      <vt:variant>
        <vt:lpwstr>https://www.anglicare-tas.org.au/research/unsafe-and-unhoused/</vt:lpwstr>
      </vt:variant>
      <vt:variant>
        <vt:lpwstr/>
      </vt:variant>
      <vt:variant>
        <vt:i4>7798833</vt:i4>
      </vt:variant>
      <vt:variant>
        <vt:i4>165</vt:i4>
      </vt:variant>
      <vt:variant>
        <vt:i4>0</vt:i4>
      </vt:variant>
      <vt:variant>
        <vt:i4>5</vt:i4>
      </vt:variant>
      <vt:variant>
        <vt:lpwstr>https://www.anglicare-tas.org.au/research/stretched-too-far-children-and-families-surviving-the-cost-of-living-crisis-in-tasmania/</vt:lpwstr>
      </vt:variant>
      <vt:variant>
        <vt:lpwstr/>
      </vt:variant>
      <vt:variant>
        <vt:i4>7995515</vt:i4>
      </vt:variant>
      <vt:variant>
        <vt:i4>162</vt:i4>
      </vt:variant>
      <vt:variant>
        <vt:i4>0</vt:i4>
      </vt:variant>
      <vt:variant>
        <vt:i4>5</vt:i4>
      </vt:variant>
      <vt:variant>
        <vt:lpwstr>https://www.anglicare-tas.org.au/research/sarc-more-houses-needed-report-october-2024/</vt:lpwstr>
      </vt:variant>
      <vt:variant>
        <vt:lpwstr/>
      </vt:variant>
      <vt:variant>
        <vt:i4>1900606</vt:i4>
      </vt:variant>
      <vt:variant>
        <vt:i4>155</vt:i4>
      </vt:variant>
      <vt:variant>
        <vt:i4>0</vt:i4>
      </vt:variant>
      <vt:variant>
        <vt:i4>5</vt:i4>
      </vt:variant>
      <vt:variant>
        <vt:lpwstr/>
      </vt:variant>
      <vt:variant>
        <vt:lpwstr>_Toc195185275</vt:lpwstr>
      </vt:variant>
      <vt:variant>
        <vt:i4>1900606</vt:i4>
      </vt:variant>
      <vt:variant>
        <vt:i4>149</vt:i4>
      </vt:variant>
      <vt:variant>
        <vt:i4>0</vt:i4>
      </vt:variant>
      <vt:variant>
        <vt:i4>5</vt:i4>
      </vt:variant>
      <vt:variant>
        <vt:lpwstr/>
      </vt:variant>
      <vt:variant>
        <vt:lpwstr>_Toc195185274</vt:lpwstr>
      </vt:variant>
      <vt:variant>
        <vt:i4>1900606</vt:i4>
      </vt:variant>
      <vt:variant>
        <vt:i4>143</vt:i4>
      </vt:variant>
      <vt:variant>
        <vt:i4>0</vt:i4>
      </vt:variant>
      <vt:variant>
        <vt:i4>5</vt:i4>
      </vt:variant>
      <vt:variant>
        <vt:lpwstr/>
      </vt:variant>
      <vt:variant>
        <vt:lpwstr>_Toc195185273</vt:lpwstr>
      </vt:variant>
      <vt:variant>
        <vt:i4>1900606</vt:i4>
      </vt:variant>
      <vt:variant>
        <vt:i4>137</vt:i4>
      </vt:variant>
      <vt:variant>
        <vt:i4>0</vt:i4>
      </vt:variant>
      <vt:variant>
        <vt:i4>5</vt:i4>
      </vt:variant>
      <vt:variant>
        <vt:lpwstr/>
      </vt:variant>
      <vt:variant>
        <vt:lpwstr>_Toc195185272</vt:lpwstr>
      </vt:variant>
      <vt:variant>
        <vt:i4>1900606</vt:i4>
      </vt:variant>
      <vt:variant>
        <vt:i4>131</vt:i4>
      </vt:variant>
      <vt:variant>
        <vt:i4>0</vt:i4>
      </vt:variant>
      <vt:variant>
        <vt:i4>5</vt:i4>
      </vt:variant>
      <vt:variant>
        <vt:lpwstr/>
      </vt:variant>
      <vt:variant>
        <vt:lpwstr>_Toc195185271</vt:lpwstr>
      </vt:variant>
      <vt:variant>
        <vt:i4>1900606</vt:i4>
      </vt:variant>
      <vt:variant>
        <vt:i4>125</vt:i4>
      </vt:variant>
      <vt:variant>
        <vt:i4>0</vt:i4>
      </vt:variant>
      <vt:variant>
        <vt:i4>5</vt:i4>
      </vt:variant>
      <vt:variant>
        <vt:lpwstr/>
      </vt:variant>
      <vt:variant>
        <vt:lpwstr>_Toc195185270</vt:lpwstr>
      </vt:variant>
      <vt:variant>
        <vt:i4>1835070</vt:i4>
      </vt:variant>
      <vt:variant>
        <vt:i4>119</vt:i4>
      </vt:variant>
      <vt:variant>
        <vt:i4>0</vt:i4>
      </vt:variant>
      <vt:variant>
        <vt:i4>5</vt:i4>
      </vt:variant>
      <vt:variant>
        <vt:lpwstr/>
      </vt:variant>
      <vt:variant>
        <vt:lpwstr>_Toc195185269</vt:lpwstr>
      </vt:variant>
      <vt:variant>
        <vt:i4>1835070</vt:i4>
      </vt:variant>
      <vt:variant>
        <vt:i4>113</vt:i4>
      </vt:variant>
      <vt:variant>
        <vt:i4>0</vt:i4>
      </vt:variant>
      <vt:variant>
        <vt:i4>5</vt:i4>
      </vt:variant>
      <vt:variant>
        <vt:lpwstr/>
      </vt:variant>
      <vt:variant>
        <vt:lpwstr>_Toc195185268</vt:lpwstr>
      </vt:variant>
      <vt:variant>
        <vt:i4>1835070</vt:i4>
      </vt:variant>
      <vt:variant>
        <vt:i4>107</vt:i4>
      </vt:variant>
      <vt:variant>
        <vt:i4>0</vt:i4>
      </vt:variant>
      <vt:variant>
        <vt:i4>5</vt:i4>
      </vt:variant>
      <vt:variant>
        <vt:lpwstr/>
      </vt:variant>
      <vt:variant>
        <vt:lpwstr>_Toc195185267</vt:lpwstr>
      </vt:variant>
      <vt:variant>
        <vt:i4>1835070</vt:i4>
      </vt:variant>
      <vt:variant>
        <vt:i4>101</vt:i4>
      </vt:variant>
      <vt:variant>
        <vt:i4>0</vt:i4>
      </vt:variant>
      <vt:variant>
        <vt:i4>5</vt:i4>
      </vt:variant>
      <vt:variant>
        <vt:lpwstr/>
      </vt:variant>
      <vt:variant>
        <vt:lpwstr>_Toc195185266</vt:lpwstr>
      </vt:variant>
      <vt:variant>
        <vt:i4>1835070</vt:i4>
      </vt:variant>
      <vt:variant>
        <vt:i4>95</vt:i4>
      </vt:variant>
      <vt:variant>
        <vt:i4>0</vt:i4>
      </vt:variant>
      <vt:variant>
        <vt:i4>5</vt:i4>
      </vt:variant>
      <vt:variant>
        <vt:lpwstr/>
      </vt:variant>
      <vt:variant>
        <vt:lpwstr>_Toc195185265</vt:lpwstr>
      </vt:variant>
      <vt:variant>
        <vt:i4>1835070</vt:i4>
      </vt:variant>
      <vt:variant>
        <vt:i4>89</vt:i4>
      </vt:variant>
      <vt:variant>
        <vt:i4>0</vt:i4>
      </vt:variant>
      <vt:variant>
        <vt:i4>5</vt:i4>
      </vt:variant>
      <vt:variant>
        <vt:lpwstr/>
      </vt:variant>
      <vt:variant>
        <vt:lpwstr>_Toc195185264</vt:lpwstr>
      </vt:variant>
      <vt:variant>
        <vt:i4>1835070</vt:i4>
      </vt:variant>
      <vt:variant>
        <vt:i4>83</vt:i4>
      </vt:variant>
      <vt:variant>
        <vt:i4>0</vt:i4>
      </vt:variant>
      <vt:variant>
        <vt:i4>5</vt:i4>
      </vt:variant>
      <vt:variant>
        <vt:lpwstr/>
      </vt:variant>
      <vt:variant>
        <vt:lpwstr>_Toc195185263</vt:lpwstr>
      </vt:variant>
      <vt:variant>
        <vt:i4>1835070</vt:i4>
      </vt:variant>
      <vt:variant>
        <vt:i4>77</vt:i4>
      </vt:variant>
      <vt:variant>
        <vt:i4>0</vt:i4>
      </vt:variant>
      <vt:variant>
        <vt:i4>5</vt:i4>
      </vt:variant>
      <vt:variant>
        <vt:lpwstr/>
      </vt:variant>
      <vt:variant>
        <vt:lpwstr>_Toc195185262</vt:lpwstr>
      </vt:variant>
      <vt:variant>
        <vt:i4>1835070</vt:i4>
      </vt:variant>
      <vt:variant>
        <vt:i4>71</vt:i4>
      </vt:variant>
      <vt:variant>
        <vt:i4>0</vt:i4>
      </vt:variant>
      <vt:variant>
        <vt:i4>5</vt:i4>
      </vt:variant>
      <vt:variant>
        <vt:lpwstr/>
      </vt:variant>
      <vt:variant>
        <vt:lpwstr>_Toc195185261</vt:lpwstr>
      </vt:variant>
      <vt:variant>
        <vt:i4>1835070</vt:i4>
      </vt:variant>
      <vt:variant>
        <vt:i4>65</vt:i4>
      </vt:variant>
      <vt:variant>
        <vt:i4>0</vt:i4>
      </vt:variant>
      <vt:variant>
        <vt:i4>5</vt:i4>
      </vt:variant>
      <vt:variant>
        <vt:lpwstr/>
      </vt:variant>
      <vt:variant>
        <vt:lpwstr>_Toc195185260</vt:lpwstr>
      </vt:variant>
      <vt:variant>
        <vt:i4>2031678</vt:i4>
      </vt:variant>
      <vt:variant>
        <vt:i4>59</vt:i4>
      </vt:variant>
      <vt:variant>
        <vt:i4>0</vt:i4>
      </vt:variant>
      <vt:variant>
        <vt:i4>5</vt:i4>
      </vt:variant>
      <vt:variant>
        <vt:lpwstr/>
      </vt:variant>
      <vt:variant>
        <vt:lpwstr>_Toc195185259</vt:lpwstr>
      </vt:variant>
      <vt:variant>
        <vt:i4>2031678</vt:i4>
      </vt:variant>
      <vt:variant>
        <vt:i4>53</vt:i4>
      </vt:variant>
      <vt:variant>
        <vt:i4>0</vt:i4>
      </vt:variant>
      <vt:variant>
        <vt:i4>5</vt:i4>
      </vt:variant>
      <vt:variant>
        <vt:lpwstr/>
      </vt:variant>
      <vt:variant>
        <vt:lpwstr>_Toc195185258</vt:lpwstr>
      </vt:variant>
      <vt:variant>
        <vt:i4>2031678</vt:i4>
      </vt:variant>
      <vt:variant>
        <vt:i4>47</vt:i4>
      </vt:variant>
      <vt:variant>
        <vt:i4>0</vt:i4>
      </vt:variant>
      <vt:variant>
        <vt:i4>5</vt:i4>
      </vt:variant>
      <vt:variant>
        <vt:lpwstr/>
      </vt:variant>
      <vt:variant>
        <vt:lpwstr>_Toc195185257</vt:lpwstr>
      </vt:variant>
      <vt:variant>
        <vt:i4>2031678</vt:i4>
      </vt:variant>
      <vt:variant>
        <vt:i4>41</vt:i4>
      </vt:variant>
      <vt:variant>
        <vt:i4>0</vt:i4>
      </vt:variant>
      <vt:variant>
        <vt:i4>5</vt:i4>
      </vt:variant>
      <vt:variant>
        <vt:lpwstr/>
      </vt:variant>
      <vt:variant>
        <vt:lpwstr>_Toc195185256</vt:lpwstr>
      </vt:variant>
      <vt:variant>
        <vt:i4>2031678</vt:i4>
      </vt:variant>
      <vt:variant>
        <vt:i4>35</vt:i4>
      </vt:variant>
      <vt:variant>
        <vt:i4>0</vt:i4>
      </vt:variant>
      <vt:variant>
        <vt:i4>5</vt:i4>
      </vt:variant>
      <vt:variant>
        <vt:lpwstr/>
      </vt:variant>
      <vt:variant>
        <vt:lpwstr>_Toc195185255</vt:lpwstr>
      </vt:variant>
      <vt:variant>
        <vt:i4>2031678</vt:i4>
      </vt:variant>
      <vt:variant>
        <vt:i4>29</vt:i4>
      </vt:variant>
      <vt:variant>
        <vt:i4>0</vt:i4>
      </vt:variant>
      <vt:variant>
        <vt:i4>5</vt:i4>
      </vt:variant>
      <vt:variant>
        <vt:lpwstr/>
      </vt:variant>
      <vt:variant>
        <vt:lpwstr>_Toc195185254</vt:lpwstr>
      </vt:variant>
      <vt:variant>
        <vt:i4>2031678</vt:i4>
      </vt:variant>
      <vt:variant>
        <vt:i4>23</vt:i4>
      </vt:variant>
      <vt:variant>
        <vt:i4>0</vt:i4>
      </vt:variant>
      <vt:variant>
        <vt:i4>5</vt:i4>
      </vt:variant>
      <vt:variant>
        <vt:lpwstr/>
      </vt:variant>
      <vt:variant>
        <vt:lpwstr>_Toc195185253</vt:lpwstr>
      </vt:variant>
      <vt:variant>
        <vt:i4>2031678</vt:i4>
      </vt:variant>
      <vt:variant>
        <vt:i4>17</vt:i4>
      </vt:variant>
      <vt:variant>
        <vt:i4>0</vt:i4>
      </vt:variant>
      <vt:variant>
        <vt:i4>5</vt:i4>
      </vt:variant>
      <vt:variant>
        <vt:lpwstr/>
      </vt:variant>
      <vt:variant>
        <vt:lpwstr>_Toc195185252</vt:lpwstr>
      </vt:variant>
      <vt:variant>
        <vt:i4>2031678</vt:i4>
      </vt:variant>
      <vt:variant>
        <vt:i4>11</vt:i4>
      </vt:variant>
      <vt:variant>
        <vt:i4>0</vt:i4>
      </vt:variant>
      <vt:variant>
        <vt:i4>5</vt:i4>
      </vt:variant>
      <vt:variant>
        <vt:lpwstr/>
      </vt:variant>
      <vt:variant>
        <vt:lpwstr>_Toc195185251</vt:lpwstr>
      </vt:variant>
      <vt:variant>
        <vt:i4>2031678</vt:i4>
      </vt:variant>
      <vt:variant>
        <vt:i4>5</vt:i4>
      </vt:variant>
      <vt:variant>
        <vt:i4>0</vt:i4>
      </vt:variant>
      <vt:variant>
        <vt:i4>5</vt:i4>
      </vt:variant>
      <vt:variant>
        <vt:lpwstr/>
      </vt:variant>
      <vt:variant>
        <vt:lpwstr>_Toc195185250</vt:lpwstr>
      </vt:variant>
      <vt:variant>
        <vt:i4>458770</vt:i4>
      </vt:variant>
      <vt:variant>
        <vt:i4>0</vt:i4>
      </vt:variant>
      <vt:variant>
        <vt:i4>0</vt:i4>
      </vt:variant>
      <vt:variant>
        <vt:i4>5</vt:i4>
      </vt:variant>
      <vt:variant>
        <vt:lpwstr>https://www.anglicare-tas.org.au/research/housing-connect-front-door-service-snapshot-december-quarter-2024/</vt:lpwstr>
      </vt:variant>
      <vt:variant>
        <vt:lpwstr/>
      </vt:variant>
      <vt:variant>
        <vt:i4>7929899</vt:i4>
      </vt:variant>
      <vt:variant>
        <vt:i4>48</vt:i4>
      </vt:variant>
      <vt:variant>
        <vt:i4>0</vt:i4>
      </vt:variant>
      <vt:variant>
        <vt:i4>5</vt:i4>
      </vt:variant>
      <vt:variant>
        <vt:lpwstr>https://www.sauleslake.info/independent-review-of-tasmanias-state-finances/</vt:lpwstr>
      </vt:variant>
      <vt:variant>
        <vt:lpwstr/>
      </vt:variant>
      <vt:variant>
        <vt:i4>6357038</vt:i4>
      </vt:variant>
      <vt:variant>
        <vt:i4>45</vt:i4>
      </vt:variant>
      <vt:variant>
        <vt:i4>0</vt:i4>
      </vt:variant>
      <vt:variant>
        <vt:i4>5</vt:i4>
      </vt:variant>
      <vt:variant>
        <vt:lpwstr>https://www.anglicare.asn.au/publications/investing-in-people/</vt:lpwstr>
      </vt:variant>
      <vt:variant>
        <vt:lpwstr/>
      </vt:variant>
      <vt:variant>
        <vt:i4>3473471</vt:i4>
      </vt:variant>
      <vt:variant>
        <vt:i4>42</vt:i4>
      </vt:variant>
      <vt:variant>
        <vt:i4>0</vt:i4>
      </vt:variant>
      <vt:variant>
        <vt:i4>5</vt:i4>
      </vt:variant>
      <vt:variant>
        <vt:lpwstr>https://theconversation.com/the-compelling-case-for-a-future-fund-for-social-housing-172508</vt:lpwstr>
      </vt:variant>
      <vt:variant>
        <vt:lpwstr/>
      </vt:variant>
      <vt:variant>
        <vt:i4>4587608</vt:i4>
      </vt:variant>
      <vt:variant>
        <vt:i4>39</vt:i4>
      </vt:variant>
      <vt:variant>
        <vt:i4>0</vt:i4>
      </vt:variant>
      <vt:variant>
        <vt:i4>5</vt:i4>
      </vt:variant>
      <vt:variant>
        <vt:lpwstr>https://www.anglicare.asn.au/publications/homes-for-all-a-roadmap-to-affordable-housing/</vt:lpwstr>
      </vt:variant>
      <vt:variant>
        <vt:lpwstr/>
      </vt:variant>
      <vt:variant>
        <vt:i4>5439515</vt:i4>
      </vt:variant>
      <vt:variant>
        <vt:i4>36</vt:i4>
      </vt:variant>
      <vt:variant>
        <vt:i4>0</vt:i4>
      </vt:variant>
      <vt:variant>
        <vt:i4>5</vt:i4>
      </vt:variant>
      <vt:variant>
        <vt:lpwstr>https://www.aihw.gov.au/reports/australias-welfare/homelessness-and-homelessness-services</vt:lpwstr>
      </vt:variant>
      <vt:variant>
        <vt:lpwstr/>
      </vt:variant>
      <vt:variant>
        <vt:i4>2949176</vt:i4>
      </vt:variant>
      <vt:variant>
        <vt:i4>33</vt:i4>
      </vt:variant>
      <vt:variant>
        <vt:i4>0</vt:i4>
      </vt:variant>
      <vt:variant>
        <vt:i4>5</vt:i4>
      </vt:variant>
      <vt:variant>
        <vt:lpwstr>https://tutas.org.au/wp-content/uploads/2019/11/RDA-Rent-Stats-Mar-2024.pdf</vt:lpwstr>
      </vt:variant>
      <vt:variant>
        <vt:lpwstr/>
      </vt:variant>
      <vt:variant>
        <vt:i4>2949176</vt:i4>
      </vt:variant>
      <vt:variant>
        <vt:i4>30</vt:i4>
      </vt:variant>
      <vt:variant>
        <vt:i4>0</vt:i4>
      </vt:variant>
      <vt:variant>
        <vt:i4>5</vt:i4>
      </vt:variant>
      <vt:variant>
        <vt:lpwstr>https://tutas.org.au/wp-content/uploads/2019/11/RDA-Rent-Stats-Mar-2024.pdf</vt:lpwstr>
      </vt:variant>
      <vt:variant>
        <vt:lpwstr/>
      </vt:variant>
      <vt:variant>
        <vt:i4>5570650</vt:i4>
      </vt:variant>
      <vt:variant>
        <vt:i4>27</vt:i4>
      </vt:variant>
      <vt:variant>
        <vt:i4>0</vt:i4>
      </vt:variant>
      <vt:variant>
        <vt:i4>5</vt:i4>
      </vt:variant>
      <vt:variant>
        <vt:lpwstr>https://www.aracy.org.au/resources/the-first-thousand-days-an-evidence-paper/</vt:lpwstr>
      </vt:variant>
      <vt:variant>
        <vt:lpwstr/>
      </vt:variant>
      <vt:variant>
        <vt:i4>1900549</vt:i4>
      </vt:variant>
      <vt:variant>
        <vt:i4>24</vt:i4>
      </vt:variant>
      <vt:variant>
        <vt:i4>0</vt:i4>
      </vt:variant>
      <vt:variant>
        <vt:i4>5</vt:i4>
      </vt:variant>
      <vt:variant>
        <vt:lpwstr>https://www.aihw.gov.au/reports/children-youth/australias-children/contents/housing/overcrowding</vt:lpwstr>
      </vt:variant>
      <vt:variant>
        <vt:lpwstr/>
      </vt:variant>
      <vt:variant>
        <vt:i4>1900549</vt:i4>
      </vt:variant>
      <vt:variant>
        <vt:i4>21</vt:i4>
      </vt:variant>
      <vt:variant>
        <vt:i4>0</vt:i4>
      </vt:variant>
      <vt:variant>
        <vt:i4>5</vt:i4>
      </vt:variant>
      <vt:variant>
        <vt:lpwstr>https://www.aihw.gov.au/reports/children-youth/australias-children/contents/housing/overcrowding</vt:lpwstr>
      </vt:variant>
      <vt:variant>
        <vt:lpwstr/>
      </vt:variant>
      <vt:variant>
        <vt:i4>7798834</vt:i4>
      </vt:variant>
      <vt:variant>
        <vt:i4>18</vt:i4>
      </vt:variant>
      <vt:variant>
        <vt:i4>0</vt:i4>
      </vt:variant>
      <vt:variant>
        <vt:i4>5</vt:i4>
      </vt:variant>
      <vt:variant>
        <vt:lpwstr>http://www.ahuri.edu.au/research/final-reports/311</vt:lpwstr>
      </vt:variant>
      <vt:variant>
        <vt:lpwstr/>
      </vt:variant>
      <vt:variant>
        <vt:i4>5570650</vt:i4>
      </vt:variant>
      <vt:variant>
        <vt:i4>15</vt:i4>
      </vt:variant>
      <vt:variant>
        <vt:i4>0</vt:i4>
      </vt:variant>
      <vt:variant>
        <vt:i4>5</vt:i4>
      </vt:variant>
      <vt:variant>
        <vt:lpwstr>https://www.aracy.org.au/resources/the-first-thousand-days-an-evidence-paper/</vt:lpwstr>
      </vt:variant>
      <vt:variant>
        <vt:lpwstr/>
      </vt:variant>
      <vt:variant>
        <vt:i4>5570650</vt:i4>
      </vt:variant>
      <vt:variant>
        <vt:i4>12</vt:i4>
      </vt:variant>
      <vt:variant>
        <vt:i4>0</vt:i4>
      </vt:variant>
      <vt:variant>
        <vt:i4>5</vt:i4>
      </vt:variant>
      <vt:variant>
        <vt:lpwstr>https://www.aracy.org.au/resources/the-first-thousand-days-an-evidence-paper/</vt:lpwstr>
      </vt:variant>
      <vt:variant>
        <vt:lpwstr/>
      </vt:variant>
      <vt:variant>
        <vt:i4>458831</vt:i4>
      </vt:variant>
      <vt:variant>
        <vt:i4>9</vt:i4>
      </vt:variant>
      <vt:variant>
        <vt:i4>0</vt:i4>
      </vt:variant>
      <vt:variant>
        <vt:i4>5</vt:i4>
      </vt:variant>
      <vt:variant>
        <vt:lpwstr>https://www.ahuri.edu.au/analysis/brief/housing-homelessness-and-domestic-and-family-violence</vt:lpwstr>
      </vt:variant>
      <vt:variant>
        <vt:lpwstr/>
      </vt:variant>
      <vt:variant>
        <vt:i4>2228335</vt:i4>
      </vt:variant>
      <vt:variant>
        <vt:i4>6</vt:i4>
      </vt:variant>
      <vt:variant>
        <vt:i4>0</vt:i4>
      </vt:variant>
      <vt:variant>
        <vt:i4>5</vt:i4>
      </vt:variant>
      <vt:variant>
        <vt:lpwstr>https://www.aihw.gov.au/family-domestic-and-sexual-violence/responses-and-outcomes/housing</vt:lpwstr>
      </vt:variant>
      <vt:variant>
        <vt:lpwstr/>
      </vt:variant>
      <vt:variant>
        <vt:i4>6684797</vt:i4>
      </vt:variant>
      <vt:variant>
        <vt:i4>3</vt:i4>
      </vt:variant>
      <vt:variant>
        <vt:i4>0</vt:i4>
      </vt:variant>
      <vt:variant>
        <vt:i4>5</vt:i4>
      </vt:variant>
      <vt:variant>
        <vt:lpwstr>https://www.ahuri.edu.au/research/finalreports/416</vt:lpwstr>
      </vt:variant>
      <vt:variant>
        <vt:lpwstr/>
      </vt:variant>
      <vt:variant>
        <vt:i4>4718662</vt:i4>
      </vt:variant>
      <vt:variant>
        <vt:i4>0</vt:i4>
      </vt:variant>
      <vt:variant>
        <vt:i4>0</vt:i4>
      </vt:variant>
      <vt:variant>
        <vt:i4>5</vt:i4>
      </vt:variant>
      <vt:variant>
        <vt:lpwstr>https://www.realestate.com.au/insights/more-renters-homeowners-turn-to-share-accommodation-to-make-ends-meet/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Ginny Toombs</dc:creator>
  <cp:keywords/>
  <dc:description/>
  <cp:lastModifiedBy>Lorri Clarke</cp:lastModifiedBy>
  <cp:revision>2</cp:revision>
  <cp:lastPrinted>2025-04-11T06:02:00Z</cp:lastPrinted>
  <dcterms:created xsi:type="dcterms:W3CDTF">2025-04-29T01:38:00Z</dcterms:created>
  <dcterms:modified xsi:type="dcterms:W3CDTF">2025-04-29T01:38:00Z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0x0101007F147A9C52B66F43ADA71E02B06EFE33</vt:lpwstr>
  </property>
</Properties>
</file>