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36FA" w14:textId="77777777" w:rsidR="005C584D" w:rsidRPr="0000085C" w:rsidRDefault="005C584D">
      <w:pPr>
        <w:pStyle w:val="Title"/>
        <w:rPr>
          <w:color w:val="FFFFFF"/>
        </w:rPr>
      </w:pPr>
      <w:bookmarkStart w:id="0" w:name="_Hlk197589410"/>
      <w:bookmarkEnd w:id="0"/>
    </w:p>
    <w:p w14:paraId="6B3D2E2D" w14:textId="2B59239C" w:rsidR="00FC40E5" w:rsidRPr="0000085C" w:rsidRDefault="005C584D" w:rsidP="00FC40E5">
      <w:pPr>
        <w:pStyle w:val="Title"/>
      </w:pPr>
      <w:r w:rsidRPr="0000085C">
        <w:t>Housing Connect Front Door Service Snap</w:t>
      </w:r>
      <w:r w:rsidR="00C16777">
        <w:t>shot</w:t>
      </w:r>
      <w:r w:rsidR="00FC40E5" w:rsidRPr="00FC40E5">
        <w:t xml:space="preserve"> </w:t>
      </w:r>
    </w:p>
    <w:p w14:paraId="2AA7C336" w14:textId="77777777" w:rsidR="005F4B7A" w:rsidRDefault="005F4B7A" w:rsidP="005F4B7A">
      <w:pPr>
        <w:pStyle w:val="Title"/>
      </w:pPr>
      <w:r w:rsidRPr="0000085C">
        <w:t>March 202</w:t>
      </w:r>
      <w:r>
        <w:t>5</w:t>
      </w:r>
    </w:p>
    <w:p w14:paraId="5BD5113C" w14:textId="25216604" w:rsidR="005C584D" w:rsidRDefault="005C584D">
      <w:pPr>
        <w:pStyle w:val="Title"/>
      </w:pPr>
    </w:p>
    <w:p w14:paraId="4D498F6C" w14:textId="3B4A6C6A" w:rsidR="00505246" w:rsidRPr="0000085C" w:rsidRDefault="00C16777">
      <w:pPr>
        <w:pStyle w:val="Title"/>
      </w:pPr>
      <w:r>
        <w:t>Families</w:t>
      </w:r>
      <w:r w:rsidR="00DA3F27">
        <w:t xml:space="preserve"> escaping domestic and family violence need </w:t>
      </w:r>
      <w:r w:rsidR="00D402B2">
        <w:t>homes</w:t>
      </w:r>
    </w:p>
    <w:p w14:paraId="5173CECE" w14:textId="77777777" w:rsidR="00FF41CA" w:rsidRDefault="00FF41CA">
      <w:pPr>
        <w:pStyle w:val="Title"/>
      </w:pPr>
    </w:p>
    <w:p w14:paraId="1D0AACA2" w14:textId="77777777" w:rsidR="00FF41CA" w:rsidRDefault="00FF41CA">
      <w:pPr>
        <w:pStyle w:val="Title"/>
      </w:pPr>
    </w:p>
    <w:p w14:paraId="18032442" w14:textId="62D1933E" w:rsidR="005C584D" w:rsidRPr="0000085C" w:rsidRDefault="005C584D">
      <w:pPr>
        <w:pStyle w:val="Title"/>
      </w:pPr>
      <w:r w:rsidRPr="0000085C">
        <w:br/>
      </w:r>
    </w:p>
    <w:p w14:paraId="574F15B7" w14:textId="77777777" w:rsidR="005C584D" w:rsidRPr="0000085C" w:rsidRDefault="005C584D">
      <w:pPr>
        <w:pStyle w:val="Title"/>
        <w:rPr>
          <w:rFonts w:ascii="Avenir Next" w:hAnsi="Avenir Next"/>
          <w:b w:val="0"/>
          <w:bCs w:val="0"/>
          <w:spacing w:val="-2"/>
        </w:rPr>
      </w:pPr>
    </w:p>
    <w:p w14:paraId="1000E05B" w14:textId="77777777" w:rsidR="005C584D" w:rsidRDefault="005C584D">
      <w:pPr>
        <w:pStyle w:val="Title"/>
        <w:rPr>
          <w:rFonts w:ascii="Avenir Next" w:hAnsi="Avenir Next"/>
          <w:b w:val="0"/>
          <w:bCs w:val="0"/>
          <w:spacing w:val="-2"/>
        </w:rPr>
      </w:pPr>
    </w:p>
    <w:p w14:paraId="7C9F9A28" w14:textId="77777777" w:rsidR="00FC40E5" w:rsidRDefault="00FC40E5">
      <w:pPr>
        <w:pStyle w:val="Title"/>
        <w:rPr>
          <w:rFonts w:ascii="Avenir Next" w:hAnsi="Avenir Next"/>
          <w:b w:val="0"/>
          <w:bCs w:val="0"/>
          <w:spacing w:val="-2"/>
        </w:rPr>
      </w:pPr>
    </w:p>
    <w:p w14:paraId="55581E64" w14:textId="77777777" w:rsidR="00FC40E5" w:rsidRDefault="00FC40E5">
      <w:pPr>
        <w:pStyle w:val="Title"/>
        <w:rPr>
          <w:rFonts w:ascii="Avenir Next" w:hAnsi="Avenir Next"/>
          <w:b w:val="0"/>
          <w:bCs w:val="0"/>
          <w:spacing w:val="-2"/>
        </w:rPr>
      </w:pPr>
    </w:p>
    <w:p w14:paraId="0BEA0586" w14:textId="77777777" w:rsidR="00FC40E5" w:rsidRDefault="00FC40E5">
      <w:pPr>
        <w:pStyle w:val="Title"/>
        <w:rPr>
          <w:rFonts w:ascii="Avenir Next" w:hAnsi="Avenir Next"/>
          <w:b w:val="0"/>
          <w:bCs w:val="0"/>
          <w:spacing w:val="-2"/>
        </w:rPr>
      </w:pPr>
    </w:p>
    <w:p w14:paraId="30C6B1EF" w14:textId="77777777" w:rsidR="00FC40E5" w:rsidRPr="0000085C" w:rsidRDefault="00FC40E5">
      <w:pPr>
        <w:pStyle w:val="Title"/>
        <w:rPr>
          <w:rFonts w:ascii="Avenir Next" w:hAnsi="Avenir Next"/>
          <w:b w:val="0"/>
          <w:bCs w:val="0"/>
          <w:spacing w:val="-2"/>
        </w:rPr>
      </w:pPr>
    </w:p>
    <w:p w14:paraId="31EB3E6D" w14:textId="77777777" w:rsidR="005C584D" w:rsidRPr="0000085C" w:rsidRDefault="005C584D" w:rsidP="00E509D2">
      <w:pPr>
        <w:pStyle w:val="BodyText"/>
      </w:pPr>
      <w:bookmarkStart w:id="1" w:name="_Toc115936907"/>
      <w:bookmarkStart w:id="2" w:name="_Toc115937026"/>
      <w:r w:rsidRPr="0000085C">
        <w:rPr>
          <w:b/>
          <w:bCs/>
          <w:szCs w:val="22"/>
        </w:rPr>
        <w:br w:type="page"/>
      </w:r>
    </w:p>
    <w:sdt>
      <w:sdtPr>
        <w:rPr>
          <w:rFonts w:ascii="Avenir Next" w:eastAsia="AvenirNext LT Pro Bold" w:hAnsi="Avenir Next" w:cs="AvenirNext LT Pro Bold"/>
          <w:b w:val="0"/>
          <w:bCs w:val="0"/>
          <w:color w:val="575F61"/>
          <w:sz w:val="24"/>
          <w:szCs w:val="22"/>
          <w:lang w:val="en-GB"/>
        </w:rPr>
        <w:id w:val="-299299066"/>
        <w:docPartObj>
          <w:docPartGallery w:val="Table of Contents"/>
          <w:docPartUnique/>
        </w:docPartObj>
      </w:sdtPr>
      <w:sdtEndPr>
        <w:rPr>
          <w:szCs w:val="24"/>
        </w:rPr>
      </w:sdtEndPr>
      <w:sdtContent>
        <w:p w14:paraId="28C6AD59" w14:textId="77777777" w:rsidR="005C584D" w:rsidRPr="00CF6833" w:rsidRDefault="005C584D" w:rsidP="00E509D2">
          <w:pPr>
            <w:pStyle w:val="TOCHeading"/>
            <w:rPr>
              <w:lang w:val="en-GB"/>
            </w:rPr>
          </w:pPr>
          <w:r w:rsidRPr="00CF6833">
            <w:rPr>
              <w:lang w:val="en-GB"/>
            </w:rPr>
            <w:t>Table of contents</w:t>
          </w:r>
          <w:bookmarkEnd w:id="1"/>
          <w:bookmarkEnd w:id="2"/>
        </w:p>
        <w:p w14:paraId="6060FC3C" w14:textId="43B45313" w:rsidR="002364BA" w:rsidRDefault="00154F45">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r>
            <w:fldChar w:fldCharType="begin"/>
          </w:r>
          <w:r>
            <w:instrText xml:space="preserve"> TOC \o "1-2" \h \z \u </w:instrText>
          </w:r>
          <w:r>
            <w:fldChar w:fldCharType="separate"/>
          </w:r>
          <w:hyperlink w:anchor="_Toc198823088" w:history="1">
            <w:r w:rsidR="002364BA" w:rsidRPr="009460D2">
              <w:rPr>
                <w:rStyle w:val="Hyperlink"/>
                <w:noProof/>
              </w:rPr>
              <w:t>Housing Connect Front Door</w:t>
            </w:r>
            <w:r w:rsidR="002364BA">
              <w:rPr>
                <w:noProof/>
                <w:webHidden/>
              </w:rPr>
              <w:tab/>
            </w:r>
            <w:r w:rsidR="002364BA">
              <w:rPr>
                <w:noProof/>
                <w:webHidden/>
              </w:rPr>
              <w:fldChar w:fldCharType="begin"/>
            </w:r>
            <w:r w:rsidR="002364BA">
              <w:rPr>
                <w:noProof/>
                <w:webHidden/>
              </w:rPr>
              <w:instrText xml:space="preserve"> PAGEREF _Toc198823088 \h </w:instrText>
            </w:r>
            <w:r w:rsidR="002364BA">
              <w:rPr>
                <w:noProof/>
                <w:webHidden/>
              </w:rPr>
            </w:r>
            <w:r w:rsidR="002364BA">
              <w:rPr>
                <w:noProof/>
                <w:webHidden/>
              </w:rPr>
              <w:fldChar w:fldCharType="separate"/>
            </w:r>
            <w:r w:rsidR="002364BA">
              <w:rPr>
                <w:noProof/>
                <w:webHidden/>
              </w:rPr>
              <w:t>5</w:t>
            </w:r>
            <w:r w:rsidR="002364BA">
              <w:rPr>
                <w:noProof/>
                <w:webHidden/>
              </w:rPr>
              <w:fldChar w:fldCharType="end"/>
            </w:r>
          </w:hyperlink>
        </w:p>
        <w:p w14:paraId="03B96164" w14:textId="34866187"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089" w:history="1">
            <w:r w:rsidRPr="009460D2">
              <w:rPr>
                <w:rStyle w:val="Hyperlink"/>
                <w:noProof/>
              </w:rPr>
              <w:t>Executive summary</w:t>
            </w:r>
            <w:r>
              <w:rPr>
                <w:noProof/>
                <w:webHidden/>
              </w:rPr>
              <w:tab/>
            </w:r>
            <w:r>
              <w:rPr>
                <w:noProof/>
                <w:webHidden/>
              </w:rPr>
              <w:fldChar w:fldCharType="begin"/>
            </w:r>
            <w:r>
              <w:rPr>
                <w:noProof/>
                <w:webHidden/>
              </w:rPr>
              <w:instrText xml:space="preserve"> PAGEREF _Toc198823089 \h </w:instrText>
            </w:r>
            <w:r>
              <w:rPr>
                <w:noProof/>
                <w:webHidden/>
              </w:rPr>
            </w:r>
            <w:r>
              <w:rPr>
                <w:noProof/>
                <w:webHidden/>
              </w:rPr>
              <w:fldChar w:fldCharType="separate"/>
            </w:r>
            <w:r>
              <w:rPr>
                <w:noProof/>
                <w:webHidden/>
              </w:rPr>
              <w:t>6</w:t>
            </w:r>
            <w:r>
              <w:rPr>
                <w:noProof/>
                <w:webHidden/>
              </w:rPr>
              <w:fldChar w:fldCharType="end"/>
            </w:r>
          </w:hyperlink>
        </w:p>
        <w:p w14:paraId="79D9F9C3" w14:textId="663ADFEE"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0" w:history="1">
            <w:r w:rsidRPr="009460D2">
              <w:rPr>
                <w:rStyle w:val="Hyperlink"/>
              </w:rPr>
              <w:t>Recommendations</w:t>
            </w:r>
            <w:r>
              <w:rPr>
                <w:webHidden/>
              </w:rPr>
              <w:tab/>
            </w:r>
            <w:r>
              <w:rPr>
                <w:webHidden/>
              </w:rPr>
              <w:fldChar w:fldCharType="begin"/>
            </w:r>
            <w:r>
              <w:rPr>
                <w:webHidden/>
              </w:rPr>
              <w:instrText xml:space="preserve"> PAGEREF _Toc198823090 \h </w:instrText>
            </w:r>
            <w:r>
              <w:rPr>
                <w:webHidden/>
              </w:rPr>
            </w:r>
            <w:r>
              <w:rPr>
                <w:webHidden/>
              </w:rPr>
              <w:fldChar w:fldCharType="separate"/>
            </w:r>
            <w:r>
              <w:rPr>
                <w:webHidden/>
              </w:rPr>
              <w:t>7</w:t>
            </w:r>
            <w:r>
              <w:rPr>
                <w:webHidden/>
              </w:rPr>
              <w:fldChar w:fldCharType="end"/>
            </w:r>
          </w:hyperlink>
        </w:p>
        <w:p w14:paraId="3A4FB623" w14:textId="5F048D80"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091" w:history="1">
            <w:r w:rsidRPr="009460D2">
              <w:rPr>
                <w:rStyle w:val="Hyperlink"/>
                <w:noProof/>
              </w:rPr>
              <w:t>Front Door service in Housing Connect 2.0</w:t>
            </w:r>
            <w:r>
              <w:rPr>
                <w:noProof/>
                <w:webHidden/>
              </w:rPr>
              <w:tab/>
            </w:r>
            <w:r>
              <w:rPr>
                <w:noProof/>
                <w:webHidden/>
              </w:rPr>
              <w:fldChar w:fldCharType="begin"/>
            </w:r>
            <w:r>
              <w:rPr>
                <w:noProof/>
                <w:webHidden/>
              </w:rPr>
              <w:instrText xml:space="preserve"> PAGEREF _Toc198823091 \h </w:instrText>
            </w:r>
            <w:r>
              <w:rPr>
                <w:noProof/>
                <w:webHidden/>
              </w:rPr>
            </w:r>
            <w:r>
              <w:rPr>
                <w:noProof/>
                <w:webHidden/>
              </w:rPr>
              <w:fldChar w:fldCharType="separate"/>
            </w:r>
            <w:r>
              <w:rPr>
                <w:noProof/>
                <w:webHidden/>
              </w:rPr>
              <w:t>8</w:t>
            </w:r>
            <w:r>
              <w:rPr>
                <w:noProof/>
                <w:webHidden/>
              </w:rPr>
              <w:fldChar w:fldCharType="end"/>
            </w:r>
          </w:hyperlink>
        </w:p>
        <w:p w14:paraId="1F0B1FC7" w14:textId="3FEFEC5E"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092" w:history="1">
            <w:r w:rsidRPr="009460D2">
              <w:rPr>
                <w:rStyle w:val="Hyperlink"/>
                <w:noProof/>
              </w:rPr>
              <w:t>Housing system indicators January to March 2025</w:t>
            </w:r>
            <w:r>
              <w:rPr>
                <w:noProof/>
                <w:webHidden/>
              </w:rPr>
              <w:tab/>
            </w:r>
            <w:r>
              <w:rPr>
                <w:noProof/>
                <w:webHidden/>
              </w:rPr>
              <w:fldChar w:fldCharType="begin"/>
            </w:r>
            <w:r>
              <w:rPr>
                <w:noProof/>
                <w:webHidden/>
              </w:rPr>
              <w:instrText xml:space="preserve"> PAGEREF _Toc198823092 \h </w:instrText>
            </w:r>
            <w:r>
              <w:rPr>
                <w:noProof/>
                <w:webHidden/>
              </w:rPr>
            </w:r>
            <w:r>
              <w:rPr>
                <w:noProof/>
                <w:webHidden/>
              </w:rPr>
              <w:fldChar w:fldCharType="separate"/>
            </w:r>
            <w:r>
              <w:rPr>
                <w:noProof/>
                <w:webHidden/>
              </w:rPr>
              <w:t>9</w:t>
            </w:r>
            <w:r>
              <w:rPr>
                <w:noProof/>
                <w:webHidden/>
              </w:rPr>
              <w:fldChar w:fldCharType="end"/>
            </w:r>
          </w:hyperlink>
        </w:p>
        <w:p w14:paraId="08CEDE94" w14:textId="63161E7B"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3" w:history="1">
            <w:r w:rsidRPr="009460D2">
              <w:rPr>
                <w:rStyle w:val="Hyperlink"/>
              </w:rPr>
              <w:t>Residential vacancy rate</w:t>
            </w:r>
            <w:r>
              <w:rPr>
                <w:webHidden/>
              </w:rPr>
              <w:tab/>
            </w:r>
            <w:r>
              <w:rPr>
                <w:webHidden/>
              </w:rPr>
              <w:fldChar w:fldCharType="begin"/>
            </w:r>
            <w:r>
              <w:rPr>
                <w:webHidden/>
              </w:rPr>
              <w:instrText xml:space="preserve"> PAGEREF _Toc198823093 \h </w:instrText>
            </w:r>
            <w:r>
              <w:rPr>
                <w:webHidden/>
              </w:rPr>
            </w:r>
            <w:r>
              <w:rPr>
                <w:webHidden/>
              </w:rPr>
              <w:fldChar w:fldCharType="separate"/>
            </w:r>
            <w:r>
              <w:rPr>
                <w:webHidden/>
              </w:rPr>
              <w:t>9</w:t>
            </w:r>
            <w:r>
              <w:rPr>
                <w:webHidden/>
              </w:rPr>
              <w:fldChar w:fldCharType="end"/>
            </w:r>
          </w:hyperlink>
        </w:p>
        <w:p w14:paraId="033D799C" w14:textId="2AD48EC7"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4" w:history="1">
            <w:r w:rsidRPr="009460D2">
              <w:rPr>
                <w:rStyle w:val="Hyperlink"/>
              </w:rPr>
              <w:t>Median rent relative to income</w:t>
            </w:r>
            <w:r>
              <w:rPr>
                <w:webHidden/>
              </w:rPr>
              <w:tab/>
            </w:r>
            <w:r>
              <w:rPr>
                <w:webHidden/>
              </w:rPr>
              <w:fldChar w:fldCharType="begin"/>
            </w:r>
            <w:r>
              <w:rPr>
                <w:webHidden/>
              </w:rPr>
              <w:instrText xml:space="preserve"> PAGEREF _Toc198823094 \h </w:instrText>
            </w:r>
            <w:r>
              <w:rPr>
                <w:webHidden/>
              </w:rPr>
            </w:r>
            <w:r>
              <w:rPr>
                <w:webHidden/>
              </w:rPr>
              <w:fldChar w:fldCharType="separate"/>
            </w:r>
            <w:r>
              <w:rPr>
                <w:webHidden/>
              </w:rPr>
              <w:t>10</w:t>
            </w:r>
            <w:r>
              <w:rPr>
                <w:webHidden/>
              </w:rPr>
              <w:fldChar w:fldCharType="end"/>
            </w:r>
          </w:hyperlink>
        </w:p>
        <w:p w14:paraId="686EFEBB" w14:textId="0B594DDE"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5" w:history="1">
            <w:r w:rsidRPr="009460D2">
              <w:rPr>
                <w:rStyle w:val="Hyperlink"/>
              </w:rPr>
              <w:t>Rental affordability for people on low incomes</w:t>
            </w:r>
            <w:r>
              <w:rPr>
                <w:webHidden/>
              </w:rPr>
              <w:tab/>
            </w:r>
            <w:r>
              <w:rPr>
                <w:webHidden/>
              </w:rPr>
              <w:fldChar w:fldCharType="begin"/>
            </w:r>
            <w:r>
              <w:rPr>
                <w:webHidden/>
              </w:rPr>
              <w:instrText xml:space="preserve"> PAGEREF _Toc198823095 \h </w:instrText>
            </w:r>
            <w:r>
              <w:rPr>
                <w:webHidden/>
              </w:rPr>
            </w:r>
            <w:r>
              <w:rPr>
                <w:webHidden/>
              </w:rPr>
              <w:fldChar w:fldCharType="separate"/>
            </w:r>
            <w:r>
              <w:rPr>
                <w:webHidden/>
              </w:rPr>
              <w:t>11</w:t>
            </w:r>
            <w:r>
              <w:rPr>
                <w:webHidden/>
              </w:rPr>
              <w:fldChar w:fldCharType="end"/>
            </w:r>
          </w:hyperlink>
        </w:p>
        <w:p w14:paraId="052F3A76" w14:textId="0BC3ED99"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6" w:history="1">
            <w:r w:rsidRPr="009460D2">
              <w:rPr>
                <w:rStyle w:val="Hyperlink"/>
              </w:rPr>
              <w:t>The social housing register</w:t>
            </w:r>
            <w:r>
              <w:rPr>
                <w:webHidden/>
              </w:rPr>
              <w:tab/>
            </w:r>
            <w:r>
              <w:rPr>
                <w:webHidden/>
              </w:rPr>
              <w:fldChar w:fldCharType="begin"/>
            </w:r>
            <w:r>
              <w:rPr>
                <w:webHidden/>
              </w:rPr>
              <w:instrText xml:space="preserve"> PAGEREF _Toc198823096 \h </w:instrText>
            </w:r>
            <w:r>
              <w:rPr>
                <w:webHidden/>
              </w:rPr>
            </w:r>
            <w:r>
              <w:rPr>
                <w:webHidden/>
              </w:rPr>
              <w:fldChar w:fldCharType="separate"/>
            </w:r>
            <w:r>
              <w:rPr>
                <w:webHidden/>
              </w:rPr>
              <w:t>12</w:t>
            </w:r>
            <w:r>
              <w:rPr>
                <w:webHidden/>
              </w:rPr>
              <w:fldChar w:fldCharType="end"/>
            </w:r>
          </w:hyperlink>
        </w:p>
        <w:p w14:paraId="7FE261E8" w14:textId="6F687115"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7" w:history="1">
            <w:r w:rsidRPr="009460D2">
              <w:rPr>
                <w:rStyle w:val="Hyperlink"/>
              </w:rPr>
              <w:t>Wait time for social housing</w:t>
            </w:r>
            <w:r>
              <w:rPr>
                <w:webHidden/>
              </w:rPr>
              <w:tab/>
            </w:r>
            <w:r>
              <w:rPr>
                <w:webHidden/>
              </w:rPr>
              <w:fldChar w:fldCharType="begin"/>
            </w:r>
            <w:r>
              <w:rPr>
                <w:webHidden/>
              </w:rPr>
              <w:instrText xml:space="preserve"> PAGEREF _Toc198823097 \h </w:instrText>
            </w:r>
            <w:r>
              <w:rPr>
                <w:webHidden/>
              </w:rPr>
            </w:r>
            <w:r>
              <w:rPr>
                <w:webHidden/>
              </w:rPr>
              <w:fldChar w:fldCharType="separate"/>
            </w:r>
            <w:r>
              <w:rPr>
                <w:webHidden/>
              </w:rPr>
              <w:t>13</w:t>
            </w:r>
            <w:r>
              <w:rPr>
                <w:webHidden/>
              </w:rPr>
              <w:fldChar w:fldCharType="end"/>
            </w:r>
          </w:hyperlink>
        </w:p>
        <w:p w14:paraId="2AD30575" w14:textId="7C860470"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098" w:history="1">
            <w:r w:rsidRPr="009460D2">
              <w:rPr>
                <w:rStyle w:val="Hyperlink"/>
                <w:noProof/>
              </w:rPr>
              <w:t>People connecting with the Front Door</w:t>
            </w:r>
            <w:r>
              <w:rPr>
                <w:noProof/>
                <w:webHidden/>
              </w:rPr>
              <w:tab/>
            </w:r>
            <w:r>
              <w:rPr>
                <w:noProof/>
                <w:webHidden/>
              </w:rPr>
              <w:fldChar w:fldCharType="begin"/>
            </w:r>
            <w:r>
              <w:rPr>
                <w:noProof/>
                <w:webHidden/>
              </w:rPr>
              <w:instrText xml:space="preserve"> PAGEREF _Toc198823098 \h </w:instrText>
            </w:r>
            <w:r>
              <w:rPr>
                <w:noProof/>
                <w:webHidden/>
              </w:rPr>
            </w:r>
            <w:r>
              <w:rPr>
                <w:noProof/>
                <w:webHidden/>
              </w:rPr>
              <w:fldChar w:fldCharType="separate"/>
            </w:r>
            <w:r>
              <w:rPr>
                <w:noProof/>
                <w:webHidden/>
              </w:rPr>
              <w:t>14</w:t>
            </w:r>
            <w:r>
              <w:rPr>
                <w:noProof/>
                <w:webHidden/>
              </w:rPr>
              <w:fldChar w:fldCharType="end"/>
            </w:r>
          </w:hyperlink>
        </w:p>
        <w:p w14:paraId="7C851CDC" w14:textId="01482E12"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099" w:history="1">
            <w:r w:rsidRPr="009460D2">
              <w:rPr>
                <w:rStyle w:val="Hyperlink"/>
              </w:rPr>
              <w:t>The people seeking support</w:t>
            </w:r>
            <w:r>
              <w:rPr>
                <w:webHidden/>
              </w:rPr>
              <w:tab/>
            </w:r>
            <w:r>
              <w:rPr>
                <w:webHidden/>
              </w:rPr>
              <w:fldChar w:fldCharType="begin"/>
            </w:r>
            <w:r>
              <w:rPr>
                <w:webHidden/>
              </w:rPr>
              <w:instrText xml:space="preserve"> PAGEREF _Toc198823099 \h </w:instrText>
            </w:r>
            <w:r>
              <w:rPr>
                <w:webHidden/>
              </w:rPr>
            </w:r>
            <w:r>
              <w:rPr>
                <w:webHidden/>
              </w:rPr>
              <w:fldChar w:fldCharType="separate"/>
            </w:r>
            <w:r>
              <w:rPr>
                <w:webHidden/>
              </w:rPr>
              <w:t>15</w:t>
            </w:r>
            <w:r>
              <w:rPr>
                <w:webHidden/>
              </w:rPr>
              <w:fldChar w:fldCharType="end"/>
            </w:r>
          </w:hyperlink>
        </w:p>
        <w:p w14:paraId="19B12F71" w14:textId="3BE85601"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0" w:history="1">
            <w:r w:rsidRPr="009460D2">
              <w:rPr>
                <w:rStyle w:val="Hyperlink"/>
              </w:rPr>
              <w:t>People accessing housing support</w:t>
            </w:r>
            <w:r>
              <w:rPr>
                <w:webHidden/>
              </w:rPr>
              <w:tab/>
            </w:r>
            <w:r>
              <w:rPr>
                <w:webHidden/>
              </w:rPr>
              <w:fldChar w:fldCharType="begin"/>
            </w:r>
            <w:r>
              <w:rPr>
                <w:webHidden/>
              </w:rPr>
              <w:instrText xml:space="preserve"> PAGEREF _Toc198823100 \h </w:instrText>
            </w:r>
            <w:r>
              <w:rPr>
                <w:webHidden/>
              </w:rPr>
            </w:r>
            <w:r>
              <w:rPr>
                <w:webHidden/>
              </w:rPr>
              <w:fldChar w:fldCharType="separate"/>
            </w:r>
            <w:r>
              <w:rPr>
                <w:webHidden/>
              </w:rPr>
              <w:t>16</w:t>
            </w:r>
            <w:r>
              <w:rPr>
                <w:webHidden/>
              </w:rPr>
              <w:fldChar w:fldCharType="end"/>
            </w:r>
          </w:hyperlink>
        </w:p>
        <w:p w14:paraId="3D75BDEB" w14:textId="75FEED00"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1" w:history="1">
            <w:r w:rsidRPr="009460D2">
              <w:rPr>
                <w:rStyle w:val="Hyperlink"/>
              </w:rPr>
              <w:t>Housing circumstances of people seeking housing support</w:t>
            </w:r>
            <w:r>
              <w:rPr>
                <w:webHidden/>
              </w:rPr>
              <w:tab/>
            </w:r>
            <w:r>
              <w:rPr>
                <w:webHidden/>
              </w:rPr>
              <w:fldChar w:fldCharType="begin"/>
            </w:r>
            <w:r>
              <w:rPr>
                <w:webHidden/>
              </w:rPr>
              <w:instrText xml:space="preserve"> PAGEREF _Toc198823101 \h </w:instrText>
            </w:r>
            <w:r>
              <w:rPr>
                <w:webHidden/>
              </w:rPr>
            </w:r>
            <w:r>
              <w:rPr>
                <w:webHidden/>
              </w:rPr>
              <w:fldChar w:fldCharType="separate"/>
            </w:r>
            <w:r>
              <w:rPr>
                <w:webHidden/>
              </w:rPr>
              <w:t>17</w:t>
            </w:r>
            <w:r>
              <w:rPr>
                <w:webHidden/>
              </w:rPr>
              <w:fldChar w:fldCharType="end"/>
            </w:r>
          </w:hyperlink>
        </w:p>
        <w:p w14:paraId="6903BF3A" w14:textId="4E65B038"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2" w:history="1">
            <w:r w:rsidRPr="009460D2">
              <w:rPr>
                <w:rStyle w:val="Hyperlink"/>
              </w:rPr>
              <w:t>Reasons for seeking support</w:t>
            </w:r>
            <w:r>
              <w:rPr>
                <w:webHidden/>
              </w:rPr>
              <w:tab/>
            </w:r>
            <w:r>
              <w:rPr>
                <w:webHidden/>
              </w:rPr>
              <w:fldChar w:fldCharType="begin"/>
            </w:r>
            <w:r>
              <w:rPr>
                <w:webHidden/>
              </w:rPr>
              <w:instrText xml:space="preserve"> PAGEREF _Toc198823102 \h </w:instrText>
            </w:r>
            <w:r>
              <w:rPr>
                <w:webHidden/>
              </w:rPr>
            </w:r>
            <w:r>
              <w:rPr>
                <w:webHidden/>
              </w:rPr>
              <w:fldChar w:fldCharType="separate"/>
            </w:r>
            <w:r>
              <w:rPr>
                <w:webHidden/>
              </w:rPr>
              <w:t>19</w:t>
            </w:r>
            <w:r>
              <w:rPr>
                <w:webHidden/>
              </w:rPr>
              <w:fldChar w:fldCharType="end"/>
            </w:r>
          </w:hyperlink>
        </w:p>
        <w:p w14:paraId="4FCC12A0" w14:textId="2BB93150"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03" w:history="1">
            <w:r w:rsidRPr="009460D2">
              <w:rPr>
                <w:rStyle w:val="Hyperlink"/>
                <w:noProof/>
              </w:rPr>
              <w:t>Front Door response</w:t>
            </w:r>
            <w:r>
              <w:rPr>
                <w:noProof/>
                <w:webHidden/>
              </w:rPr>
              <w:tab/>
            </w:r>
            <w:r>
              <w:rPr>
                <w:noProof/>
                <w:webHidden/>
              </w:rPr>
              <w:fldChar w:fldCharType="begin"/>
            </w:r>
            <w:r>
              <w:rPr>
                <w:noProof/>
                <w:webHidden/>
              </w:rPr>
              <w:instrText xml:space="preserve"> PAGEREF _Toc198823103 \h </w:instrText>
            </w:r>
            <w:r>
              <w:rPr>
                <w:noProof/>
                <w:webHidden/>
              </w:rPr>
            </w:r>
            <w:r>
              <w:rPr>
                <w:noProof/>
                <w:webHidden/>
              </w:rPr>
              <w:fldChar w:fldCharType="separate"/>
            </w:r>
            <w:r>
              <w:rPr>
                <w:noProof/>
                <w:webHidden/>
              </w:rPr>
              <w:t>21</w:t>
            </w:r>
            <w:r>
              <w:rPr>
                <w:noProof/>
                <w:webHidden/>
              </w:rPr>
              <w:fldChar w:fldCharType="end"/>
            </w:r>
          </w:hyperlink>
        </w:p>
        <w:p w14:paraId="62F355F2" w14:textId="178A4BEB"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4" w:history="1">
            <w:r w:rsidRPr="009460D2">
              <w:rPr>
                <w:rStyle w:val="Hyperlink"/>
              </w:rPr>
              <w:t>Applications for social housing</w:t>
            </w:r>
            <w:r>
              <w:rPr>
                <w:webHidden/>
              </w:rPr>
              <w:tab/>
            </w:r>
            <w:r>
              <w:rPr>
                <w:webHidden/>
              </w:rPr>
              <w:fldChar w:fldCharType="begin"/>
            </w:r>
            <w:r>
              <w:rPr>
                <w:webHidden/>
              </w:rPr>
              <w:instrText xml:space="preserve"> PAGEREF _Toc198823104 \h </w:instrText>
            </w:r>
            <w:r>
              <w:rPr>
                <w:webHidden/>
              </w:rPr>
            </w:r>
            <w:r>
              <w:rPr>
                <w:webHidden/>
              </w:rPr>
              <w:fldChar w:fldCharType="separate"/>
            </w:r>
            <w:r>
              <w:rPr>
                <w:webHidden/>
              </w:rPr>
              <w:t>21</w:t>
            </w:r>
            <w:r>
              <w:rPr>
                <w:webHidden/>
              </w:rPr>
              <w:fldChar w:fldCharType="end"/>
            </w:r>
          </w:hyperlink>
        </w:p>
        <w:p w14:paraId="2C350C3E" w14:textId="2FCDAA14"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5" w:history="1">
            <w:r w:rsidRPr="009460D2">
              <w:rPr>
                <w:rStyle w:val="Hyperlink"/>
              </w:rPr>
              <w:t>Private rental assistance</w:t>
            </w:r>
            <w:r>
              <w:rPr>
                <w:webHidden/>
              </w:rPr>
              <w:tab/>
            </w:r>
            <w:r>
              <w:rPr>
                <w:webHidden/>
              </w:rPr>
              <w:fldChar w:fldCharType="begin"/>
            </w:r>
            <w:r>
              <w:rPr>
                <w:webHidden/>
              </w:rPr>
              <w:instrText xml:space="preserve"> PAGEREF _Toc198823105 \h </w:instrText>
            </w:r>
            <w:r>
              <w:rPr>
                <w:webHidden/>
              </w:rPr>
            </w:r>
            <w:r>
              <w:rPr>
                <w:webHidden/>
              </w:rPr>
              <w:fldChar w:fldCharType="separate"/>
            </w:r>
            <w:r>
              <w:rPr>
                <w:webHidden/>
              </w:rPr>
              <w:t>21</w:t>
            </w:r>
            <w:r>
              <w:rPr>
                <w:webHidden/>
              </w:rPr>
              <w:fldChar w:fldCharType="end"/>
            </w:r>
          </w:hyperlink>
        </w:p>
        <w:p w14:paraId="0A236C83" w14:textId="12932F2B"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6" w:history="1">
            <w:r w:rsidRPr="009460D2">
              <w:rPr>
                <w:rStyle w:val="Hyperlink"/>
              </w:rPr>
              <w:t>Crisis and emergency accommodation</w:t>
            </w:r>
            <w:r>
              <w:rPr>
                <w:webHidden/>
              </w:rPr>
              <w:tab/>
            </w:r>
            <w:r>
              <w:rPr>
                <w:webHidden/>
              </w:rPr>
              <w:fldChar w:fldCharType="begin"/>
            </w:r>
            <w:r>
              <w:rPr>
                <w:webHidden/>
              </w:rPr>
              <w:instrText xml:space="preserve"> PAGEREF _Toc198823106 \h </w:instrText>
            </w:r>
            <w:r>
              <w:rPr>
                <w:webHidden/>
              </w:rPr>
            </w:r>
            <w:r>
              <w:rPr>
                <w:webHidden/>
              </w:rPr>
              <w:fldChar w:fldCharType="separate"/>
            </w:r>
            <w:r>
              <w:rPr>
                <w:webHidden/>
              </w:rPr>
              <w:t>22</w:t>
            </w:r>
            <w:r>
              <w:rPr>
                <w:webHidden/>
              </w:rPr>
              <w:fldChar w:fldCharType="end"/>
            </w:r>
          </w:hyperlink>
        </w:p>
        <w:p w14:paraId="0C0683BB" w14:textId="3AC9D5AF"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7" w:history="1">
            <w:r w:rsidRPr="009460D2">
              <w:rPr>
                <w:rStyle w:val="Hyperlink"/>
              </w:rPr>
              <w:t>Housing support</w:t>
            </w:r>
            <w:r>
              <w:rPr>
                <w:webHidden/>
              </w:rPr>
              <w:tab/>
            </w:r>
            <w:r>
              <w:rPr>
                <w:webHidden/>
              </w:rPr>
              <w:fldChar w:fldCharType="begin"/>
            </w:r>
            <w:r>
              <w:rPr>
                <w:webHidden/>
              </w:rPr>
              <w:instrText xml:space="preserve"> PAGEREF _Toc198823107 \h </w:instrText>
            </w:r>
            <w:r>
              <w:rPr>
                <w:webHidden/>
              </w:rPr>
            </w:r>
            <w:r>
              <w:rPr>
                <w:webHidden/>
              </w:rPr>
              <w:fldChar w:fldCharType="separate"/>
            </w:r>
            <w:r>
              <w:rPr>
                <w:webHidden/>
              </w:rPr>
              <w:t>24</w:t>
            </w:r>
            <w:r>
              <w:rPr>
                <w:webHidden/>
              </w:rPr>
              <w:fldChar w:fldCharType="end"/>
            </w:r>
          </w:hyperlink>
        </w:p>
        <w:p w14:paraId="70F861DD" w14:textId="03C29213"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08" w:history="1">
            <w:r w:rsidRPr="009460D2">
              <w:rPr>
                <w:rStyle w:val="Hyperlink"/>
                <w:noProof/>
              </w:rPr>
              <w:t>Identifying and meeting client needs</w:t>
            </w:r>
            <w:r>
              <w:rPr>
                <w:noProof/>
                <w:webHidden/>
              </w:rPr>
              <w:tab/>
            </w:r>
            <w:r>
              <w:rPr>
                <w:noProof/>
                <w:webHidden/>
              </w:rPr>
              <w:fldChar w:fldCharType="begin"/>
            </w:r>
            <w:r>
              <w:rPr>
                <w:noProof/>
                <w:webHidden/>
              </w:rPr>
              <w:instrText xml:space="preserve"> PAGEREF _Toc198823108 \h </w:instrText>
            </w:r>
            <w:r>
              <w:rPr>
                <w:noProof/>
                <w:webHidden/>
              </w:rPr>
            </w:r>
            <w:r>
              <w:rPr>
                <w:noProof/>
                <w:webHidden/>
              </w:rPr>
              <w:fldChar w:fldCharType="separate"/>
            </w:r>
            <w:r>
              <w:rPr>
                <w:noProof/>
                <w:webHidden/>
              </w:rPr>
              <w:t>25</w:t>
            </w:r>
            <w:r>
              <w:rPr>
                <w:noProof/>
                <w:webHidden/>
              </w:rPr>
              <w:fldChar w:fldCharType="end"/>
            </w:r>
          </w:hyperlink>
        </w:p>
        <w:p w14:paraId="03CF5FB0" w14:textId="31709A46"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09" w:history="1">
            <w:r w:rsidRPr="009460D2">
              <w:rPr>
                <w:rStyle w:val="Hyperlink"/>
              </w:rPr>
              <w:t>Support services</w:t>
            </w:r>
            <w:r>
              <w:rPr>
                <w:webHidden/>
              </w:rPr>
              <w:tab/>
            </w:r>
            <w:r>
              <w:rPr>
                <w:webHidden/>
              </w:rPr>
              <w:fldChar w:fldCharType="begin"/>
            </w:r>
            <w:r>
              <w:rPr>
                <w:webHidden/>
              </w:rPr>
              <w:instrText xml:space="preserve"> PAGEREF _Toc198823109 \h </w:instrText>
            </w:r>
            <w:r>
              <w:rPr>
                <w:webHidden/>
              </w:rPr>
            </w:r>
            <w:r>
              <w:rPr>
                <w:webHidden/>
              </w:rPr>
              <w:fldChar w:fldCharType="separate"/>
            </w:r>
            <w:r>
              <w:rPr>
                <w:webHidden/>
              </w:rPr>
              <w:t>26</w:t>
            </w:r>
            <w:r>
              <w:rPr>
                <w:webHidden/>
              </w:rPr>
              <w:fldChar w:fldCharType="end"/>
            </w:r>
          </w:hyperlink>
        </w:p>
        <w:p w14:paraId="459694EA" w14:textId="43C2F72A"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10" w:history="1">
            <w:r w:rsidRPr="009460D2">
              <w:rPr>
                <w:rStyle w:val="Hyperlink"/>
              </w:rPr>
              <w:t>Housing</w:t>
            </w:r>
            <w:r>
              <w:rPr>
                <w:webHidden/>
              </w:rPr>
              <w:tab/>
            </w:r>
            <w:r>
              <w:rPr>
                <w:webHidden/>
              </w:rPr>
              <w:fldChar w:fldCharType="begin"/>
            </w:r>
            <w:r>
              <w:rPr>
                <w:webHidden/>
              </w:rPr>
              <w:instrText xml:space="preserve"> PAGEREF _Toc198823110 \h </w:instrText>
            </w:r>
            <w:r>
              <w:rPr>
                <w:webHidden/>
              </w:rPr>
            </w:r>
            <w:r>
              <w:rPr>
                <w:webHidden/>
              </w:rPr>
              <w:fldChar w:fldCharType="separate"/>
            </w:r>
            <w:r>
              <w:rPr>
                <w:webHidden/>
              </w:rPr>
              <w:t>29</w:t>
            </w:r>
            <w:r>
              <w:rPr>
                <w:webHidden/>
              </w:rPr>
              <w:fldChar w:fldCharType="end"/>
            </w:r>
          </w:hyperlink>
        </w:p>
        <w:p w14:paraId="3CDBB4C4" w14:textId="0271EB14" w:rsidR="002364BA" w:rsidRDefault="002364BA">
          <w:pPr>
            <w:pStyle w:val="TOC2"/>
            <w:rPr>
              <w:rFonts w:asciiTheme="minorHAnsi" w:eastAsiaTheme="minorEastAsia" w:hAnsiTheme="minorHAnsi" w:cstheme="minorBidi"/>
              <w:color w:val="auto"/>
              <w:spacing w:val="0"/>
              <w:kern w:val="2"/>
              <w:sz w:val="24"/>
              <w:szCs w:val="24"/>
              <w:lang w:val="en-AU" w:eastAsia="en-AU"/>
              <w14:ligatures w14:val="standardContextual"/>
            </w:rPr>
          </w:pPr>
          <w:hyperlink w:anchor="_Toc198823111" w:history="1">
            <w:r w:rsidRPr="009460D2">
              <w:rPr>
                <w:rStyle w:val="Hyperlink"/>
              </w:rPr>
              <w:t>Client satisfaction</w:t>
            </w:r>
            <w:r>
              <w:rPr>
                <w:webHidden/>
              </w:rPr>
              <w:tab/>
            </w:r>
            <w:r>
              <w:rPr>
                <w:webHidden/>
              </w:rPr>
              <w:fldChar w:fldCharType="begin"/>
            </w:r>
            <w:r>
              <w:rPr>
                <w:webHidden/>
              </w:rPr>
              <w:instrText xml:space="preserve"> PAGEREF _Toc198823111 \h </w:instrText>
            </w:r>
            <w:r>
              <w:rPr>
                <w:webHidden/>
              </w:rPr>
            </w:r>
            <w:r>
              <w:rPr>
                <w:webHidden/>
              </w:rPr>
              <w:fldChar w:fldCharType="separate"/>
            </w:r>
            <w:r>
              <w:rPr>
                <w:webHidden/>
              </w:rPr>
              <w:t>32</w:t>
            </w:r>
            <w:r>
              <w:rPr>
                <w:webHidden/>
              </w:rPr>
              <w:fldChar w:fldCharType="end"/>
            </w:r>
          </w:hyperlink>
        </w:p>
        <w:p w14:paraId="53B2A249" w14:textId="478B16E6"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12" w:history="1">
            <w:r w:rsidRPr="009460D2">
              <w:rPr>
                <w:rStyle w:val="Hyperlink"/>
                <w:noProof/>
              </w:rPr>
              <w:t>Barriers to escaping domestic violence seen by frontline services</w:t>
            </w:r>
            <w:r>
              <w:rPr>
                <w:noProof/>
                <w:webHidden/>
              </w:rPr>
              <w:tab/>
            </w:r>
            <w:r>
              <w:rPr>
                <w:noProof/>
                <w:webHidden/>
              </w:rPr>
              <w:fldChar w:fldCharType="begin"/>
            </w:r>
            <w:r>
              <w:rPr>
                <w:noProof/>
                <w:webHidden/>
              </w:rPr>
              <w:instrText xml:space="preserve"> PAGEREF _Toc198823112 \h </w:instrText>
            </w:r>
            <w:r>
              <w:rPr>
                <w:noProof/>
                <w:webHidden/>
              </w:rPr>
            </w:r>
            <w:r>
              <w:rPr>
                <w:noProof/>
                <w:webHidden/>
              </w:rPr>
              <w:fldChar w:fldCharType="separate"/>
            </w:r>
            <w:r>
              <w:rPr>
                <w:noProof/>
                <w:webHidden/>
              </w:rPr>
              <w:t>33</w:t>
            </w:r>
            <w:r>
              <w:rPr>
                <w:noProof/>
                <w:webHidden/>
              </w:rPr>
              <w:fldChar w:fldCharType="end"/>
            </w:r>
          </w:hyperlink>
        </w:p>
        <w:p w14:paraId="0708B79E" w14:textId="2A7D4C96"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13" w:history="1">
            <w:r w:rsidRPr="009460D2">
              <w:rPr>
                <w:rStyle w:val="Hyperlink"/>
                <w:noProof/>
              </w:rPr>
              <w:t>Recommendations</w:t>
            </w:r>
            <w:r>
              <w:rPr>
                <w:noProof/>
                <w:webHidden/>
              </w:rPr>
              <w:tab/>
            </w:r>
            <w:r>
              <w:rPr>
                <w:noProof/>
                <w:webHidden/>
              </w:rPr>
              <w:fldChar w:fldCharType="begin"/>
            </w:r>
            <w:r>
              <w:rPr>
                <w:noProof/>
                <w:webHidden/>
              </w:rPr>
              <w:instrText xml:space="preserve"> PAGEREF _Toc198823113 \h </w:instrText>
            </w:r>
            <w:r>
              <w:rPr>
                <w:noProof/>
                <w:webHidden/>
              </w:rPr>
            </w:r>
            <w:r>
              <w:rPr>
                <w:noProof/>
                <w:webHidden/>
              </w:rPr>
              <w:fldChar w:fldCharType="separate"/>
            </w:r>
            <w:r>
              <w:rPr>
                <w:noProof/>
                <w:webHidden/>
              </w:rPr>
              <w:t>34</w:t>
            </w:r>
            <w:r>
              <w:rPr>
                <w:noProof/>
                <w:webHidden/>
              </w:rPr>
              <w:fldChar w:fldCharType="end"/>
            </w:r>
          </w:hyperlink>
        </w:p>
        <w:p w14:paraId="7478EDDB" w14:textId="26635598"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14" w:history="1">
            <w:r w:rsidRPr="009460D2">
              <w:rPr>
                <w:rStyle w:val="Hyperlink"/>
                <w:noProof/>
              </w:rPr>
              <w:t>Glossary</w:t>
            </w:r>
            <w:r>
              <w:rPr>
                <w:noProof/>
                <w:webHidden/>
              </w:rPr>
              <w:tab/>
            </w:r>
            <w:r>
              <w:rPr>
                <w:noProof/>
                <w:webHidden/>
              </w:rPr>
              <w:fldChar w:fldCharType="begin"/>
            </w:r>
            <w:r>
              <w:rPr>
                <w:noProof/>
                <w:webHidden/>
              </w:rPr>
              <w:instrText xml:space="preserve"> PAGEREF _Toc198823114 \h </w:instrText>
            </w:r>
            <w:r>
              <w:rPr>
                <w:noProof/>
                <w:webHidden/>
              </w:rPr>
            </w:r>
            <w:r>
              <w:rPr>
                <w:noProof/>
                <w:webHidden/>
              </w:rPr>
              <w:fldChar w:fldCharType="separate"/>
            </w:r>
            <w:r>
              <w:rPr>
                <w:noProof/>
                <w:webHidden/>
              </w:rPr>
              <w:t>35</w:t>
            </w:r>
            <w:r>
              <w:rPr>
                <w:noProof/>
                <w:webHidden/>
              </w:rPr>
              <w:fldChar w:fldCharType="end"/>
            </w:r>
          </w:hyperlink>
        </w:p>
        <w:p w14:paraId="5E49D302" w14:textId="07081184" w:rsidR="002364BA" w:rsidRDefault="002364BA">
          <w:pPr>
            <w:pStyle w:val="TOC1"/>
            <w:tabs>
              <w:tab w:val="right" w:leader="dot" w:pos="9016"/>
            </w:tabs>
            <w:rPr>
              <w:rFonts w:eastAsiaTheme="minorEastAsia" w:cstheme="minorBidi"/>
              <w:b w:val="0"/>
              <w:bCs w:val="0"/>
              <w:noProof/>
              <w:color w:val="auto"/>
              <w:kern w:val="2"/>
              <w:sz w:val="24"/>
              <w:szCs w:val="24"/>
              <w:lang w:val="en-AU" w:eastAsia="en-AU"/>
              <w14:ligatures w14:val="standardContextual"/>
            </w:rPr>
          </w:pPr>
          <w:hyperlink w:anchor="_Toc198823115" w:history="1">
            <w:r w:rsidRPr="009460D2">
              <w:rPr>
                <w:rStyle w:val="Hyperlink"/>
                <w:noProof/>
              </w:rPr>
              <w:t>References</w:t>
            </w:r>
            <w:r>
              <w:rPr>
                <w:noProof/>
                <w:webHidden/>
              </w:rPr>
              <w:tab/>
            </w:r>
            <w:r>
              <w:rPr>
                <w:noProof/>
                <w:webHidden/>
              </w:rPr>
              <w:fldChar w:fldCharType="begin"/>
            </w:r>
            <w:r>
              <w:rPr>
                <w:noProof/>
                <w:webHidden/>
              </w:rPr>
              <w:instrText xml:space="preserve"> PAGEREF _Toc198823115 \h </w:instrText>
            </w:r>
            <w:r>
              <w:rPr>
                <w:noProof/>
                <w:webHidden/>
              </w:rPr>
            </w:r>
            <w:r>
              <w:rPr>
                <w:noProof/>
                <w:webHidden/>
              </w:rPr>
              <w:fldChar w:fldCharType="separate"/>
            </w:r>
            <w:r>
              <w:rPr>
                <w:noProof/>
                <w:webHidden/>
              </w:rPr>
              <w:t>39</w:t>
            </w:r>
            <w:r>
              <w:rPr>
                <w:noProof/>
                <w:webHidden/>
              </w:rPr>
              <w:fldChar w:fldCharType="end"/>
            </w:r>
          </w:hyperlink>
        </w:p>
        <w:p w14:paraId="28D93E63" w14:textId="5130D5A8" w:rsidR="005C584D" w:rsidRPr="0000085C" w:rsidRDefault="00154F45" w:rsidP="00E509D2">
          <w:pPr>
            <w:pStyle w:val="BodyText"/>
            <w:rPr>
              <w:rFonts w:ascii="AvenirNextLTPro-Demi"/>
              <w:b/>
              <w:sz w:val="22"/>
            </w:rPr>
          </w:pPr>
          <w:r>
            <w:fldChar w:fldCharType="end"/>
          </w:r>
        </w:p>
      </w:sdtContent>
    </w:sdt>
    <w:p w14:paraId="1C876D1E" w14:textId="77777777" w:rsidR="005C584D" w:rsidRDefault="005C584D">
      <w:pPr>
        <w:rPr>
          <w:rFonts w:ascii="AvenirNext LT Pro Regular" w:hAnsi="AvenirNext LT Pro Regular"/>
        </w:rPr>
      </w:pPr>
    </w:p>
    <w:p w14:paraId="4586F740" w14:textId="77777777" w:rsidR="00BC4856" w:rsidRDefault="00BC4856">
      <w:pPr>
        <w:rPr>
          <w:rFonts w:ascii="AvenirNext LT Pro Regular" w:hAnsi="AvenirNext LT Pro Regular"/>
        </w:rPr>
      </w:pPr>
    </w:p>
    <w:p w14:paraId="313B155C" w14:textId="4217131F" w:rsidR="00BC4856" w:rsidRPr="0000085C" w:rsidRDefault="00BC4856">
      <w:pPr>
        <w:rPr>
          <w:rFonts w:ascii="AvenirNext LT Pro Regular" w:hAnsi="AvenirNext LT Pro Regular"/>
        </w:rPr>
        <w:sectPr w:rsidR="00BC4856" w:rsidRPr="0000085C" w:rsidSect="005C584D">
          <w:footerReference w:type="even" r:id="rId11"/>
          <w:footerReference w:type="default" r:id="rId12"/>
          <w:pgSz w:w="11906" w:h="16838"/>
          <w:pgMar w:top="1440" w:right="1440" w:bottom="1440" w:left="1440" w:header="708" w:footer="708" w:gutter="0"/>
          <w:cols w:space="708"/>
          <w:docGrid w:linePitch="360"/>
        </w:sectPr>
      </w:pPr>
      <w:r>
        <w:rPr>
          <w:rFonts w:ascii="AvenirNext LT Pro Regular" w:hAnsi="AvenirNext LT Pro Regular"/>
        </w:rPr>
        <w:t>Published May 2025</w:t>
      </w:r>
    </w:p>
    <w:p w14:paraId="59A3C6F5" w14:textId="77777777" w:rsidR="005C584D" w:rsidRPr="0000085C" w:rsidRDefault="005C584D" w:rsidP="00E509D2">
      <w:pPr>
        <w:rPr>
          <w:b/>
          <w:color w:val="1598CB"/>
          <w:sz w:val="48"/>
          <w:szCs w:val="48"/>
        </w:rPr>
      </w:pPr>
      <w:r w:rsidRPr="0000085C">
        <w:rPr>
          <w:b/>
          <w:color w:val="1598CB"/>
          <w:sz w:val="48"/>
          <w:szCs w:val="48"/>
        </w:rPr>
        <w:lastRenderedPageBreak/>
        <w:t xml:space="preserve">Acknowledgement of Country </w:t>
      </w:r>
    </w:p>
    <w:p w14:paraId="7B1490D3" w14:textId="77777777" w:rsidR="005C584D" w:rsidRPr="0000085C" w:rsidRDefault="005C584D" w:rsidP="00E509D2">
      <w:pPr>
        <w:pStyle w:val="TitleinText"/>
      </w:pPr>
      <w:r w:rsidRPr="0000085C">
        <w:t>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are connected with this research.</w:t>
      </w:r>
    </w:p>
    <w:p w14:paraId="5F04D71A" w14:textId="77777777" w:rsidR="005C584D" w:rsidRPr="0000085C" w:rsidRDefault="005C584D" w:rsidP="00E509D2"/>
    <w:p w14:paraId="57BCE260" w14:textId="77777777" w:rsidR="005C584D" w:rsidRPr="0000085C" w:rsidRDefault="005C584D" w:rsidP="00E509D2">
      <w:r w:rsidRPr="0000085C">
        <w:rPr>
          <w:b/>
          <w:color w:val="1598CB"/>
          <w:sz w:val="48"/>
          <w:szCs w:val="48"/>
        </w:rPr>
        <w:t xml:space="preserve">Acknowledgements </w:t>
      </w:r>
    </w:p>
    <w:p w14:paraId="0445663A" w14:textId="77777777" w:rsidR="005C584D" w:rsidRPr="0000085C" w:rsidRDefault="005C584D" w:rsidP="00E509D2">
      <w:r w:rsidRPr="0000085C">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756F8161" w14:textId="77777777" w:rsidR="005C584D" w:rsidRPr="0000085C" w:rsidRDefault="005C584D" w:rsidP="00E509D2">
      <w:r w:rsidRPr="0000085C">
        <w:t>The assistance of Homes Tasmania in providing data is also acknowledged.</w:t>
      </w:r>
    </w:p>
    <w:p w14:paraId="51C35CED" w14:textId="77777777" w:rsidR="005C584D" w:rsidRPr="0000085C" w:rsidRDefault="005C584D" w:rsidP="00E509D2">
      <w:r w:rsidRPr="0000085C">
        <w:t xml:space="preserve">Thank you to other Anglicare colleagues for your expertise, support and guidance. </w:t>
      </w:r>
    </w:p>
    <w:p w14:paraId="4ED0BF25" w14:textId="77777777" w:rsidR="005C584D" w:rsidRPr="0000085C" w:rsidRDefault="005C584D" w:rsidP="00E509D2">
      <w:pPr>
        <w:spacing w:before="0" w:after="0"/>
      </w:pPr>
    </w:p>
    <w:p w14:paraId="3941E07C" w14:textId="77777777" w:rsidR="005C584D" w:rsidRPr="0000085C" w:rsidRDefault="005C584D" w:rsidP="00E509D2">
      <w:r w:rsidRPr="0000085C">
        <w:rPr>
          <w:b/>
          <w:color w:val="1598CB"/>
          <w:sz w:val="48"/>
          <w:szCs w:val="48"/>
        </w:rPr>
        <w:t xml:space="preserve">About Anglicare Tasmania </w:t>
      </w:r>
    </w:p>
    <w:p w14:paraId="2F4DBA0F" w14:textId="77777777" w:rsidR="005C584D" w:rsidRPr="0000085C" w:rsidRDefault="005C584D" w:rsidP="00E509D2">
      <w:r w:rsidRPr="0000085C">
        <w:t xml:space="preserve">Anglicare, in response to the Christian faith, strives to achieve social justice and to provide the opportunity for people in need to reach fullness of life. </w:t>
      </w:r>
    </w:p>
    <w:p w14:paraId="53E79017" w14:textId="77777777" w:rsidR="005C584D" w:rsidRPr="0000085C" w:rsidRDefault="005C584D" w:rsidP="00E509D2">
      <w:r w:rsidRPr="0000085C">
        <w:t xml:space="preserve">Our values: </w:t>
      </w:r>
    </w:p>
    <w:p w14:paraId="758F967F" w14:textId="77777777" w:rsidR="005C584D" w:rsidRPr="0000085C" w:rsidRDefault="005C584D" w:rsidP="00E509D2">
      <w:r w:rsidRPr="0000085C">
        <w:rPr>
          <w:b/>
        </w:rPr>
        <w:t>Hope</w:t>
      </w:r>
      <w:r w:rsidRPr="0000085C">
        <w:t xml:space="preserve">: Confidently reaching for fullness of life. </w:t>
      </w:r>
    </w:p>
    <w:p w14:paraId="208D85AB" w14:textId="77777777" w:rsidR="005C584D" w:rsidRPr="0000085C" w:rsidRDefault="005C584D" w:rsidP="00E509D2">
      <w:r w:rsidRPr="0000085C">
        <w:rPr>
          <w:b/>
        </w:rPr>
        <w:t>Compassion</w:t>
      </w:r>
      <w:r w:rsidRPr="0000085C">
        <w:t xml:space="preserve">: Showing empathy and care for those in need. </w:t>
      </w:r>
    </w:p>
    <w:p w14:paraId="704DAA97" w14:textId="77777777" w:rsidR="005C584D" w:rsidRPr="0000085C" w:rsidRDefault="005C584D" w:rsidP="00E509D2">
      <w:r w:rsidRPr="0000085C">
        <w:rPr>
          <w:b/>
        </w:rPr>
        <w:t>Justice</w:t>
      </w:r>
      <w:r w:rsidRPr="0000085C">
        <w:t xml:space="preserve">: Promoting the fair distribution of resources and opportunities. </w:t>
      </w:r>
    </w:p>
    <w:p w14:paraId="6E9648E8" w14:textId="77777777" w:rsidR="005C584D" w:rsidRPr="0000085C" w:rsidRDefault="005C584D" w:rsidP="00E509D2">
      <w:r w:rsidRPr="0000085C">
        <w:rPr>
          <w:b/>
        </w:rPr>
        <w:t>Respect</w:t>
      </w:r>
      <w:r w:rsidRPr="0000085C">
        <w:t>: Recognising the inherent value and dignity of every person.</w:t>
      </w:r>
    </w:p>
    <w:p w14:paraId="1677D569" w14:textId="77777777" w:rsidR="005C584D" w:rsidRPr="0000085C" w:rsidRDefault="005C584D" w:rsidP="00E509D2"/>
    <w:p w14:paraId="0E42CAA1" w14:textId="77777777" w:rsidR="005C584D" w:rsidRPr="0000085C" w:rsidRDefault="005C584D" w:rsidP="00E509D2">
      <w:r w:rsidRPr="0000085C">
        <w:rPr>
          <w:b/>
          <w:color w:val="1598CB"/>
          <w:sz w:val="48"/>
          <w:szCs w:val="48"/>
        </w:rPr>
        <w:t xml:space="preserve">Anglicare Tasmania’s Social Action and Research Centre </w:t>
      </w:r>
    </w:p>
    <w:p w14:paraId="33643FC8" w14:textId="77777777" w:rsidR="005C584D" w:rsidRPr="0000085C" w:rsidRDefault="005C584D" w:rsidP="00E509D2">
      <w:r w:rsidRPr="0000085C">
        <w:t xml:space="preserve">The Social Action and Research Centre investigates how and why Tasmanians are affected by poverty and inequality. We use what we learn to advocate for changes that improve people’s lives. </w:t>
      </w:r>
    </w:p>
    <w:p w14:paraId="27EFA576" w14:textId="77777777" w:rsidR="005C584D" w:rsidRPr="0000085C" w:rsidRDefault="005C584D" w:rsidP="00E509D2">
      <w:r w:rsidRPr="0000085C">
        <w:t xml:space="preserve">Our qualitative research centres on the lived experience of Tasmanians. It often features the voices of people who use Anglicare services and our frontline workers. </w:t>
      </w:r>
    </w:p>
    <w:p w14:paraId="2FAB767C" w14:textId="77777777" w:rsidR="005C584D" w:rsidRPr="0000085C" w:rsidRDefault="005C584D" w:rsidP="00E509D2">
      <w:r w:rsidRPr="0000085C">
        <w:t xml:space="preserve">Our quantitative research uses data to demonstrate social trends. </w:t>
      </w:r>
    </w:p>
    <w:p w14:paraId="5FED4BFC" w14:textId="77777777" w:rsidR="005C584D" w:rsidRPr="0000085C" w:rsidRDefault="005C584D" w:rsidP="00E509D2">
      <w:r w:rsidRPr="0000085C">
        <w:t>We brief government and stakeholders on our research and create opportunities for networking and collaboration.</w:t>
      </w:r>
    </w:p>
    <w:p w14:paraId="2D88F3B1" w14:textId="3BCF65C5" w:rsidR="002454EB" w:rsidRPr="0000085C" w:rsidRDefault="002454EB">
      <w:pPr>
        <w:widowControl/>
        <w:autoSpaceDE/>
        <w:autoSpaceDN/>
        <w:spacing w:before="0" w:after="160" w:line="259" w:lineRule="auto"/>
      </w:pPr>
      <w:r w:rsidRPr="0000085C">
        <w:br w:type="page"/>
      </w:r>
    </w:p>
    <w:p w14:paraId="79F98B6A" w14:textId="0FF3A2B6" w:rsidR="005C584D" w:rsidRPr="00CF6833" w:rsidRDefault="005C584D" w:rsidP="00E509D2">
      <w:pPr>
        <w:pStyle w:val="Heading1"/>
        <w:rPr>
          <w:lang w:val="en-GB"/>
        </w:rPr>
      </w:pPr>
      <w:bookmarkStart w:id="3" w:name="_Toc198823088"/>
      <w:r w:rsidRPr="00CF6833">
        <w:rPr>
          <w:lang w:val="en-GB"/>
        </w:rPr>
        <w:lastRenderedPageBreak/>
        <w:t>Housing Connect Front Door</w:t>
      </w:r>
      <w:bookmarkEnd w:id="3"/>
    </w:p>
    <w:p w14:paraId="75665199" w14:textId="77777777" w:rsidR="005C584D" w:rsidRPr="0000085C" w:rsidRDefault="005C584D" w:rsidP="00E509D2">
      <w:r w:rsidRPr="0000085C">
        <w:t xml:space="preserve">The Housing Connect Front Door is the entry point for people to access housing support, from emergency </w:t>
      </w:r>
      <w:r w:rsidRPr="00CF6833">
        <w:t>accommodation</w:t>
      </w:r>
      <w:r w:rsidRPr="0000085C">
        <w:t xml:space="preserve"> to a long-term home. This begins with an assessment to understand their individual circumstances and help match them with the most suitable options available. </w:t>
      </w:r>
    </w:p>
    <w:p w14:paraId="71555097" w14:textId="77777777" w:rsidR="005C584D" w:rsidRPr="0000085C" w:rsidRDefault="005C584D" w:rsidP="00E509D2">
      <w:r w:rsidRPr="0000085C">
        <w:t xml:space="preserve">Anglicare Tasmania is funded by government to deliver the Housing Connect Front Door Service statewide. This arrangement began from July 1, 2024. </w:t>
      </w:r>
    </w:p>
    <w:p w14:paraId="7101B45A" w14:textId="77777777" w:rsidR="005C584D" w:rsidRPr="0000085C" w:rsidRDefault="005C584D" w:rsidP="00E509D2">
      <w:pPr>
        <w:widowControl/>
        <w:adjustRightInd w:val="0"/>
        <w:spacing w:before="0" w:after="0"/>
      </w:pPr>
    </w:p>
    <w:p w14:paraId="6970D881" w14:textId="77777777" w:rsidR="005C584D" w:rsidRPr="00F948AA" w:rsidRDefault="005C584D" w:rsidP="00E509D2">
      <w:pPr>
        <w:widowControl/>
        <w:adjustRightInd w:val="0"/>
        <w:spacing w:before="0" w:after="0"/>
        <w:rPr>
          <w:rFonts w:ascii="Arial" w:eastAsiaTheme="minorHAnsi" w:hAnsi="Arial" w:cs="Arial"/>
          <w:color w:val="000000"/>
          <w:sz w:val="22"/>
        </w:rPr>
      </w:pPr>
      <w:r w:rsidRPr="0000085C">
        <w:t>People can access the Housing Connect Front Door by telephone, 24 hours a day, 365 days a year on</w:t>
      </w:r>
      <w:r w:rsidRPr="00B16E20">
        <w:rPr>
          <w:rFonts w:ascii="Arial" w:eastAsiaTheme="minorHAnsi" w:hAnsi="Arial" w:cs="Arial"/>
          <w:color w:val="000000"/>
          <w:sz w:val="22"/>
        </w:rPr>
        <w:t xml:space="preserve"> </w:t>
      </w:r>
      <w:r w:rsidRPr="00B16E20">
        <w:rPr>
          <w:rFonts w:ascii="Arial" w:eastAsiaTheme="minorHAnsi" w:hAnsi="Arial" w:cs="Arial"/>
          <w:b/>
          <w:bCs/>
          <w:color w:val="0070C0"/>
          <w:sz w:val="22"/>
        </w:rPr>
        <w:t>1800 800 588</w:t>
      </w:r>
      <w:r w:rsidRPr="00B16E20">
        <w:rPr>
          <w:rFonts w:ascii="Arial" w:eastAsiaTheme="minorHAnsi" w:hAnsi="Arial" w:cs="Arial"/>
          <w:b/>
          <w:bCs/>
          <w:color w:val="000000"/>
          <w:sz w:val="22"/>
        </w:rPr>
        <w:t xml:space="preserve">. </w:t>
      </w:r>
      <w:r w:rsidRPr="0000085C">
        <w:t>This is a free call.</w:t>
      </w:r>
      <w:r w:rsidRPr="00F948AA">
        <w:rPr>
          <w:rFonts w:ascii="Arial" w:eastAsiaTheme="minorHAnsi" w:hAnsi="Arial" w:cs="Arial"/>
          <w:color w:val="000000"/>
          <w:sz w:val="22"/>
        </w:rPr>
        <w:t xml:space="preserve"> </w:t>
      </w:r>
    </w:p>
    <w:p w14:paraId="292EB7CA" w14:textId="77777777" w:rsidR="005C584D" w:rsidRPr="00F948AA" w:rsidRDefault="005C584D" w:rsidP="00E509D2"/>
    <w:p w14:paraId="004D7B95" w14:textId="77777777" w:rsidR="005C584D" w:rsidRPr="0000085C" w:rsidRDefault="005C584D" w:rsidP="00E509D2">
      <w:pPr>
        <w:widowControl/>
        <w:adjustRightInd w:val="0"/>
        <w:spacing w:before="0" w:after="0"/>
      </w:pPr>
      <w:r w:rsidRPr="0000085C">
        <w:t xml:space="preserve">People can also access the Front Door at these Anglicare Tasmania offices between the hours of 9.00 am and 5.00 pm, Monday to Friday: </w:t>
      </w:r>
    </w:p>
    <w:p w14:paraId="378AA346" w14:textId="77777777" w:rsidR="005C584D" w:rsidRPr="00E64A44" w:rsidRDefault="005C584D" w:rsidP="00E509D2">
      <w:pPr>
        <w:pStyle w:val="Bullets"/>
        <w:ind w:hanging="426"/>
      </w:pPr>
      <w:r w:rsidRPr="00E64A44">
        <w:t xml:space="preserve">159 Collins Street, Hobart </w:t>
      </w:r>
    </w:p>
    <w:p w14:paraId="5CA68B59" w14:textId="77777777" w:rsidR="005C584D" w:rsidRPr="00E64A44" w:rsidRDefault="005C584D" w:rsidP="00E509D2">
      <w:pPr>
        <w:pStyle w:val="Bullets"/>
        <w:ind w:hanging="426"/>
      </w:pPr>
      <w:r w:rsidRPr="00E64A44">
        <w:t xml:space="preserve">122 Elizabeth Street, Launceston </w:t>
      </w:r>
    </w:p>
    <w:p w14:paraId="7C3CB22A" w14:textId="77777777" w:rsidR="005C584D" w:rsidRPr="00E64A44" w:rsidRDefault="005C584D" w:rsidP="00E509D2">
      <w:pPr>
        <w:pStyle w:val="Bullets"/>
        <w:ind w:hanging="426"/>
      </w:pPr>
      <w:r w:rsidRPr="00E64A44">
        <w:t xml:space="preserve">31 King Street, Devonport </w:t>
      </w:r>
    </w:p>
    <w:p w14:paraId="3F8BF77C" w14:textId="77777777" w:rsidR="005C584D" w:rsidRPr="00E64A44" w:rsidRDefault="005C584D" w:rsidP="00E509D2">
      <w:pPr>
        <w:pStyle w:val="Bullets"/>
        <w:ind w:hanging="426"/>
      </w:pPr>
      <w:r w:rsidRPr="00E64A44">
        <w:t xml:space="preserve">51 Wilmot Street, Burnie. </w:t>
      </w:r>
    </w:p>
    <w:p w14:paraId="77A21E32" w14:textId="77777777" w:rsidR="005C584D" w:rsidRPr="00E64A44" w:rsidRDefault="005C584D" w:rsidP="00E509D2">
      <w:pPr>
        <w:spacing w:after="360"/>
      </w:pPr>
      <w:r w:rsidRPr="00E64A44">
        <w:t xml:space="preserve">Wyndarra Centre Inc. provides a Front Door service at 43 Smith Street, Smithton. </w:t>
      </w:r>
    </w:p>
    <w:p w14:paraId="216D4F50" w14:textId="77777777" w:rsidR="005C584D" w:rsidRPr="00E64A44"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rPr>
      </w:pPr>
    </w:p>
    <w:p w14:paraId="7988804F" w14:textId="77777777" w:rsidR="005C584D" w:rsidRPr="00E64A44"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rPr>
      </w:pPr>
      <w:r w:rsidRPr="00E64A44">
        <w:rPr>
          <w:rFonts w:ascii="Avenir Next LT Pro" w:eastAsiaTheme="minorHAnsi" w:hAnsi="Avenir Next LT Pro" w:cs="Arial"/>
          <w:b/>
          <w:color w:val="FFFFFF" w:themeColor="background1"/>
          <w:sz w:val="32"/>
          <w:szCs w:val="32"/>
        </w:rPr>
        <w:t>The Housing Connect Front Door does not provide housing</w:t>
      </w:r>
    </w:p>
    <w:p w14:paraId="04AF4526" w14:textId="77777777" w:rsidR="005C584D" w:rsidRPr="00E64A44"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color w:val="FFFFFF" w:themeColor="background1"/>
          <w:sz w:val="32"/>
          <w:szCs w:val="32"/>
        </w:rPr>
      </w:pPr>
    </w:p>
    <w:p w14:paraId="52FC6C64" w14:textId="77777777" w:rsidR="005C584D" w:rsidRPr="00E64A44" w:rsidRDefault="005C584D" w:rsidP="00E509D2">
      <w:pPr>
        <w:widowControl/>
        <w:adjustRightInd w:val="0"/>
        <w:spacing w:before="0" w:after="0"/>
        <w:rPr>
          <w:rFonts w:ascii="Arial" w:eastAsiaTheme="minorHAnsi" w:hAnsi="Arial" w:cs="Arial"/>
          <w:color w:val="000000"/>
          <w:sz w:val="22"/>
        </w:rPr>
      </w:pPr>
    </w:p>
    <w:p w14:paraId="38D70AE6" w14:textId="77777777" w:rsidR="005C584D" w:rsidRPr="00E64A44" w:rsidRDefault="005C584D" w:rsidP="00E509D2">
      <w:r w:rsidRPr="00E64A44">
        <w:t>The Front Door service links people with supports that are suited to their life stage and individual circumstances. Although the Front Door service does not provide housing, it can assist clients to apply for social housing or to secure or maintain a private rental tenancy.</w:t>
      </w:r>
    </w:p>
    <w:p w14:paraId="2CC9F9D7" w14:textId="6B8C0693" w:rsidR="005C584D" w:rsidRPr="00E64A44" w:rsidRDefault="005C584D" w:rsidP="00E509D2">
      <w:r w:rsidRPr="00E64A44">
        <w:t xml:space="preserve">For many people, the Front Door can provide the level of support they need. However, for those who require more intensive and ongoing support, the Front Door connects them with Key Development </w:t>
      </w:r>
      <w:r w:rsidR="00BC4856">
        <w:t>C</w:t>
      </w:r>
      <w:r w:rsidRPr="00E64A44">
        <w:t>oaches in their region.</w:t>
      </w:r>
    </w:p>
    <w:p w14:paraId="5B82703D" w14:textId="77777777" w:rsidR="005C584D" w:rsidRPr="0000085C" w:rsidRDefault="005C584D">
      <w:pPr>
        <w:spacing w:before="0" w:after="0"/>
        <w:rPr>
          <w:rFonts w:ascii="Avenir Next Demi Bold" w:eastAsia="AvenirNextLTPro-Demi" w:hAnsi="Avenir Next Demi Bold" w:cs="AvenirNextLTPro-Demi"/>
          <w:b/>
          <w:bCs/>
          <w:i/>
          <w:color w:val="1598CB"/>
          <w:sz w:val="48"/>
          <w:szCs w:val="48"/>
        </w:rPr>
      </w:pPr>
      <w:r w:rsidRPr="0000085C">
        <w:rPr>
          <w:i/>
        </w:rPr>
        <w:br w:type="page"/>
      </w:r>
    </w:p>
    <w:p w14:paraId="3618CAC6" w14:textId="77777777" w:rsidR="005C584D" w:rsidRPr="00833CA8" w:rsidRDefault="005C584D" w:rsidP="00E509D2">
      <w:pPr>
        <w:pStyle w:val="Heading1"/>
        <w:rPr>
          <w:lang w:val="en-GB"/>
        </w:rPr>
      </w:pPr>
      <w:bookmarkStart w:id="4" w:name="_Toc198823089"/>
      <w:r w:rsidRPr="00833CA8">
        <w:rPr>
          <w:lang w:val="en-GB"/>
        </w:rPr>
        <w:lastRenderedPageBreak/>
        <w:t>Executive summary</w:t>
      </w:r>
      <w:bookmarkEnd w:id="4"/>
    </w:p>
    <w:p w14:paraId="7027D602" w14:textId="7509408F" w:rsidR="005C584D" w:rsidRPr="0000085C" w:rsidRDefault="005C584D" w:rsidP="00E509D2">
      <w:pPr>
        <w:pStyle w:val="BodyText"/>
        <w:widowControl/>
        <w:rPr>
          <w:rFonts w:eastAsia="Times New Roman"/>
        </w:rPr>
      </w:pPr>
      <w:r w:rsidRPr="0000085C">
        <w:rPr>
          <w:rFonts w:eastAsia="Times New Roman"/>
        </w:rPr>
        <w:t>Anglicare Tasmania delivers th</w:t>
      </w:r>
      <w:r w:rsidR="00313862" w:rsidRPr="0000085C">
        <w:rPr>
          <w:rFonts w:eastAsia="Times New Roman"/>
        </w:rPr>
        <w:t>e</w:t>
      </w:r>
      <w:r w:rsidRPr="0000085C">
        <w:rPr>
          <w:rFonts w:eastAsia="Times New Roman"/>
        </w:rPr>
        <w:t xml:space="preserve"> </w:t>
      </w:r>
      <w:r w:rsidR="00313862" w:rsidRPr="0000085C">
        <w:rPr>
          <w:rFonts w:eastAsia="Times New Roman"/>
        </w:rPr>
        <w:t xml:space="preserve">Housing Connect Front Door </w:t>
      </w:r>
      <w:r w:rsidRPr="0000085C">
        <w:rPr>
          <w:rFonts w:eastAsia="Times New Roman"/>
        </w:rPr>
        <w:t xml:space="preserve">service statewide, helping Tasmanians to access the housing supports they need based on their individual circumstances and personal goals. </w:t>
      </w:r>
    </w:p>
    <w:p w14:paraId="434A00E3" w14:textId="0B434D94" w:rsidR="005C584D" w:rsidRPr="0000085C" w:rsidRDefault="00313862" w:rsidP="00E509D2">
      <w:pPr>
        <w:pStyle w:val="BodyText"/>
        <w:widowControl/>
        <w:rPr>
          <w:rFonts w:eastAsia="Times New Roman" w:cs="Calibri"/>
        </w:rPr>
      </w:pPr>
      <w:r w:rsidRPr="0000085C">
        <w:rPr>
          <w:rFonts w:eastAsia="Times New Roman" w:cs="Calibri"/>
        </w:rPr>
        <w:t>In the</w:t>
      </w:r>
      <w:r w:rsidR="005C584D" w:rsidRPr="0000085C">
        <w:rPr>
          <w:rFonts w:eastAsia="Times New Roman" w:cs="Calibri"/>
        </w:rPr>
        <w:t xml:space="preserve"> </w:t>
      </w:r>
      <w:r w:rsidRPr="0000085C">
        <w:rPr>
          <w:rFonts w:eastAsia="Times New Roman" w:cs="Calibri"/>
        </w:rPr>
        <w:t>March 2025 quarter (1 January to 31 March 2025</w:t>
      </w:r>
      <w:r w:rsidR="005C584D" w:rsidRPr="0000085C">
        <w:rPr>
          <w:rFonts w:eastAsia="Times New Roman" w:cs="Calibri"/>
        </w:rPr>
        <w:t>), the statewide Front Door service has:</w:t>
      </w:r>
    </w:p>
    <w:p w14:paraId="0910EF8B" w14:textId="00BFB934" w:rsidR="005C584D" w:rsidRPr="0000085C" w:rsidRDefault="005C584D" w:rsidP="00ED4092">
      <w:pPr>
        <w:pStyle w:val="ListParagraph"/>
      </w:pPr>
      <w:r w:rsidRPr="0000085C">
        <w:t>responded to 1</w:t>
      </w:r>
      <w:r w:rsidR="001139D4" w:rsidRPr="0000085C">
        <w:t>3,215</w:t>
      </w:r>
      <w:r w:rsidRPr="0000085C">
        <w:t xml:space="preserve"> enquiries from Tasmanians seeking housing support (</w:t>
      </w:r>
      <w:r w:rsidR="002364BA">
        <w:t xml:space="preserve">up </w:t>
      </w:r>
      <w:r w:rsidR="001139D4" w:rsidRPr="0000085C">
        <w:t>23</w:t>
      </w:r>
      <w:r w:rsidRPr="0000085C">
        <w:t>%)</w:t>
      </w:r>
    </w:p>
    <w:p w14:paraId="69C24A43" w14:textId="61946B8A" w:rsidR="005C584D" w:rsidRPr="0000085C" w:rsidRDefault="005C584D" w:rsidP="00ED4092">
      <w:pPr>
        <w:pStyle w:val="ListParagraph"/>
      </w:pPr>
      <w:r w:rsidRPr="0000085C">
        <w:t xml:space="preserve">assisted people to make </w:t>
      </w:r>
      <w:r w:rsidR="00CB1B54" w:rsidRPr="0000085C">
        <w:t>1,3</w:t>
      </w:r>
      <w:r w:rsidR="008D66B8">
        <w:t>46</w:t>
      </w:r>
      <w:r w:rsidRPr="0000085C">
        <w:t xml:space="preserve"> new social housing applications (</w:t>
      </w:r>
      <w:r w:rsidR="002364BA">
        <w:t xml:space="preserve"> up </w:t>
      </w:r>
      <w:r w:rsidR="00CB1B54" w:rsidRPr="0000085C">
        <w:t>8%)</w:t>
      </w:r>
    </w:p>
    <w:p w14:paraId="5DA7D0F8" w14:textId="64A2B3D3" w:rsidR="005C584D" w:rsidRPr="0000085C" w:rsidRDefault="005C584D" w:rsidP="00ED4092">
      <w:pPr>
        <w:pStyle w:val="ListParagraph"/>
      </w:pPr>
      <w:r w:rsidRPr="0000085C">
        <w:t>provided 1,</w:t>
      </w:r>
      <w:r w:rsidR="001139D4" w:rsidRPr="0000085C">
        <w:t>423</w:t>
      </w:r>
      <w:r w:rsidRPr="0000085C">
        <w:t xml:space="preserve"> periods of support to 1,</w:t>
      </w:r>
      <w:r w:rsidR="001139D4" w:rsidRPr="0000085C">
        <w:t>361</w:t>
      </w:r>
      <w:r w:rsidRPr="0000085C">
        <w:t xml:space="preserve"> people or families (</w:t>
      </w:r>
      <w:r w:rsidR="00A35776" w:rsidRPr="0000085C">
        <w:t xml:space="preserve">support periods </w:t>
      </w:r>
      <w:r w:rsidR="002364BA">
        <w:t xml:space="preserve">up </w:t>
      </w:r>
      <w:r w:rsidR="001139D4" w:rsidRPr="0000085C">
        <w:t>10</w:t>
      </w:r>
      <w:r w:rsidRPr="0000085C">
        <w:t>%)</w:t>
      </w:r>
    </w:p>
    <w:p w14:paraId="181F27B3" w14:textId="27C3DEF1" w:rsidR="005C584D" w:rsidRPr="0000085C" w:rsidRDefault="005C584D" w:rsidP="00ED4092">
      <w:pPr>
        <w:pStyle w:val="ListParagraph"/>
      </w:pPr>
      <w:r w:rsidRPr="0000085C">
        <w:t>provided over $13</w:t>
      </w:r>
      <w:r w:rsidR="001139D4" w:rsidRPr="0000085C">
        <w:t>9</w:t>
      </w:r>
      <w:r w:rsidRPr="0000085C">
        <w:t>,000 in financial assistance to:</w:t>
      </w:r>
    </w:p>
    <w:p w14:paraId="7E42C162" w14:textId="77777777" w:rsidR="005C584D" w:rsidRPr="0000085C" w:rsidRDefault="005C584D" w:rsidP="00ED4092">
      <w:pPr>
        <w:pStyle w:val="ListParagraph"/>
      </w:pPr>
      <w:r w:rsidRPr="0000085C">
        <w:t xml:space="preserve">fund emergency accommodation </w:t>
      </w:r>
    </w:p>
    <w:p w14:paraId="6201D81E" w14:textId="77777777" w:rsidR="005C584D" w:rsidRPr="0000085C" w:rsidRDefault="005C584D" w:rsidP="00ED4092">
      <w:pPr>
        <w:pStyle w:val="ListParagraph"/>
      </w:pPr>
      <w:r w:rsidRPr="0000085C">
        <w:t>help people to establish or maintain a tenancy</w:t>
      </w:r>
    </w:p>
    <w:p w14:paraId="7BCCD920" w14:textId="77777777" w:rsidR="005C584D" w:rsidRPr="0000085C" w:rsidRDefault="005C584D" w:rsidP="00ED4092">
      <w:pPr>
        <w:pStyle w:val="ListParagraph"/>
      </w:pPr>
      <w:r w:rsidRPr="0000085C">
        <w:t>enable people to access training, education or employment</w:t>
      </w:r>
    </w:p>
    <w:p w14:paraId="7CB2A5D8" w14:textId="77777777" w:rsidR="005C584D" w:rsidRPr="0000085C" w:rsidRDefault="005C584D" w:rsidP="00ED4092">
      <w:pPr>
        <w:pStyle w:val="ListParagraph"/>
      </w:pPr>
      <w:r w:rsidRPr="0000085C">
        <w:t>help people access other specialist services.</w:t>
      </w:r>
    </w:p>
    <w:p w14:paraId="53FA5857" w14:textId="7EFEAD8C" w:rsidR="008858D4" w:rsidRPr="0000085C" w:rsidRDefault="008858D4" w:rsidP="008858D4">
      <w:r w:rsidRPr="0000085C">
        <w:t>On virtually every measure, access to housing for Tasmanians, particularly those on low incomes</w:t>
      </w:r>
      <w:r w:rsidR="007B068F">
        <w:t>,</w:t>
      </w:r>
      <w:r w:rsidRPr="0000085C">
        <w:t xml:space="preserve"> </w:t>
      </w:r>
      <w:r w:rsidR="00C20DF3" w:rsidRPr="0000085C">
        <w:t>deteriorated this quarter, including:</w:t>
      </w:r>
    </w:p>
    <w:p w14:paraId="3FF01161" w14:textId="0D7C5C38" w:rsidR="00C20DF3" w:rsidRPr="0000085C" w:rsidRDefault="00C20DF3" w:rsidP="00ED4092">
      <w:pPr>
        <w:pStyle w:val="ListParagraph"/>
      </w:pPr>
      <w:r w:rsidRPr="0000085C">
        <w:t>the number of people seeking housing support increas</w:t>
      </w:r>
      <w:r w:rsidR="00A75648" w:rsidRPr="0000085C">
        <w:t xml:space="preserve">ing </w:t>
      </w:r>
      <w:r w:rsidRPr="0000085C">
        <w:t xml:space="preserve">to </w:t>
      </w:r>
      <w:r w:rsidR="00A75648" w:rsidRPr="0000085C">
        <w:t xml:space="preserve">a record high </w:t>
      </w:r>
      <w:r w:rsidR="00E0562E" w:rsidRPr="00CB736F">
        <w:t>since Housing Connect 2.0 commenced</w:t>
      </w:r>
    </w:p>
    <w:p w14:paraId="1E4555CF" w14:textId="1639974A" w:rsidR="00C20DF3" w:rsidRPr="0000085C" w:rsidRDefault="00C20DF3" w:rsidP="00ED4092">
      <w:pPr>
        <w:pStyle w:val="ListParagraph"/>
      </w:pPr>
      <w:r w:rsidRPr="0000085C">
        <w:t>ongoing record low</w:t>
      </w:r>
      <w:r w:rsidRPr="00CB736F">
        <w:t xml:space="preserve"> </w:t>
      </w:r>
      <w:r w:rsidR="00AD0DDB" w:rsidRPr="0000085C">
        <w:t>rental</w:t>
      </w:r>
      <w:r w:rsidRPr="0000085C">
        <w:t xml:space="preserve"> vacancy rates below 1% in all regions for over 6 months</w:t>
      </w:r>
      <w:r w:rsidR="004E23F9">
        <w:t xml:space="preserve"> </w:t>
      </w:r>
      <w:r w:rsidR="004E23F9" w:rsidRPr="004E23F9">
        <w:t xml:space="preserve">(Homes Tasmania </w:t>
      </w:r>
      <w:r w:rsidR="00497738">
        <w:t>2025</w:t>
      </w:r>
      <w:r w:rsidR="004E23F9" w:rsidRPr="004E23F9">
        <w:t>)</w:t>
      </w:r>
    </w:p>
    <w:p w14:paraId="6B46F4BC" w14:textId="183831C0" w:rsidR="00C20DF3" w:rsidRPr="0000085C" w:rsidRDefault="00C20DF3" w:rsidP="00ED4092">
      <w:pPr>
        <w:pStyle w:val="ListParagraph"/>
      </w:pPr>
      <w:r w:rsidRPr="0000085C">
        <w:t xml:space="preserve">record low rental affordability with </w:t>
      </w:r>
      <w:r w:rsidR="00A75648" w:rsidRPr="0000085C">
        <w:t>median rents rising to a new record high</w:t>
      </w:r>
      <w:r w:rsidR="006E624D">
        <w:t xml:space="preserve"> </w:t>
      </w:r>
      <w:r w:rsidR="006E624D" w:rsidRPr="006E624D">
        <w:t>(TUT 202</w:t>
      </w:r>
      <w:r w:rsidR="00D44545">
        <w:t>5</w:t>
      </w:r>
      <w:r w:rsidR="006E624D" w:rsidRPr="006E624D">
        <w:t>)</w:t>
      </w:r>
    </w:p>
    <w:p w14:paraId="1983BC27" w14:textId="0B54E0F4" w:rsidR="00C20DF3" w:rsidRPr="0000085C" w:rsidRDefault="00C20DF3" w:rsidP="00ED4092">
      <w:pPr>
        <w:pStyle w:val="ListParagraph"/>
      </w:pPr>
      <w:r w:rsidRPr="0000085C">
        <w:t>a</w:t>
      </w:r>
      <w:r w:rsidR="00A75648" w:rsidRPr="0000085C">
        <w:t xml:space="preserve"> 21%</w:t>
      </w:r>
      <w:r w:rsidRPr="0000085C">
        <w:t xml:space="preserve"> increase in employed people seeking housing support</w:t>
      </w:r>
      <w:r w:rsidR="007B068F">
        <w:t>,</w:t>
      </w:r>
      <w:r w:rsidRPr="0000085C">
        <w:t xml:space="preserve"> as a greater share of the population </w:t>
      </w:r>
      <w:r w:rsidR="00907B6E">
        <w:t xml:space="preserve">are </w:t>
      </w:r>
      <w:r w:rsidRPr="0000085C">
        <w:t>experienc</w:t>
      </w:r>
      <w:r w:rsidR="00907B6E">
        <w:t>ing</w:t>
      </w:r>
      <w:r w:rsidRPr="0000085C">
        <w:t xml:space="preserve"> housing stress</w:t>
      </w:r>
    </w:p>
    <w:p w14:paraId="70F1B592" w14:textId="7B40E27F" w:rsidR="009F2C81" w:rsidRPr="0000085C" w:rsidRDefault="00C20DF3" w:rsidP="00ED4092">
      <w:pPr>
        <w:pStyle w:val="ListParagraph"/>
      </w:pPr>
      <w:r w:rsidRPr="0000085C">
        <w:t xml:space="preserve">growth of the housing register to a record </w:t>
      </w:r>
      <w:r w:rsidR="00C7501A">
        <w:t>8</w:t>
      </w:r>
      <w:r w:rsidR="007074FF">
        <w:t>,</w:t>
      </w:r>
      <w:r w:rsidR="00C7501A">
        <w:t xml:space="preserve">723 people in </w:t>
      </w:r>
      <w:r w:rsidRPr="0000085C">
        <w:t>5</w:t>
      </w:r>
      <w:r w:rsidR="007074FF">
        <w:t>,</w:t>
      </w:r>
      <w:r w:rsidRPr="0000085C">
        <w:t>069 households waiting for a secure and affordable home</w:t>
      </w:r>
      <w:r w:rsidR="00F8558A">
        <w:t xml:space="preserve"> </w:t>
      </w:r>
      <w:r w:rsidR="00F8558A" w:rsidRPr="00F8558A">
        <w:t>(</w:t>
      </w:r>
      <w:r w:rsidR="00F11E8F">
        <w:t xml:space="preserve">TasCOSS </w:t>
      </w:r>
      <w:r w:rsidR="00BE07D9">
        <w:t>2025</w:t>
      </w:r>
      <w:r w:rsidR="007B068F">
        <w:t>;</w:t>
      </w:r>
      <w:r w:rsidR="00C7501A">
        <w:t xml:space="preserve"> Homes Tasmania 2025</w:t>
      </w:r>
      <w:r w:rsidR="00F8558A" w:rsidRPr="00F8558A">
        <w:t>)</w:t>
      </w:r>
      <w:r w:rsidR="00F8558A">
        <w:t>.</w:t>
      </w:r>
    </w:p>
    <w:p w14:paraId="369AA3E2" w14:textId="5585DC5F" w:rsidR="00A75648" w:rsidRPr="0000085C" w:rsidRDefault="004E2818" w:rsidP="00A75648">
      <w:pPr>
        <w:rPr>
          <w:b/>
          <w:bCs/>
        </w:rPr>
      </w:pPr>
      <w:r w:rsidRPr="0000085C">
        <w:rPr>
          <w:b/>
          <w:bCs/>
        </w:rPr>
        <w:t xml:space="preserve">The most alarming finding this quarter </w:t>
      </w:r>
      <w:r w:rsidR="00B31CDF" w:rsidRPr="0000085C">
        <w:rPr>
          <w:b/>
          <w:bCs/>
        </w:rPr>
        <w:t>was a 28% increase in domestic and family violence</w:t>
      </w:r>
      <w:r w:rsidR="00465C85">
        <w:rPr>
          <w:b/>
          <w:bCs/>
        </w:rPr>
        <w:t xml:space="preserve"> as the main reason for seeking housing support</w:t>
      </w:r>
      <w:r w:rsidR="00B31CDF" w:rsidRPr="0000085C">
        <w:rPr>
          <w:b/>
          <w:bCs/>
        </w:rPr>
        <w:t>.</w:t>
      </w:r>
    </w:p>
    <w:p w14:paraId="34CD087D" w14:textId="0BE3A47D" w:rsidR="008858D4" w:rsidRPr="0000085C" w:rsidRDefault="008858D4" w:rsidP="004E2818">
      <w:r w:rsidRPr="0000085C">
        <w:t xml:space="preserve">Families escaping domestic violence need a pathway to safety. This requires a housing system that can provide suitable crisis and emergency accommodation, transitional medium-term accommodation and long-term housing security. </w:t>
      </w:r>
    </w:p>
    <w:p w14:paraId="1A0C71AC" w14:textId="247A7FC1" w:rsidR="008858D4" w:rsidRPr="0000085C" w:rsidRDefault="008858D4" w:rsidP="008858D4">
      <w:r w:rsidRPr="0000085C">
        <w:t xml:space="preserve">Tasmania has a shortage </w:t>
      </w:r>
      <w:r w:rsidR="004E2818" w:rsidRPr="0000085C">
        <w:t xml:space="preserve">of housing </w:t>
      </w:r>
      <w:r w:rsidRPr="0000085C">
        <w:t>at every point along this pathway. Front Door data shows that for housing support periods in the March 2025 quarter:</w:t>
      </w:r>
    </w:p>
    <w:p w14:paraId="6A7181A3" w14:textId="4D2F7F18" w:rsidR="008858D4" w:rsidRPr="0000085C" w:rsidRDefault="008858D4" w:rsidP="00ED4092">
      <w:pPr>
        <w:pStyle w:val="ListParagraph"/>
      </w:pPr>
      <w:r w:rsidRPr="0000085C">
        <w:t xml:space="preserve">50% of client need for crisis &amp; emergency accommodation </w:t>
      </w:r>
      <w:r w:rsidR="0001099B">
        <w:t>was</w:t>
      </w:r>
      <w:r w:rsidRPr="0000085C">
        <w:t xml:space="preserve"> unmet</w:t>
      </w:r>
    </w:p>
    <w:p w14:paraId="1F874639" w14:textId="7D4B39D5" w:rsidR="008858D4" w:rsidRPr="0000085C" w:rsidRDefault="008858D4" w:rsidP="00ED4092">
      <w:pPr>
        <w:pStyle w:val="ListParagraph"/>
      </w:pPr>
      <w:r w:rsidRPr="0000085C">
        <w:t xml:space="preserve">79% of client need for medium-term and transitional accommodation </w:t>
      </w:r>
      <w:r w:rsidR="0001099B">
        <w:t>was</w:t>
      </w:r>
      <w:r w:rsidRPr="0000085C">
        <w:t xml:space="preserve"> unmet</w:t>
      </w:r>
    </w:p>
    <w:p w14:paraId="239DC3CA" w14:textId="74A9CEF4" w:rsidR="008858D4" w:rsidRPr="0000085C" w:rsidRDefault="008858D4" w:rsidP="00ED4092">
      <w:pPr>
        <w:pStyle w:val="ListParagraph"/>
      </w:pPr>
      <w:r w:rsidRPr="0000085C">
        <w:t xml:space="preserve">78% of client need for long-term housing </w:t>
      </w:r>
      <w:r w:rsidR="0001099B">
        <w:t>was</w:t>
      </w:r>
      <w:r w:rsidRPr="0000085C">
        <w:t xml:space="preserve"> unmet</w:t>
      </w:r>
      <w:r w:rsidR="00BB7A9B">
        <w:t>.</w:t>
      </w:r>
    </w:p>
    <w:p w14:paraId="57B8C925" w14:textId="361546F0" w:rsidR="004E2818" w:rsidRPr="0000085C" w:rsidRDefault="00A75648" w:rsidP="00E509D2">
      <w:pPr>
        <w:widowControl/>
        <w:autoSpaceDE/>
        <w:autoSpaceDN/>
        <w:spacing w:after="160" w:line="259" w:lineRule="auto"/>
      </w:pPr>
      <w:r w:rsidRPr="0000085C">
        <w:t>We acknowledge the commitment and the actions that have been taken</w:t>
      </w:r>
      <w:r w:rsidR="00B72341" w:rsidRPr="0000085C">
        <w:t xml:space="preserve"> by State and Federal Governments</w:t>
      </w:r>
      <w:r w:rsidRPr="0000085C">
        <w:t xml:space="preserve">. </w:t>
      </w:r>
      <w:r w:rsidR="00B72341" w:rsidRPr="0000085C">
        <w:t>There has been a</w:t>
      </w:r>
      <w:r w:rsidR="009F2C81" w:rsidRPr="0000085C">
        <w:t xml:space="preserve"> welcome</w:t>
      </w:r>
      <w:r w:rsidR="00B72341" w:rsidRPr="0000085C">
        <w:t xml:space="preserve"> decline in the waiting time for social housing</w:t>
      </w:r>
      <w:r w:rsidR="007F6215">
        <w:t>,</w:t>
      </w:r>
      <w:r w:rsidR="009F2C81" w:rsidRPr="0000085C">
        <w:t xml:space="preserve"> although it is still over </w:t>
      </w:r>
      <w:r w:rsidR="0041576D">
        <w:t>one</w:t>
      </w:r>
      <w:r w:rsidR="009F2C81" w:rsidRPr="0000085C">
        <w:t xml:space="preserve"> and </w:t>
      </w:r>
      <w:r w:rsidR="0041576D">
        <w:t xml:space="preserve">a half </w:t>
      </w:r>
      <w:r w:rsidR="009F2C81" w:rsidRPr="0000085C">
        <w:t>years.</w:t>
      </w:r>
      <w:r w:rsidR="00B72341" w:rsidRPr="0000085C">
        <w:t xml:space="preserve"> </w:t>
      </w:r>
      <w:r w:rsidR="004E2818" w:rsidRPr="0000085C">
        <w:t xml:space="preserve">In spite of this, </w:t>
      </w:r>
      <w:r w:rsidR="00B72341" w:rsidRPr="0000085C">
        <w:t>the</w:t>
      </w:r>
      <w:r w:rsidR="004E2818" w:rsidRPr="0000085C">
        <w:t xml:space="preserve"> number of Tasmanians</w:t>
      </w:r>
      <w:r w:rsidR="00B72341" w:rsidRPr="0000085C">
        <w:t xml:space="preserve"> who cannot access secure, </w:t>
      </w:r>
      <w:r w:rsidR="00B72341" w:rsidRPr="0000085C">
        <w:lastRenderedPageBreak/>
        <w:t xml:space="preserve">affordable housing is growing. If they are escaping domestic and family violence, their lives may be at risk. </w:t>
      </w:r>
    </w:p>
    <w:p w14:paraId="1555FA69" w14:textId="77777777" w:rsidR="00C82B1E" w:rsidRDefault="00D62EED" w:rsidP="00E509D2">
      <w:pPr>
        <w:widowControl/>
        <w:autoSpaceDE/>
        <w:autoSpaceDN/>
        <w:spacing w:after="160" w:line="259" w:lineRule="auto"/>
      </w:pPr>
      <w:r w:rsidRPr="0000085C">
        <w:t>If we want to see a different outcome,</w:t>
      </w:r>
      <w:r w:rsidR="004E2818" w:rsidRPr="0000085C">
        <w:t xml:space="preserve"> State and Federal Governments </w:t>
      </w:r>
      <w:r w:rsidRPr="0000085C">
        <w:t xml:space="preserve">will need </w:t>
      </w:r>
      <w:r w:rsidR="004E2818" w:rsidRPr="0000085C">
        <w:t>to ramp up the priority and scale of their response.</w:t>
      </w:r>
      <w:r w:rsidR="00A75648" w:rsidRPr="0000085C">
        <w:t xml:space="preserve"> </w:t>
      </w:r>
      <w:r w:rsidR="00C82B1E">
        <w:t>Tasmania</w:t>
      </w:r>
      <w:r w:rsidR="00B72341" w:rsidRPr="0000085C">
        <w:t xml:space="preserve"> need</w:t>
      </w:r>
      <w:r w:rsidR="00C82B1E">
        <w:t>s</w:t>
      </w:r>
      <w:r w:rsidR="00B72341" w:rsidRPr="0000085C">
        <w:t xml:space="preserve"> more social </w:t>
      </w:r>
      <w:r w:rsidR="00551B64" w:rsidRPr="0000085C">
        <w:t>housing,</w:t>
      </w:r>
      <w:r w:rsidR="00B72341" w:rsidRPr="0000085C">
        <w:t xml:space="preserve"> and we need it on a scale that addresses the </w:t>
      </w:r>
      <w:r w:rsidRPr="0000085C">
        <w:t xml:space="preserve">needs of </w:t>
      </w:r>
      <w:r w:rsidR="00C82B1E" w:rsidRPr="0000085C">
        <w:t>low-income</w:t>
      </w:r>
      <w:r w:rsidRPr="0000085C">
        <w:t xml:space="preserve"> Tasmanians</w:t>
      </w:r>
      <w:r w:rsidR="00551B64">
        <w:t>.</w:t>
      </w:r>
    </w:p>
    <w:p w14:paraId="3881C3B6" w14:textId="25FD12C6" w:rsidR="00C82B1E" w:rsidRDefault="00C82B1E" w:rsidP="00465C85">
      <w:pPr>
        <w:pStyle w:val="Heading2"/>
      </w:pPr>
      <w:bookmarkStart w:id="5" w:name="_Toc198823090"/>
      <w:r>
        <w:t>Recommendations</w:t>
      </w:r>
      <w:bookmarkEnd w:id="5"/>
    </w:p>
    <w:p w14:paraId="64CDC641" w14:textId="3175553C" w:rsidR="00655645" w:rsidRPr="00551B64" w:rsidRDefault="00655645" w:rsidP="00C82B1E">
      <w:pPr>
        <w:widowControl/>
        <w:autoSpaceDE/>
        <w:autoSpaceDN/>
        <w:spacing w:after="160" w:line="259" w:lineRule="auto"/>
        <w:rPr>
          <w:i/>
          <w:iCs/>
        </w:rPr>
      </w:pPr>
      <w:r>
        <w:t xml:space="preserve">Housing Connect client data </w:t>
      </w:r>
      <w:r w:rsidR="00465C85">
        <w:t xml:space="preserve">for the March 2025 quarter </w:t>
      </w:r>
      <w:r>
        <w:t>show</w:t>
      </w:r>
      <w:r w:rsidR="003C25C1">
        <w:t>s</w:t>
      </w:r>
      <w:r>
        <w:t xml:space="preserve"> that barriers to addressing domestic and family violence in North West Tasmania are ongoing. Anglicare reiterates with greater urgency the recommendations provided in </w:t>
      </w:r>
      <w:hyperlink r:id="rId13" w:history="1">
        <w:r w:rsidRPr="00C706FF">
          <w:rPr>
            <w:rStyle w:val="Hyperlink"/>
            <w:rFonts w:ascii="Avenir Next" w:hAnsi="Avenir Next"/>
            <w:i/>
            <w:iCs/>
          </w:rPr>
          <w:t>Unsafe and Unhoused</w:t>
        </w:r>
      </w:hyperlink>
      <w:r w:rsidR="00E75C97">
        <w:t xml:space="preserve"> (</w:t>
      </w:r>
      <w:r w:rsidR="0037332A">
        <w:t>Toombs</w:t>
      </w:r>
      <w:r w:rsidR="00E75C97">
        <w:t xml:space="preserve"> 2024).</w:t>
      </w:r>
    </w:p>
    <w:p w14:paraId="0619AFB8" w14:textId="19733561" w:rsidR="00EC3043" w:rsidRPr="00551B64" w:rsidRDefault="00EC3043" w:rsidP="00EC3043">
      <w:pPr>
        <w:pStyle w:val="BodyText"/>
      </w:pPr>
      <w:r w:rsidRPr="00551B64">
        <w:t>Anglicare Tasmania recommends that the Tasmanian Government:</w:t>
      </w:r>
    </w:p>
    <w:p w14:paraId="1BEC1758" w14:textId="5025E1D0" w:rsidR="00501097" w:rsidRPr="0007540E" w:rsidRDefault="00501097" w:rsidP="00ED4092">
      <w:pPr>
        <w:pStyle w:val="ListParagraph"/>
        <w:numPr>
          <w:ilvl w:val="0"/>
          <w:numId w:val="2"/>
        </w:numPr>
      </w:pPr>
      <w:r>
        <w:t>F</w:t>
      </w:r>
      <w:r w:rsidRPr="0007540E">
        <w:t>und</w:t>
      </w:r>
      <w:r w:rsidR="00744F28">
        <w:t>s</w:t>
      </w:r>
      <w:r w:rsidRPr="0007540E">
        <w:t xml:space="preserve"> </w:t>
      </w:r>
      <w:r>
        <w:t>delivery of</w:t>
      </w:r>
      <w:r w:rsidRPr="0007540E">
        <w:t xml:space="preserve"> more crisis accommodation, transitional housing and social homes </w:t>
      </w:r>
      <w:r w:rsidR="00744F28">
        <w:t xml:space="preserve">for domestic and family violence victim-survivors, </w:t>
      </w:r>
      <w:r w:rsidRPr="004A070C">
        <w:t>including:</w:t>
      </w:r>
    </w:p>
    <w:p w14:paraId="4B484BA2" w14:textId="438A559F" w:rsidR="00501097" w:rsidRPr="0007540E" w:rsidRDefault="00501097" w:rsidP="00ED4092">
      <w:pPr>
        <w:pStyle w:val="ListParagraph"/>
        <w:numPr>
          <w:ilvl w:val="1"/>
          <w:numId w:val="2"/>
        </w:numPr>
        <w:rPr>
          <w:lang w:val="en-US"/>
        </w:rPr>
      </w:pPr>
      <w:r w:rsidRPr="0007540E">
        <w:rPr>
          <w:lang w:val="en-US"/>
        </w:rPr>
        <w:t xml:space="preserve">increasing crisis accommodation </w:t>
      </w:r>
      <w:r w:rsidRPr="0007540E">
        <w:rPr>
          <w:b/>
          <w:lang w:val="en-US"/>
        </w:rPr>
        <w:t>that is safe and suitable</w:t>
      </w:r>
      <w:r w:rsidRPr="0007540E">
        <w:rPr>
          <w:lang w:val="en-US"/>
        </w:rPr>
        <w:t xml:space="preserve"> for women and children fleeing </w:t>
      </w:r>
      <w:r w:rsidR="00744F28">
        <w:rPr>
          <w:lang w:val="en-US"/>
        </w:rPr>
        <w:t>DFV</w:t>
      </w:r>
      <w:r w:rsidRPr="0007540E">
        <w:rPr>
          <w:lang w:val="en-US"/>
        </w:rPr>
        <w:t xml:space="preserve"> to meet demand, based on the regional prevalence of </w:t>
      </w:r>
      <w:r w:rsidR="00744F28">
        <w:rPr>
          <w:lang w:val="en-US"/>
        </w:rPr>
        <w:t>DFV</w:t>
      </w:r>
    </w:p>
    <w:p w14:paraId="67A61BEA" w14:textId="3E476BBA" w:rsidR="00501097" w:rsidRPr="00501097" w:rsidRDefault="00501097" w:rsidP="00ED4092">
      <w:pPr>
        <w:pStyle w:val="ListParagraph"/>
        <w:numPr>
          <w:ilvl w:val="1"/>
          <w:numId w:val="2"/>
        </w:numPr>
        <w:rPr>
          <w:lang w:val="en-US"/>
        </w:rPr>
      </w:pPr>
      <w:r>
        <w:rPr>
          <w:lang w:val="en-US"/>
        </w:rPr>
        <w:t xml:space="preserve">increasing the number of </w:t>
      </w:r>
      <w:r w:rsidRPr="0007540E">
        <w:rPr>
          <w:lang w:val="en-US"/>
        </w:rPr>
        <w:t xml:space="preserve">homes </w:t>
      </w:r>
      <w:r>
        <w:rPr>
          <w:lang w:val="en-US"/>
        </w:rPr>
        <w:t>available</w:t>
      </w:r>
      <w:r w:rsidRPr="0007540E">
        <w:rPr>
          <w:lang w:val="en-US"/>
        </w:rPr>
        <w:t xml:space="preserve"> under the Rapid Rehousing program </w:t>
      </w:r>
      <w:r>
        <w:rPr>
          <w:lang w:val="en-US"/>
        </w:rPr>
        <w:t>and ensuring that they are</w:t>
      </w:r>
      <w:r w:rsidRPr="0007540E">
        <w:rPr>
          <w:lang w:val="en-US"/>
        </w:rPr>
        <w:t xml:space="preserve"> safe and suitable for the needs of victim-survivors</w:t>
      </w:r>
      <w:r>
        <w:rPr>
          <w:lang w:val="en-US"/>
        </w:rPr>
        <w:t>.</w:t>
      </w:r>
    </w:p>
    <w:p w14:paraId="2276D3B4" w14:textId="2D0388D5" w:rsidR="00EC3043" w:rsidRPr="00551B64" w:rsidRDefault="00EC3043" w:rsidP="00EC3043">
      <w:pPr>
        <w:pStyle w:val="BodyText"/>
        <w:numPr>
          <w:ilvl w:val="0"/>
          <w:numId w:val="2"/>
        </w:numPr>
      </w:pPr>
      <w:r w:rsidRPr="00551B64">
        <w:rPr>
          <w:b/>
        </w:rPr>
        <w:t xml:space="preserve">Works with the Australian Government to </w:t>
      </w:r>
      <w:r w:rsidR="00EA65EB" w:rsidRPr="00551B64">
        <w:rPr>
          <w:b/>
        </w:rPr>
        <w:t>scale up</w:t>
      </w:r>
      <w:r w:rsidRPr="00551B64">
        <w:rPr>
          <w:b/>
        </w:rPr>
        <w:t xml:space="preserve"> investment in long-term social housing</w:t>
      </w:r>
      <w:r w:rsidR="00744F28">
        <w:rPr>
          <w:b/>
        </w:rPr>
        <w:t>.</w:t>
      </w:r>
      <w:r w:rsidR="00EA65EB" w:rsidRPr="00551B64">
        <w:rPr>
          <w:b/>
        </w:rPr>
        <w:t xml:space="preserve"> </w:t>
      </w:r>
    </w:p>
    <w:p w14:paraId="43A45A29" w14:textId="77777777" w:rsidR="00EC3043" w:rsidRPr="00551B64" w:rsidRDefault="00EC3043" w:rsidP="00EC3043">
      <w:pPr>
        <w:pStyle w:val="BodyText"/>
        <w:numPr>
          <w:ilvl w:val="0"/>
          <w:numId w:val="2"/>
        </w:numPr>
      </w:pPr>
      <w:r w:rsidRPr="00551B64">
        <w:rPr>
          <w:b/>
        </w:rPr>
        <w:t>Commits to reducing the harmful impacts of waiting for social housing</w:t>
      </w:r>
      <w:r w:rsidRPr="00551B64">
        <w:t xml:space="preserve"> </w:t>
      </w:r>
    </w:p>
    <w:p w14:paraId="1323B276" w14:textId="77777777" w:rsidR="00EC3043" w:rsidRPr="00551B64" w:rsidRDefault="00EC3043" w:rsidP="00EC3043">
      <w:pPr>
        <w:pStyle w:val="BodyText"/>
        <w:ind w:left="720"/>
      </w:pPr>
      <w:r w:rsidRPr="00551B64">
        <w:t>by:</w:t>
      </w:r>
    </w:p>
    <w:p w14:paraId="5B820AFE" w14:textId="1E2DD2F9" w:rsidR="00EC3043" w:rsidRPr="00551B64" w:rsidRDefault="00EC3043" w:rsidP="00EC3043">
      <w:pPr>
        <w:pStyle w:val="BodyText"/>
        <w:numPr>
          <w:ilvl w:val="1"/>
          <w:numId w:val="2"/>
        </w:numPr>
      </w:pPr>
      <w:r w:rsidRPr="00551B64">
        <w:t>establishing targets for reducing the number of applicants on the social housing register and average waiting times for applicants in the next housing action plan</w:t>
      </w:r>
      <w:r w:rsidR="00DA413E" w:rsidRPr="00551B64">
        <w:t>,</w:t>
      </w:r>
      <w:r w:rsidRPr="00551B64">
        <w:t xml:space="preserve"> in consultation with stakeholders</w:t>
      </w:r>
    </w:p>
    <w:p w14:paraId="26EC9FF8" w14:textId="77777777" w:rsidR="00EC3043" w:rsidRPr="00551B64" w:rsidRDefault="00EC3043" w:rsidP="00EC3043">
      <w:pPr>
        <w:pStyle w:val="BodyText"/>
        <w:numPr>
          <w:ilvl w:val="1"/>
          <w:numId w:val="2"/>
        </w:numPr>
      </w:pPr>
      <w:r w:rsidRPr="00551B64">
        <w:t>developing a process for providing applicants with realistic estimates of waiting times and the progress of their application.</w:t>
      </w:r>
    </w:p>
    <w:p w14:paraId="5EC1C3EF" w14:textId="77777777" w:rsidR="00EC3043" w:rsidRPr="00551B64" w:rsidRDefault="00EC3043" w:rsidP="00EC3043">
      <w:pPr>
        <w:pStyle w:val="BodyText"/>
        <w:numPr>
          <w:ilvl w:val="0"/>
          <w:numId w:val="2"/>
        </w:numPr>
      </w:pPr>
      <w:r w:rsidRPr="00551B64">
        <w:rPr>
          <w:b/>
        </w:rPr>
        <w:t>Improves reporting and measurement</w:t>
      </w:r>
      <w:r w:rsidRPr="00551B64">
        <w:t xml:space="preserve"> </w:t>
      </w:r>
      <w:r w:rsidRPr="00551B64">
        <w:rPr>
          <w:b/>
        </w:rPr>
        <w:t xml:space="preserve">of progress against the Tasmanian Housing Strategy </w:t>
      </w:r>
    </w:p>
    <w:p w14:paraId="4A8695AB" w14:textId="77777777" w:rsidR="00EC3043" w:rsidRPr="00551B64" w:rsidRDefault="00EC3043" w:rsidP="00EC3043">
      <w:pPr>
        <w:pStyle w:val="BodyText"/>
        <w:ind w:left="720"/>
      </w:pPr>
      <w:r w:rsidRPr="00551B64">
        <w:t>by:</w:t>
      </w:r>
    </w:p>
    <w:p w14:paraId="2828A5E7" w14:textId="694F2B78" w:rsidR="00EC3043" w:rsidRPr="00551B64" w:rsidRDefault="00EC3043" w:rsidP="00EC3043">
      <w:pPr>
        <w:pStyle w:val="BodyText"/>
        <w:numPr>
          <w:ilvl w:val="1"/>
          <w:numId w:val="2"/>
        </w:numPr>
      </w:pPr>
      <w:r w:rsidRPr="00551B64">
        <w:t>clearly reporting how many of the 10,000 houses delivered by Homes Tasmania under the Action Plan are new dwellings which have been completed</w:t>
      </w:r>
    </w:p>
    <w:p w14:paraId="3A714E28" w14:textId="77777777" w:rsidR="00EC3043" w:rsidRPr="00551B64" w:rsidRDefault="00EC3043" w:rsidP="00EC3043">
      <w:pPr>
        <w:pStyle w:val="BodyText"/>
        <w:numPr>
          <w:ilvl w:val="1"/>
          <w:numId w:val="2"/>
        </w:numPr>
      </w:pPr>
      <w:r w:rsidRPr="00551B64">
        <w:t xml:space="preserve">clearly reporting how many of the 10,000 houses delivered by Homes Tasmania under the Action Plan were affordable for people in the bottom two incomes quintiles. </w:t>
      </w:r>
    </w:p>
    <w:p w14:paraId="644E792A" w14:textId="4D5D0F1D" w:rsidR="005C584D" w:rsidRPr="00551B64" w:rsidRDefault="005C584D" w:rsidP="009F2C81">
      <w:pPr>
        <w:pStyle w:val="BodyText"/>
        <w:numPr>
          <w:ilvl w:val="0"/>
          <w:numId w:val="2"/>
        </w:numPr>
      </w:pPr>
      <w:r w:rsidRPr="00551B64">
        <w:br w:type="page"/>
      </w:r>
    </w:p>
    <w:p w14:paraId="318B2869" w14:textId="77777777" w:rsidR="005C584D" w:rsidRPr="005768F0" w:rsidRDefault="005C584D" w:rsidP="00E509D2">
      <w:pPr>
        <w:pStyle w:val="Heading1"/>
        <w:rPr>
          <w:lang w:val="en-GB"/>
        </w:rPr>
      </w:pPr>
      <w:bookmarkStart w:id="6" w:name="_Hlk178520408"/>
      <w:bookmarkStart w:id="7" w:name="_Toc198823091"/>
      <w:r w:rsidRPr="005768F0">
        <w:rPr>
          <w:lang w:val="en-GB"/>
        </w:rPr>
        <w:lastRenderedPageBreak/>
        <w:t>Front Door service in Housing Connect 2.0</w:t>
      </w:r>
      <w:bookmarkEnd w:id="7"/>
    </w:p>
    <w:p w14:paraId="429A0A0E" w14:textId="77777777" w:rsidR="005C584D" w:rsidRPr="0000085C" w:rsidRDefault="005C584D" w:rsidP="00E509D2">
      <w:pPr>
        <w:pStyle w:val="IntenseQuote"/>
        <w:spacing w:after="0"/>
      </w:pPr>
      <w:r w:rsidRPr="0000085C">
        <w:t>Under Housing Connect 2.0, Tasmanians will get better access to housing assistance and help to develop strong connections to family and community and build their capabilities for independent living</w:t>
      </w:r>
    </w:p>
    <w:p w14:paraId="2A80809F" w14:textId="00A0DD7E" w:rsidR="005C584D" w:rsidRPr="0000085C" w:rsidRDefault="005C584D" w:rsidP="00B13A38">
      <w:pPr>
        <w:pStyle w:val="IntenseQuote"/>
        <w:numPr>
          <w:ilvl w:val="0"/>
          <w:numId w:val="4"/>
        </w:numPr>
        <w:spacing w:before="0"/>
      </w:pPr>
      <w:r w:rsidRPr="0000085C">
        <w:rPr>
          <w:i w:val="0"/>
          <w:iCs w:val="0"/>
        </w:rPr>
        <w:t>Housing Connect Practice Framework</w:t>
      </w:r>
      <w:r w:rsidRPr="0000085C">
        <w:t xml:space="preserve"> </w:t>
      </w:r>
      <w:r w:rsidRPr="005768F0">
        <w:rPr>
          <w:i w:val="0"/>
          <w:iCs w:val="0"/>
        </w:rPr>
        <w:t>(Homes Tasmania 2024)</w:t>
      </w:r>
    </w:p>
    <w:p w14:paraId="1ED31CD2" w14:textId="77777777" w:rsidR="005C584D" w:rsidRPr="0000085C" w:rsidRDefault="005C584D" w:rsidP="00E509D2">
      <w:pPr>
        <w:pStyle w:val="BodyText"/>
      </w:pPr>
      <w:r w:rsidRPr="0000085C">
        <w:t>The statewide Front Door service is part of the Housing Connect 2.0 model being implemented and overseen by Homes Tasmania to deliver on the Tasmanian Housing Strategy. The Front Door staff have been trained in Advantaged Thinking, an approach designed to deliver person-centred, trauma</w:t>
      </w:r>
      <w:r w:rsidRPr="0000085C">
        <w:noBreakHyphen/>
        <w:t>informed and evidence</w:t>
      </w:r>
      <w:r w:rsidRPr="0000085C">
        <w:noBreakHyphen/>
        <w:t>based support.</w:t>
      </w:r>
    </w:p>
    <w:p w14:paraId="24055B97" w14:textId="77777777" w:rsidR="005C584D" w:rsidRPr="0000085C" w:rsidRDefault="005C584D" w:rsidP="00E509D2">
      <w:pPr>
        <w:pStyle w:val="BodyText"/>
      </w:pPr>
      <w:r w:rsidRPr="0000085C">
        <w:t>The functions of the Housing Connect Front Door are:</w:t>
      </w:r>
    </w:p>
    <w:p w14:paraId="7C976547" w14:textId="77777777" w:rsidR="005C584D" w:rsidRPr="0000085C" w:rsidRDefault="005C584D" w:rsidP="00ED4092">
      <w:pPr>
        <w:pStyle w:val="ListParagraph"/>
      </w:pPr>
      <w:r w:rsidRPr="0000085C">
        <w:t>assessment of each person’s situation and needs to ensure a tailored response</w:t>
      </w:r>
    </w:p>
    <w:p w14:paraId="57154230" w14:textId="77777777" w:rsidR="005C584D" w:rsidRPr="0000085C" w:rsidRDefault="005C584D" w:rsidP="00ED4092">
      <w:pPr>
        <w:pStyle w:val="ListParagraph"/>
      </w:pPr>
      <w:r w:rsidRPr="0000085C">
        <w:t>provision of targeted housing and homelessness information, products and services, and related coaching and support (for people who need only a limited period of support)</w:t>
      </w:r>
    </w:p>
    <w:p w14:paraId="65990CC4" w14:textId="77777777" w:rsidR="005C584D" w:rsidRPr="0000085C" w:rsidRDefault="005C584D" w:rsidP="00ED4092">
      <w:pPr>
        <w:pStyle w:val="ListParagraph"/>
      </w:pPr>
      <w:r w:rsidRPr="0000085C">
        <w:t xml:space="preserve">connecting or referring people to service system and community supports </w:t>
      </w:r>
    </w:p>
    <w:p w14:paraId="3B8BB988" w14:textId="77777777" w:rsidR="005C584D" w:rsidRPr="0000085C" w:rsidRDefault="005C584D" w:rsidP="00ED4092">
      <w:pPr>
        <w:pStyle w:val="ListParagraph"/>
      </w:pPr>
      <w:r w:rsidRPr="0000085C">
        <w:t>crisis response, including access to flexible funds for reasonable and necessary support (urgent need response)</w:t>
      </w:r>
    </w:p>
    <w:p w14:paraId="7A5979AF" w14:textId="31AB22C1" w:rsidR="005C584D" w:rsidRPr="0000085C" w:rsidRDefault="005C584D" w:rsidP="00ED4092">
      <w:pPr>
        <w:pStyle w:val="ListParagraph"/>
      </w:pPr>
      <w:r w:rsidRPr="0000085C">
        <w:t xml:space="preserve">housing application support </w:t>
      </w:r>
      <w:r w:rsidRPr="005768F0">
        <w:t>(Homes Tasmania 2024)</w:t>
      </w:r>
      <w:r w:rsidRPr="0000085C">
        <w:t>.</w:t>
      </w:r>
    </w:p>
    <w:p w14:paraId="559E2243" w14:textId="05C11AB7" w:rsidR="005C584D" w:rsidRPr="0000085C" w:rsidRDefault="005C584D" w:rsidP="00E509D2">
      <w:r w:rsidRPr="0000085C">
        <w:t>The Housing Connect Front Door is just one part of the Tasmanian Housing Connect system. The Front Door links to Housing Connect partners who are responsible for delivering services to clients (e</w:t>
      </w:r>
      <w:r w:rsidR="002002EA">
        <w:t>.</w:t>
      </w:r>
      <w:r w:rsidRPr="0000085C">
        <w:t>g. mental health services), providing longer term (level 3) support, managing the social housing register, allocating social housing, funding social housing supply, and building and leasing homes.</w:t>
      </w:r>
    </w:p>
    <w:p w14:paraId="2E954F90" w14:textId="1F18059A" w:rsidR="005C584D" w:rsidRPr="0000085C" w:rsidRDefault="005C584D" w:rsidP="00E509D2">
      <w:r w:rsidRPr="0000085C">
        <w:t xml:space="preserve">You can read more about how the Housing Connect Front Door operates within the Housing Connect framework in </w:t>
      </w:r>
      <w:hyperlink r:id="rId14" w:history="1">
        <w:r w:rsidRPr="0000085C">
          <w:rPr>
            <w:rStyle w:val="Hyperlink"/>
          </w:rPr>
          <w:t>More Houses Needed</w:t>
        </w:r>
      </w:hyperlink>
      <w:r w:rsidRPr="0000085C">
        <w:t xml:space="preserve"> </w:t>
      </w:r>
      <w:r w:rsidRPr="005768F0">
        <w:t>(Anglicare Tasmania 2024)</w:t>
      </w:r>
      <w:r w:rsidRPr="0000085C">
        <w:t>.</w:t>
      </w:r>
    </w:p>
    <w:p w14:paraId="311A1E61" w14:textId="77777777" w:rsidR="005C584D" w:rsidRPr="0000085C" w:rsidRDefault="005C584D">
      <w:pPr>
        <w:spacing w:before="0" w:after="0"/>
        <w:rPr>
          <w:iCs/>
        </w:rPr>
      </w:pPr>
      <w:r w:rsidRPr="0000085C">
        <w:rPr>
          <w:iCs/>
        </w:rPr>
        <w:br w:type="page"/>
      </w:r>
    </w:p>
    <w:p w14:paraId="520C4BA0" w14:textId="24C6CF6A" w:rsidR="005C584D" w:rsidRPr="005768F0" w:rsidRDefault="005C584D" w:rsidP="006C5DFF">
      <w:pPr>
        <w:pStyle w:val="Heading1"/>
        <w:rPr>
          <w:lang w:val="en-GB"/>
        </w:rPr>
      </w:pPr>
      <w:bookmarkStart w:id="8" w:name="_Toc198823092"/>
      <w:r w:rsidRPr="005768F0">
        <w:rPr>
          <w:lang w:val="en-GB"/>
        </w:rPr>
        <w:lastRenderedPageBreak/>
        <w:t xml:space="preserve">Housing system indicators </w:t>
      </w:r>
      <w:r w:rsidR="00313862" w:rsidRPr="005768F0">
        <w:rPr>
          <w:lang w:val="en-GB"/>
        </w:rPr>
        <w:t>January to March 2025</w:t>
      </w:r>
      <w:bookmarkEnd w:id="8"/>
    </w:p>
    <w:p w14:paraId="3CBE118A" w14:textId="77777777" w:rsidR="005C584D" w:rsidRPr="0000085C" w:rsidRDefault="005C584D" w:rsidP="006C5DFF">
      <w:pPr>
        <w:pStyle w:val="Heading2"/>
      </w:pPr>
      <w:bookmarkStart w:id="9" w:name="_Toc198823093"/>
      <w:r w:rsidRPr="0000085C">
        <w:t>Residential vacancy rate</w:t>
      </w:r>
      <w:bookmarkEnd w:id="9"/>
      <w:r w:rsidRPr="0000085C">
        <w:t xml:space="preserve"> </w:t>
      </w:r>
    </w:p>
    <w:p w14:paraId="62B3C1DC" w14:textId="77777777" w:rsidR="005C584D" w:rsidRPr="0000085C" w:rsidRDefault="005C584D" w:rsidP="00E509D2">
      <w:pPr>
        <w:pStyle w:val="IntenseQuote"/>
        <w:spacing w:after="0"/>
      </w:pPr>
      <w:r w:rsidRPr="0000085C">
        <w:t>A sustainable vacancy rate of around 3 per cent in the private rental market will help to stabilise rents and ultimately reduce pressure on household budgets</w:t>
      </w:r>
    </w:p>
    <w:p w14:paraId="2520EFE3" w14:textId="77777777" w:rsidR="005C584D" w:rsidRPr="0000085C" w:rsidRDefault="005C584D" w:rsidP="00E509D2">
      <w:pPr>
        <w:pStyle w:val="IntenseQuote"/>
        <w:spacing w:before="0"/>
        <w:rPr>
          <w:i w:val="0"/>
          <w:iCs w:val="0"/>
        </w:rPr>
      </w:pPr>
      <w:r w:rsidRPr="0000085C">
        <w:rPr>
          <w:rFonts w:ascii="Calibri" w:hAnsi="Calibri" w:cs="Calibri"/>
          <w:i w:val="0"/>
          <w:iCs w:val="0"/>
        </w:rPr>
        <w:t>—</w:t>
      </w:r>
      <w:r w:rsidRPr="0000085C">
        <w:rPr>
          <w:i w:val="0"/>
          <w:iCs w:val="0"/>
        </w:rPr>
        <w:t xml:space="preserve"> Tasmanian Housing Strategy </w:t>
      </w:r>
      <w:r w:rsidRPr="006C5DFF">
        <w:rPr>
          <w:i w:val="0"/>
          <w:iCs w:val="0"/>
        </w:rPr>
        <w:t>(Tasmanian Government 2023)</w:t>
      </w:r>
    </w:p>
    <w:p w14:paraId="7B9F9E92" w14:textId="1AB4591D" w:rsidR="005C584D" w:rsidRPr="0000085C" w:rsidRDefault="005C584D" w:rsidP="00E509D2">
      <w:r w:rsidRPr="0000085C">
        <w:t xml:space="preserve">Vacancy rates in all regions of the state </w:t>
      </w:r>
      <w:r w:rsidR="00AD0F1D" w:rsidRPr="0000085C">
        <w:t>have remained below 1% since September 2024</w:t>
      </w:r>
      <w:r w:rsidR="00CB1B54" w:rsidRPr="0000085C">
        <w:t>, which is far below the target of 3%</w:t>
      </w:r>
      <w:r w:rsidR="00AD0F1D" w:rsidRPr="0000085C">
        <w:t xml:space="preserve">. This prolonged period of extremely low rental availability is placing upward pressure on rents and increasing the number of renters experiencing financial stress. </w:t>
      </w:r>
    </w:p>
    <w:p w14:paraId="15944F6F" w14:textId="77777777" w:rsidR="005C584D" w:rsidRPr="0000085C" w:rsidRDefault="005C584D" w:rsidP="00E509D2">
      <w:pPr>
        <w:rPr>
          <w:b/>
        </w:rPr>
      </w:pPr>
      <w:r w:rsidRPr="0000085C">
        <w:rPr>
          <w:b/>
        </w:rPr>
        <w:t xml:space="preserve">Figure 1. The rental vacancy rate is at critically low levels in all regions </w:t>
      </w:r>
    </w:p>
    <w:p w14:paraId="75B81F20" w14:textId="332712B6" w:rsidR="005C584D" w:rsidRPr="0000085C" w:rsidRDefault="005C584D" w:rsidP="00E509D2">
      <w:pPr>
        <w:rPr>
          <w:b/>
        </w:rPr>
      </w:pPr>
      <w:r w:rsidRPr="0000085C">
        <w:rPr>
          <w:b/>
        </w:rPr>
        <w:t xml:space="preserve"> </w:t>
      </w:r>
      <w:r w:rsidR="00AD0F1D" w:rsidRPr="007A140B">
        <w:rPr>
          <w:noProof/>
          <w14:ligatures w14:val="standardContextual"/>
        </w:rPr>
        <w:drawing>
          <wp:inline distT="0" distB="0" distL="0" distR="0" wp14:anchorId="7D05A71B" wp14:editId="5316CB1F">
            <wp:extent cx="6191250" cy="3019425"/>
            <wp:effectExtent l="0" t="0" r="0" b="0"/>
            <wp:docPr id="1070319104" name="Chart 1" descr="Line graph showing the Hobart, Launceston and Burnie vacancy rates. The Burnie rate is under 1% for the last 12 months. The Hobart and Launceston rates are between 1% and 2% until July 2024, then drop below 1%.">
              <a:extLst xmlns:a="http://schemas.openxmlformats.org/drawingml/2006/main">
                <a:ext uri="{FF2B5EF4-FFF2-40B4-BE49-F238E27FC236}">
                  <a16:creationId xmlns:a16="http://schemas.microsoft.com/office/drawing/2014/main" id="{E4E11AA6-7FCB-47D3-AD37-367FFE813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8F0B9B" w14:textId="6BE4988D" w:rsidR="005C584D" w:rsidRPr="0000085C" w:rsidRDefault="005C584D" w:rsidP="00E509D2">
      <w:r w:rsidRPr="0000085C">
        <w:t xml:space="preserve">Data source: </w:t>
      </w:r>
      <w:r w:rsidRPr="007A140B">
        <w:t xml:space="preserve">(Homes Tasmania </w:t>
      </w:r>
      <w:r w:rsidR="00497738">
        <w:t>2025</w:t>
      </w:r>
      <w:r w:rsidRPr="007A140B">
        <w:t>)</w:t>
      </w:r>
    </w:p>
    <w:p w14:paraId="11BD1240" w14:textId="77777777" w:rsidR="005C584D" w:rsidRPr="0000085C" w:rsidRDefault="005C584D">
      <w:pPr>
        <w:widowControl/>
        <w:autoSpaceDE/>
        <w:autoSpaceDN/>
        <w:spacing w:before="0" w:after="160" w:line="259" w:lineRule="auto"/>
      </w:pPr>
      <w:r w:rsidRPr="0000085C">
        <w:br w:type="page"/>
      </w:r>
    </w:p>
    <w:p w14:paraId="1D71EC08" w14:textId="77777777" w:rsidR="005C584D" w:rsidRPr="0000085C" w:rsidRDefault="005C584D" w:rsidP="007A140B">
      <w:pPr>
        <w:pStyle w:val="Heading2"/>
      </w:pPr>
      <w:bookmarkStart w:id="10" w:name="_Toc198823094"/>
      <w:r w:rsidRPr="0000085C">
        <w:lastRenderedPageBreak/>
        <w:t>Median rent relative to income</w:t>
      </w:r>
      <w:bookmarkEnd w:id="10"/>
    </w:p>
    <w:p w14:paraId="7B0636D1" w14:textId="7E5E8031" w:rsidR="00285E53" w:rsidRPr="0000085C" w:rsidRDefault="00F11E10" w:rsidP="00E509D2">
      <w:r w:rsidRPr="0000085C">
        <w:t>Rents grew faster in the March 2025 quarter compared to the previous quarter</w:t>
      </w:r>
      <w:r w:rsidR="004479E9" w:rsidRPr="0000085C">
        <w:t xml:space="preserve"> and they </w:t>
      </w:r>
      <w:r w:rsidR="00B04E11">
        <w:t>grew</w:t>
      </w:r>
      <w:r w:rsidR="005318DC">
        <w:t xml:space="preserve"> </w:t>
      </w:r>
      <w:r w:rsidR="003F2C9E">
        <w:t xml:space="preserve">more than </w:t>
      </w:r>
      <w:r w:rsidR="005318DC">
        <w:t xml:space="preserve">three times faster than wages. </w:t>
      </w:r>
      <w:r w:rsidR="00194DE7">
        <w:t>The blue plot in F</w:t>
      </w:r>
      <w:r w:rsidR="00162545">
        <w:t>i</w:t>
      </w:r>
      <w:r w:rsidR="00194DE7">
        <w:t xml:space="preserve">gure 2 shows that </w:t>
      </w:r>
      <w:r w:rsidR="00162545">
        <w:t>o</w:t>
      </w:r>
      <w:r w:rsidR="005C584D" w:rsidRPr="0000085C">
        <w:t xml:space="preserve">ver the </w:t>
      </w:r>
      <w:r w:rsidR="00430BDD" w:rsidRPr="0000085C">
        <w:t>March</w:t>
      </w:r>
      <w:r w:rsidR="005C584D" w:rsidRPr="0000085C">
        <w:t xml:space="preserve"> 202</w:t>
      </w:r>
      <w:r w:rsidR="001A2DE6" w:rsidRPr="0000085C">
        <w:t>5</w:t>
      </w:r>
      <w:r w:rsidR="005C584D" w:rsidRPr="0000085C">
        <w:t xml:space="preserve"> quarter, the Tasmanian median rent index rose </w:t>
      </w:r>
      <w:r w:rsidR="00927FB9" w:rsidRPr="0000085C">
        <w:t>by 2.9%</w:t>
      </w:r>
      <w:r w:rsidR="00512DA8">
        <w:t xml:space="preserve"> (</w:t>
      </w:r>
      <w:r w:rsidR="00194DE7">
        <w:t>TUT 2025</w:t>
      </w:r>
      <w:r w:rsidR="00512DA8">
        <w:t>).</w:t>
      </w:r>
      <w:r w:rsidR="0011585C">
        <w:t xml:space="preserve"> </w:t>
      </w:r>
      <w:r w:rsidR="00512DA8">
        <w:t>R</w:t>
      </w:r>
      <w:r w:rsidR="004479E9" w:rsidRPr="0000085C">
        <w:t xml:space="preserve">ents in North West Tasmania </w:t>
      </w:r>
      <w:r w:rsidR="0011585C">
        <w:t>rose</w:t>
      </w:r>
      <w:r w:rsidR="004479E9" w:rsidRPr="0000085C">
        <w:t xml:space="preserve"> by a</w:t>
      </w:r>
      <w:r w:rsidR="00285E53" w:rsidRPr="0000085C">
        <w:t>n extraordinary 9.6%. This is a</w:t>
      </w:r>
      <w:r w:rsidR="007C246D" w:rsidRPr="0000085C">
        <w:t xml:space="preserve">n </w:t>
      </w:r>
      <w:r w:rsidR="004E46DD" w:rsidRPr="0000085C">
        <w:t>insurmountable increase for many</w:t>
      </w:r>
      <w:r w:rsidR="00285E53" w:rsidRPr="0000085C">
        <w:t xml:space="preserve"> renters who are already struggling </w:t>
      </w:r>
      <w:r w:rsidR="00133E19">
        <w:t>with the cost of living</w:t>
      </w:r>
      <w:r w:rsidR="00285E53" w:rsidRPr="0000085C">
        <w:t xml:space="preserve">. </w:t>
      </w:r>
    </w:p>
    <w:p w14:paraId="669B224B" w14:textId="0122135B" w:rsidR="005C584D" w:rsidRPr="0000085C" w:rsidRDefault="00C41EB6" w:rsidP="00E509D2">
      <w:r>
        <w:t xml:space="preserve">Over the same period, the </w:t>
      </w:r>
      <w:r w:rsidR="00DD61AD">
        <w:t xml:space="preserve">Tasmanian </w:t>
      </w:r>
      <w:r>
        <w:t xml:space="preserve">wage price index rose </w:t>
      </w:r>
      <w:r w:rsidR="005318DC">
        <w:t>by</w:t>
      </w:r>
      <w:r w:rsidR="00754C76">
        <w:t xml:space="preserve"> only</w:t>
      </w:r>
      <w:r>
        <w:t xml:space="preserve"> 0.</w:t>
      </w:r>
      <w:r w:rsidR="00B04E11">
        <w:t>9%</w:t>
      </w:r>
      <w:r w:rsidR="00DD61AD">
        <w:t xml:space="preserve"> </w:t>
      </w:r>
      <w:r w:rsidR="00162545">
        <w:t xml:space="preserve">as shown by the orange plot in Figure 2 </w:t>
      </w:r>
      <w:r w:rsidR="00DD61AD">
        <w:t>(</w:t>
      </w:r>
      <w:r w:rsidR="003C25C1">
        <w:t xml:space="preserve">ABS </w:t>
      </w:r>
      <w:r w:rsidR="00DD61AD">
        <w:t>2025)</w:t>
      </w:r>
      <w:r w:rsidR="00162545">
        <w:t>.</w:t>
      </w:r>
    </w:p>
    <w:p w14:paraId="687F744E" w14:textId="77777777" w:rsidR="005C584D" w:rsidRPr="0000085C" w:rsidRDefault="005C584D" w:rsidP="00E509D2"/>
    <w:p w14:paraId="7C9DC51A" w14:textId="099D6D3F" w:rsidR="005C584D" w:rsidRPr="0000085C" w:rsidRDefault="005C584D" w:rsidP="00E509D2">
      <w:pPr>
        <w:rPr>
          <w:b/>
        </w:rPr>
      </w:pPr>
      <w:r w:rsidRPr="0000085C">
        <w:rPr>
          <w:b/>
        </w:rPr>
        <w:t xml:space="preserve">Figure 2. Rents </w:t>
      </w:r>
      <w:r w:rsidR="00836B4D" w:rsidRPr="0000085C">
        <w:rPr>
          <w:b/>
        </w:rPr>
        <w:t>are rising</w:t>
      </w:r>
      <w:r w:rsidRPr="0000085C">
        <w:rPr>
          <w:b/>
        </w:rPr>
        <w:t xml:space="preserve"> </w:t>
      </w:r>
      <w:r w:rsidR="00836B4D" w:rsidRPr="0000085C">
        <w:rPr>
          <w:b/>
        </w:rPr>
        <w:t>faster than</w:t>
      </w:r>
      <w:r w:rsidRPr="0000085C">
        <w:rPr>
          <w:b/>
        </w:rPr>
        <w:t xml:space="preserve"> wages in Tasmania </w:t>
      </w:r>
    </w:p>
    <w:p w14:paraId="4B9F5E72" w14:textId="0450349A" w:rsidR="005C584D" w:rsidRPr="0000085C" w:rsidRDefault="00C41EB6" w:rsidP="00E509D2">
      <w:pPr>
        <w:rPr>
          <w:b/>
        </w:rPr>
      </w:pPr>
      <w:r>
        <w:rPr>
          <w:noProof/>
          <w14:ligatures w14:val="standardContextual"/>
        </w:rPr>
        <w:drawing>
          <wp:inline distT="0" distB="0" distL="0" distR="0" wp14:anchorId="1272723E" wp14:editId="59EA52E5">
            <wp:extent cx="6236898" cy="3652520"/>
            <wp:effectExtent l="0" t="0" r="0" b="5080"/>
            <wp:docPr id="1414360232" name="Chart 1" descr="Line graph showing the Tasmanian wage price index and weighted median rent index since September 2020, plotted on two y-axes. The wage price index climbs at an even slope from 140 to 160. The median rent index climbs unevenly at a steeper slope from 360 to 470.">
              <a:extLst xmlns:a="http://schemas.openxmlformats.org/drawingml/2006/main">
                <a:ext uri="{FF2B5EF4-FFF2-40B4-BE49-F238E27FC236}">
                  <a16:creationId xmlns:a16="http://schemas.microsoft.com/office/drawing/2014/main" id="{3BDAC186-C86A-4212-964C-957F823DB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F719C0" w14:textId="53440146" w:rsidR="005C584D" w:rsidRPr="0000085C" w:rsidRDefault="005C584D" w:rsidP="00E509D2">
      <w:r w:rsidRPr="0000085C">
        <w:t xml:space="preserve">Data source: </w:t>
      </w:r>
      <w:r w:rsidRPr="00E81084">
        <w:t>(</w:t>
      </w:r>
      <w:r w:rsidR="00194DE7">
        <w:t xml:space="preserve">ABS </w:t>
      </w:r>
      <w:r w:rsidRPr="00E81084">
        <w:t>202</w:t>
      </w:r>
      <w:r w:rsidR="00C05FAC">
        <w:t>5</w:t>
      </w:r>
      <w:r w:rsidRPr="00E81084">
        <w:t>; TUT 202</w:t>
      </w:r>
      <w:r w:rsidR="00C05FAC">
        <w:t>5</w:t>
      </w:r>
      <w:r w:rsidRPr="00E81084">
        <w:t>)</w:t>
      </w:r>
      <w:r w:rsidRPr="0000085C">
        <w:rPr>
          <w:rStyle w:val="FootnoteReference"/>
        </w:rPr>
        <w:footnoteReference w:id="1"/>
      </w:r>
    </w:p>
    <w:p w14:paraId="11A3A887" w14:textId="77777777" w:rsidR="005C584D" w:rsidRPr="0000085C" w:rsidRDefault="005C584D">
      <w:pPr>
        <w:widowControl/>
        <w:autoSpaceDE/>
        <w:autoSpaceDN/>
        <w:spacing w:before="0" w:after="160" w:line="259" w:lineRule="auto"/>
        <w:rPr>
          <w:rFonts w:ascii="Avenir Next Demi Bold" w:hAnsi="Avenir Next Demi Bold"/>
          <w:b/>
          <w:sz w:val="32"/>
          <w:szCs w:val="32"/>
        </w:rPr>
      </w:pPr>
      <w:r w:rsidRPr="0000085C">
        <w:br w:type="page"/>
      </w:r>
    </w:p>
    <w:p w14:paraId="4E850B59" w14:textId="77777777" w:rsidR="005C584D" w:rsidRPr="0000085C" w:rsidRDefault="005C584D" w:rsidP="00E81084">
      <w:pPr>
        <w:pStyle w:val="Heading2"/>
      </w:pPr>
      <w:bookmarkStart w:id="11" w:name="_Toc198823095"/>
      <w:r w:rsidRPr="0000085C">
        <w:lastRenderedPageBreak/>
        <w:t>Rental affordability for people on low incomes</w:t>
      </w:r>
      <w:bookmarkEnd w:id="11"/>
    </w:p>
    <w:p w14:paraId="61113A09" w14:textId="77777777" w:rsidR="005C584D" w:rsidRPr="0000085C" w:rsidRDefault="005C584D" w:rsidP="00E509D2">
      <w:pPr>
        <w:pStyle w:val="IntenseQuote"/>
        <w:spacing w:before="0" w:after="0"/>
        <w:ind w:left="862" w:right="862"/>
      </w:pPr>
      <w:r w:rsidRPr="0000085C">
        <w:t>Housing… that is appropriate for the needs of very low-, low- and moderate-income households. This is generally understood to mean housing that costs no more than 30 per cent of a household’s gross income</w:t>
      </w:r>
    </w:p>
    <w:p w14:paraId="6CEC49E7" w14:textId="77777777" w:rsidR="005C584D" w:rsidRPr="0000085C" w:rsidRDefault="005C584D" w:rsidP="00E509D2">
      <w:pPr>
        <w:pStyle w:val="IntenseQuote"/>
        <w:spacing w:before="0" w:after="0"/>
        <w:ind w:left="862" w:right="862"/>
        <w:rPr>
          <w:i w:val="0"/>
          <w:iCs w:val="0"/>
        </w:rPr>
      </w:pPr>
      <w:r w:rsidRPr="0000085C">
        <w:rPr>
          <w:i w:val="0"/>
          <w:iCs w:val="0"/>
        </w:rPr>
        <w:t xml:space="preserve">— Tasmanian Housing Strategy 2023-2043 </w:t>
      </w:r>
      <w:r w:rsidRPr="00E81084">
        <w:rPr>
          <w:i w:val="0"/>
          <w:iCs w:val="0"/>
        </w:rPr>
        <w:t>(Tasmanian Government 2023)</w:t>
      </w:r>
    </w:p>
    <w:p w14:paraId="21283048" w14:textId="77777777" w:rsidR="00DA4811" w:rsidRPr="0000085C" w:rsidRDefault="00DA4811" w:rsidP="00E509D2">
      <w:pPr>
        <w:pStyle w:val="BodyText"/>
      </w:pPr>
    </w:p>
    <w:p w14:paraId="1C0B67EF" w14:textId="4E47025D" w:rsidR="008F567E" w:rsidRPr="0000085C" w:rsidRDefault="008F567E" w:rsidP="00E509D2">
      <w:pPr>
        <w:pStyle w:val="BodyText"/>
      </w:pPr>
      <w:r w:rsidRPr="0000085C">
        <w:t>Anglicare</w:t>
      </w:r>
      <w:r w:rsidR="00586FD6" w:rsidRPr="00CB736F">
        <w:t xml:space="preserve"> Tasmania</w:t>
      </w:r>
      <w:r w:rsidRPr="0000085C">
        <w:t>’s</w:t>
      </w:r>
      <w:r w:rsidR="00522756" w:rsidRPr="0000085C">
        <w:t xml:space="preserve"> </w:t>
      </w:r>
      <w:hyperlink r:id="rId17" w:history="1">
        <w:r w:rsidR="00522756" w:rsidRPr="002002EA">
          <w:rPr>
            <w:rStyle w:val="Hyperlink"/>
            <w:rFonts w:ascii="Avenir Next" w:hAnsi="Avenir Next"/>
          </w:rPr>
          <w:t xml:space="preserve">Rental Affordability Snapshot </w:t>
        </w:r>
        <w:r w:rsidRPr="002002EA">
          <w:rPr>
            <w:rStyle w:val="Hyperlink"/>
            <w:rFonts w:ascii="Avenir Next" w:hAnsi="Avenir Next"/>
          </w:rPr>
          <w:t>2025</w:t>
        </w:r>
      </w:hyperlink>
      <w:r w:rsidRPr="0000085C">
        <w:t xml:space="preserve"> </w:t>
      </w:r>
      <w:r w:rsidR="001E2F57" w:rsidRPr="0000085C">
        <w:t>found that rental affordability is continuing to decline</w:t>
      </w:r>
      <w:r w:rsidR="00F74665">
        <w:t xml:space="preserve"> (Anglicare Tasmania 2025)</w:t>
      </w:r>
      <w:r w:rsidR="001E2F57" w:rsidRPr="0000085C">
        <w:t xml:space="preserve">. The Snapshot </w:t>
      </w:r>
      <w:r w:rsidRPr="0000085C">
        <w:t>assessed the number of properties advertised for rent in late March 2025 and whether they were affordable and appropriate for 14 types of households on low incomes.</w:t>
      </w:r>
    </w:p>
    <w:p w14:paraId="719D1218" w14:textId="69ACBABC" w:rsidR="008F567E" w:rsidRPr="0000085C" w:rsidRDefault="00BE3A67" w:rsidP="00E509D2">
      <w:pPr>
        <w:pStyle w:val="BodyText"/>
      </w:pPr>
      <w:r w:rsidRPr="0000085C">
        <w:t>T</w:t>
      </w:r>
      <w:r w:rsidR="007E76F3" w:rsidRPr="0000085C">
        <w:t xml:space="preserve">he </w:t>
      </w:r>
      <w:r w:rsidRPr="0000085C">
        <w:t xml:space="preserve">total </w:t>
      </w:r>
      <w:r w:rsidR="007E76F3" w:rsidRPr="0000085C">
        <w:t xml:space="preserve">number of listings fell to 845 properties this year, 25% </w:t>
      </w:r>
      <w:r w:rsidRPr="0000085C">
        <w:t xml:space="preserve">fewer than </w:t>
      </w:r>
      <w:r w:rsidR="007E76F3" w:rsidRPr="0000085C">
        <w:t>in 2024.</w:t>
      </w:r>
    </w:p>
    <w:p w14:paraId="5BD19B85" w14:textId="359D6670" w:rsidR="00935540" w:rsidRPr="0000085C" w:rsidRDefault="00BE3A67" w:rsidP="007E76F3">
      <w:pPr>
        <w:pStyle w:val="BodyText"/>
      </w:pPr>
      <w:r w:rsidRPr="0000085C">
        <w:t xml:space="preserve">For 7 of the 14 low-income groups there were no affordable rentals and the gap between advertised rents and what they can afford is growing. These groups include people relying on Jobseeker, Youth Allowance, </w:t>
      </w:r>
      <w:r w:rsidR="002002EA">
        <w:t>P</w:t>
      </w:r>
      <w:r w:rsidRPr="0000085C">
        <w:t xml:space="preserve">arenting </w:t>
      </w:r>
      <w:r w:rsidR="002002EA">
        <w:t>P</w:t>
      </w:r>
      <w:r w:rsidRPr="0000085C">
        <w:t>ayment</w:t>
      </w:r>
      <w:r w:rsidR="002002EA">
        <w:t xml:space="preserve"> Single</w:t>
      </w:r>
      <w:r w:rsidRPr="0000085C">
        <w:t xml:space="preserve">, </w:t>
      </w:r>
      <w:r w:rsidR="002002EA">
        <w:t>D</w:t>
      </w:r>
      <w:r w:rsidRPr="0000085C">
        <w:t xml:space="preserve">isability </w:t>
      </w:r>
      <w:r w:rsidR="002002EA">
        <w:t>S</w:t>
      </w:r>
      <w:r w:rsidRPr="0000085C">
        <w:t xml:space="preserve">upport </w:t>
      </w:r>
      <w:r w:rsidR="002002EA">
        <w:t>P</w:t>
      </w:r>
      <w:r w:rsidRPr="0000085C">
        <w:t xml:space="preserve">ension and </w:t>
      </w:r>
      <w:r w:rsidR="002002EA">
        <w:t>A</w:t>
      </w:r>
      <w:r w:rsidRPr="0000085C">
        <w:t xml:space="preserve">ge </w:t>
      </w:r>
      <w:r w:rsidR="002002EA">
        <w:t>P</w:t>
      </w:r>
      <w:r w:rsidRPr="0000085C">
        <w:t xml:space="preserve">ension. </w:t>
      </w:r>
    </w:p>
    <w:p w14:paraId="72E145C8" w14:textId="07A6D939" w:rsidR="00935540" w:rsidRPr="0000085C" w:rsidRDefault="00935540" w:rsidP="001E2F57">
      <w:pPr>
        <w:pStyle w:val="BodyText"/>
      </w:pPr>
      <w:r w:rsidRPr="0000085C">
        <w:t xml:space="preserve">For other </w:t>
      </w:r>
      <w:r w:rsidR="001E2F57" w:rsidRPr="0000085C">
        <w:t>low-income households, with</w:t>
      </w:r>
      <w:r w:rsidR="00BE3A67" w:rsidRPr="0000085C">
        <w:t xml:space="preserve"> fewer properties advertised the number of affordable properties that </w:t>
      </w:r>
      <w:r w:rsidR="001E2F57" w:rsidRPr="0000085C">
        <w:t>are available</w:t>
      </w:r>
      <w:r w:rsidR="00BE3A67" w:rsidRPr="0000085C">
        <w:t xml:space="preserve"> has fallen</w:t>
      </w:r>
      <w:r w:rsidR="001E2F57" w:rsidRPr="0000085C">
        <w:t xml:space="preserve"> and competition for these properties is intense. It is also less likely that an affordable property will be located where it is needed for access to services, school, employment and social supports.</w:t>
      </w:r>
    </w:p>
    <w:p w14:paraId="62EBE25C" w14:textId="77777777" w:rsidR="00CB0A01" w:rsidRPr="007074FF" w:rsidRDefault="00935540" w:rsidP="001E2F57">
      <w:pPr>
        <w:pStyle w:val="BodyText"/>
        <w:rPr>
          <w:b/>
          <w:bCs/>
          <w:color w:val="2E74B5" w:themeColor="accent5" w:themeShade="BF"/>
        </w:rPr>
      </w:pPr>
      <w:r w:rsidRPr="007074FF">
        <w:rPr>
          <w:b/>
          <w:bCs/>
          <w:color w:val="2E74B5" w:themeColor="accent5" w:themeShade="BF"/>
        </w:rPr>
        <w:t xml:space="preserve">The private rental market is not providing affordable, secure housing for households on low incomes. </w:t>
      </w:r>
    </w:p>
    <w:p w14:paraId="5959E8FA" w14:textId="0BC03057" w:rsidR="00935540" w:rsidRPr="007074FF" w:rsidRDefault="00935540" w:rsidP="001E2F57">
      <w:pPr>
        <w:pStyle w:val="BodyText"/>
        <w:rPr>
          <w:b/>
          <w:bCs/>
          <w:color w:val="2E74B5" w:themeColor="accent5" w:themeShade="BF"/>
        </w:rPr>
      </w:pPr>
      <w:r w:rsidRPr="007074FF">
        <w:rPr>
          <w:b/>
          <w:bCs/>
          <w:color w:val="2E74B5" w:themeColor="accent5" w:themeShade="BF"/>
        </w:rPr>
        <w:t xml:space="preserve">The number of Tasmanians who </w:t>
      </w:r>
      <w:r w:rsidR="00CB0A01" w:rsidRPr="007074FF">
        <w:rPr>
          <w:b/>
          <w:bCs/>
          <w:color w:val="2E74B5" w:themeColor="accent5" w:themeShade="BF"/>
        </w:rPr>
        <w:t>cannot</w:t>
      </w:r>
      <w:r w:rsidRPr="007074FF">
        <w:rPr>
          <w:b/>
          <w:bCs/>
          <w:color w:val="2E74B5" w:themeColor="accent5" w:themeShade="BF"/>
        </w:rPr>
        <w:t xml:space="preserve"> afford to rent in the private market is increasing.</w:t>
      </w:r>
    </w:p>
    <w:p w14:paraId="32743450" w14:textId="77777777" w:rsidR="00CB0A01" w:rsidRPr="0000085C" w:rsidRDefault="00CB0A01" w:rsidP="001E2F57">
      <w:pPr>
        <w:pStyle w:val="BodyText"/>
      </w:pPr>
    </w:p>
    <w:p w14:paraId="61A95F61" w14:textId="36F41214" w:rsidR="00DA4811" w:rsidRPr="0000085C" w:rsidRDefault="00DA4811" w:rsidP="00B13A38">
      <w:pPr>
        <w:pStyle w:val="BodyText"/>
        <w:numPr>
          <w:ilvl w:val="0"/>
          <w:numId w:val="5"/>
        </w:numPr>
      </w:pPr>
      <w:r w:rsidRPr="0000085C">
        <w:t xml:space="preserve">Rental listings </w:t>
      </w:r>
      <w:r w:rsidR="002364BA" w:rsidRPr="002364BA">
        <w:rPr>
          <w:b/>
          <w:bCs/>
        </w:rPr>
        <w:t xml:space="preserve">down </w:t>
      </w:r>
      <w:r w:rsidRPr="002364BA">
        <w:rPr>
          <w:b/>
          <w:bCs/>
        </w:rPr>
        <w:t>25%</w:t>
      </w:r>
    </w:p>
    <w:p w14:paraId="32CF43DD" w14:textId="7D6B9B39" w:rsidR="00DA4811" w:rsidRPr="0000085C" w:rsidRDefault="00DA4811" w:rsidP="00B13A38">
      <w:pPr>
        <w:pStyle w:val="BodyText"/>
        <w:numPr>
          <w:ilvl w:val="0"/>
          <w:numId w:val="5"/>
        </w:numPr>
      </w:pPr>
      <w:r w:rsidRPr="0000085C">
        <w:rPr>
          <w:b/>
          <w:bCs/>
        </w:rPr>
        <w:t xml:space="preserve">0% </w:t>
      </w:r>
      <w:r w:rsidR="00CB0A01" w:rsidRPr="0000085C">
        <w:rPr>
          <w:b/>
          <w:bCs/>
        </w:rPr>
        <w:t xml:space="preserve">of </w:t>
      </w:r>
      <w:r w:rsidRPr="0000085C">
        <w:rPr>
          <w:b/>
          <w:bCs/>
        </w:rPr>
        <w:t>rental</w:t>
      </w:r>
      <w:r w:rsidR="00CB0A01" w:rsidRPr="0000085C">
        <w:rPr>
          <w:b/>
          <w:bCs/>
        </w:rPr>
        <w:t xml:space="preserve">s affordable </w:t>
      </w:r>
      <w:r w:rsidRPr="0000085C">
        <w:t xml:space="preserve">for Tasmanians relying on Jobseeker, Youth </w:t>
      </w:r>
      <w:r w:rsidR="002364BA">
        <w:t>A</w:t>
      </w:r>
      <w:r w:rsidRPr="0000085C">
        <w:t xml:space="preserve">llowance, </w:t>
      </w:r>
      <w:r w:rsidR="002364BA">
        <w:t>D</w:t>
      </w:r>
      <w:r w:rsidRPr="0000085C">
        <w:t xml:space="preserve">isability </w:t>
      </w:r>
      <w:r w:rsidR="002364BA">
        <w:t>S</w:t>
      </w:r>
      <w:r w:rsidRPr="0000085C">
        <w:t xml:space="preserve">upport </w:t>
      </w:r>
      <w:r w:rsidR="002364BA">
        <w:t>P</w:t>
      </w:r>
      <w:r w:rsidRPr="0000085C">
        <w:t xml:space="preserve">ension, </w:t>
      </w:r>
      <w:r w:rsidR="002364BA">
        <w:t>P</w:t>
      </w:r>
      <w:r w:rsidRPr="0000085C">
        <w:t xml:space="preserve">arenting </w:t>
      </w:r>
      <w:r w:rsidR="002364BA">
        <w:t>P</w:t>
      </w:r>
      <w:r w:rsidRPr="0000085C">
        <w:t xml:space="preserve">ayment </w:t>
      </w:r>
      <w:r w:rsidR="002364BA">
        <w:t xml:space="preserve">Single </w:t>
      </w:r>
      <w:r w:rsidRPr="0000085C">
        <w:t xml:space="preserve">and </w:t>
      </w:r>
      <w:r w:rsidR="00CB0A01" w:rsidRPr="0000085C">
        <w:t>those</w:t>
      </w:r>
      <w:r w:rsidRPr="0000085C">
        <w:t xml:space="preserve"> </w:t>
      </w:r>
      <w:r w:rsidR="00CB0A01" w:rsidRPr="0000085C">
        <w:t xml:space="preserve">relying </w:t>
      </w:r>
      <w:r w:rsidRPr="0000085C">
        <w:t xml:space="preserve">on </w:t>
      </w:r>
      <w:r w:rsidR="002364BA">
        <w:t>A</w:t>
      </w:r>
      <w:r w:rsidRPr="0000085C">
        <w:t xml:space="preserve">ge </w:t>
      </w:r>
      <w:r w:rsidR="002364BA">
        <w:t>P</w:t>
      </w:r>
      <w:r w:rsidRPr="0000085C">
        <w:t>ension</w:t>
      </w:r>
      <w:r w:rsidR="00CB0A01" w:rsidRPr="0000085C">
        <w:t xml:space="preserve"> who want to live alone</w:t>
      </w:r>
    </w:p>
    <w:p w14:paraId="7410D635" w14:textId="08817B23" w:rsidR="00DA4811" w:rsidRPr="0000085C" w:rsidRDefault="002364BA" w:rsidP="00B13A38">
      <w:pPr>
        <w:pStyle w:val="BodyText"/>
        <w:numPr>
          <w:ilvl w:val="0"/>
          <w:numId w:val="5"/>
        </w:numPr>
      </w:pPr>
      <w:r w:rsidRPr="002364BA">
        <w:rPr>
          <w:b/>
          <w:bCs/>
        </w:rPr>
        <w:t>decreased</w:t>
      </w:r>
      <w:r w:rsidR="00CB0A01" w:rsidRPr="0000085C">
        <w:t xml:space="preserve"> rental availability and</w:t>
      </w:r>
      <w:r w:rsidR="00DA4811" w:rsidRPr="0000085C">
        <w:t xml:space="preserve"> affordability for all </w:t>
      </w:r>
      <w:r w:rsidR="00CB0A01" w:rsidRPr="0000085C">
        <w:t xml:space="preserve">Tasmanian </w:t>
      </w:r>
      <w:r w:rsidR="00DA4811" w:rsidRPr="0000085C">
        <w:t>renters</w:t>
      </w:r>
    </w:p>
    <w:p w14:paraId="1CE2E4BD" w14:textId="77777777" w:rsidR="00CB0A01" w:rsidRPr="0000085C" w:rsidRDefault="00CB0A01">
      <w:pPr>
        <w:widowControl/>
        <w:autoSpaceDE/>
        <w:autoSpaceDN/>
        <w:spacing w:before="0" w:after="160" w:line="259" w:lineRule="auto"/>
        <w:rPr>
          <w:rFonts w:ascii="Avenir Next Demi Bold" w:hAnsi="Avenir Next Demi Bold"/>
          <w:b/>
          <w:sz w:val="32"/>
          <w:szCs w:val="32"/>
        </w:rPr>
      </w:pPr>
      <w:r w:rsidRPr="0000085C">
        <w:br w:type="page"/>
      </w:r>
    </w:p>
    <w:p w14:paraId="2AE230CC" w14:textId="20968E02" w:rsidR="005C584D" w:rsidRPr="0000085C" w:rsidRDefault="005C584D" w:rsidP="00E81084">
      <w:pPr>
        <w:pStyle w:val="Heading2"/>
      </w:pPr>
      <w:bookmarkStart w:id="12" w:name="_Toc198823096"/>
      <w:r w:rsidRPr="0000085C">
        <w:lastRenderedPageBreak/>
        <w:t xml:space="preserve">The </w:t>
      </w:r>
      <w:r w:rsidR="006F59D5" w:rsidRPr="0000085C">
        <w:t>social</w:t>
      </w:r>
      <w:r w:rsidR="008A085D" w:rsidRPr="0000085C">
        <w:t xml:space="preserve"> </w:t>
      </w:r>
      <w:r w:rsidRPr="0000085C">
        <w:t>housing register</w:t>
      </w:r>
      <w:bookmarkEnd w:id="12"/>
    </w:p>
    <w:p w14:paraId="6490C8AE" w14:textId="0D7AFC01" w:rsidR="005C584D" w:rsidRPr="0000085C" w:rsidRDefault="005C584D" w:rsidP="00E509D2">
      <w:r w:rsidRPr="0000085C">
        <w:t xml:space="preserve">The large number of applications on the housing register indicates that the supply of social housing is inadequate. At the end of the </w:t>
      </w:r>
      <w:r w:rsidR="00522756" w:rsidRPr="0000085C">
        <w:t xml:space="preserve">March 2025 </w:t>
      </w:r>
      <w:r w:rsidRPr="0000085C">
        <w:t xml:space="preserve">quarter the number of applications on the social housing register was </w:t>
      </w:r>
      <w:r w:rsidR="00522756" w:rsidRPr="0000085C">
        <w:t xml:space="preserve">5,069 </w:t>
      </w:r>
      <w:r w:rsidRPr="00E81084">
        <w:t xml:space="preserve">(Homes Tasmania </w:t>
      </w:r>
      <w:r w:rsidR="00497738">
        <w:t>2025</w:t>
      </w:r>
      <w:r w:rsidR="00601E5B">
        <w:t xml:space="preserve">). </w:t>
      </w:r>
      <w:r w:rsidR="00185B98">
        <w:t xml:space="preserve">The total number of people in households </w:t>
      </w:r>
      <w:r w:rsidR="00B65C17">
        <w:t>who are waiting to be</w:t>
      </w:r>
      <w:r w:rsidR="006311CF">
        <w:t xml:space="preserve"> allocated social housing is 8</w:t>
      </w:r>
      <w:r w:rsidR="002F16E5">
        <w:t>,</w:t>
      </w:r>
      <w:r w:rsidR="006311CF">
        <w:t>723 (TasCOSS 2025)</w:t>
      </w:r>
      <w:r w:rsidR="00B65C17">
        <w:t>.</w:t>
      </w:r>
    </w:p>
    <w:p w14:paraId="216FA829" w14:textId="2BE26191" w:rsidR="005C584D" w:rsidRPr="0000085C" w:rsidRDefault="002A7CB5" w:rsidP="00E509D2">
      <w:r w:rsidRPr="0000085C">
        <w:t>The number of applications on the housing register has increased by 177 (4.2%) since December 2024.</w:t>
      </w:r>
    </w:p>
    <w:p w14:paraId="1C151CAC" w14:textId="4FAD6464" w:rsidR="00DC062A" w:rsidRPr="0000085C" w:rsidRDefault="002A7CB5" w:rsidP="00E509D2">
      <w:r w:rsidRPr="0000085C">
        <w:t>Over the same period, 10 new social homes have been constructed</w:t>
      </w:r>
      <w:r w:rsidR="00BD2022">
        <w:t>.</w:t>
      </w:r>
      <w:r w:rsidRPr="0000085C">
        <w:t xml:space="preserve"> </w:t>
      </w:r>
      <w:r w:rsidR="00BD2022">
        <w:t>T</w:t>
      </w:r>
      <w:r w:rsidRPr="0000085C">
        <w:t xml:space="preserve">he portfolio of affordable rentals in the Private Rental Incentives scheme and Family Violence Rapid Rehousing program has fallen from 261 to 258 </w:t>
      </w:r>
      <w:r w:rsidR="00AD7C70" w:rsidRPr="0000085C">
        <w:t>properties and remains at less than half t</w:t>
      </w:r>
      <w:r w:rsidR="00DC062A" w:rsidRPr="0000085C">
        <w:t>he</w:t>
      </w:r>
      <w:r w:rsidR="00AD7C70" w:rsidRPr="0000085C">
        <w:t xml:space="preserve"> </w:t>
      </w:r>
      <w:r w:rsidR="00DC062A" w:rsidRPr="0000085C">
        <w:t xml:space="preserve">target capacity </w:t>
      </w:r>
      <w:r w:rsidR="00AD7C70" w:rsidRPr="0000085C">
        <w:t xml:space="preserve">of </w:t>
      </w:r>
      <w:r w:rsidR="00DC062A" w:rsidRPr="0000085C">
        <w:t>550 properties</w:t>
      </w:r>
      <w:r w:rsidR="00F74665">
        <w:t xml:space="preserve"> (Homes Tasmania 2025)</w:t>
      </w:r>
      <w:r w:rsidR="00DC062A" w:rsidRPr="0000085C">
        <w:t>.</w:t>
      </w:r>
    </w:p>
    <w:p w14:paraId="6B50FA9F" w14:textId="3047B0CA" w:rsidR="00CB1B54" w:rsidRDefault="005C584D" w:rsidP="00E509D2">
      <w:r w:rsidRPr="0000085C">
        <w:t xml:space="preserve">The total supply of social dwellings in June 2024 was 15,095 homes, which met </w:t>
      </w:r>
      <w:r w:rsidR="006F59D5" w:rsidRPr="0000085C">
        <w:t>only</w:t>
      </w:r>
      <w:r w:rsidRPr="0000085C">
        <w:t xml:space="preserve"> 76% of expressed demand for social</w:t>
      </w:r>
      <w:r w:rsidR="007B2ECA" w:rsidRPr="0000085C">
        <w:t xml:space="preserve"> housing</w:t>
      </w:r>
      <w:r w:rsidR="00E45577" w:rsidRPr="0000085C">
        <w:t xml:space="preserve"> at that tim</w:t>
      </w:r>
      <w:r w:rsidR="00961B41">
        <w:t>e</w:t>
      </w:r>
      <w:r w:rsidR="00F74665">
        <w:t xml:space="preserve"> (</w:t>
      </w:r>
      <w:r w:rsidR="00202DDC" w:rsidRPr="00A8401C">
        <w:t>S</w:t>
      </w:r>
      <w:r w:rsidR="00CE327A">
        <w:t xml:space="preserve">CRGSP </w:t>
      </w:r>
      <w:r w:rsidR="00D53D80">
        <w:t>2025)</w:t>
      </w:r>
      <w:r w:rsidR="00961B41">
        <w:t xml:space="preserve">. </w:t>
      </w:r>
    </w:p>
    <w:p w14:paraId="0083810D" w14:textId="77777777" w:rsidR="00CB1B54" w:rsidRPr="0000085C" w:rsidRDefault="00CB1B54" w:rsidP="00E509D2"/>
    <w:p w14:paraId="6888308F" w14:textId="31230B0D" w:rsidR="005C584D" w:rsidRPr="0000085C" w:rsidRDefault="005C584D" w:rsidP="00E509D2">
      <w:pPr>
        <w:rPr>
          <w:b/>
        </w:rPr>
      </w:pPr>
      <w:r w:rsidRPr="0000085C">
        <w:rPr>
          <w:b/>
        </w:rPr>
        <w:t xml:space="preserve">Figure </w:t>
      </w:r>
      <w:r w:rsidR="00B7746A" w:rsidRPr="0000085C">
        <w:rPr>
          <w:b/>
        </w:rPr>
        <w:t>3</w:t>
      </w:r>
      <w:r w:rsidRPr="0000085C">
        <w:rPr>
          <w:b/>
        </w:rPr>
        <w:t>. The social housing register indicates rising unmet demand for social housing</w:t>
      </w:r>
    </w:p>
    <w:p w14:paraId="4BBBC068" w14:textId="751254BD" w:rsidR="005C584D" w:rsidRPr="0000085C" w:rsidRDefault="007B2ECA" w:rsidP="00E509D2">
      <w:pPr>
        <w:pStyle w:val="TitleinText"/>
      </w:pPr>
      <w:r w:rsidRPr="00E52EB8">
        <w:rPr>
          <w:noProof/>
          <w14:ligatures w14:val="standardContextual"/>
        </w:rPr>
        <w:drawing>
          <wp:inline distT="0" distB="0" distL="0" distR="0" wp14:anchorId="4963E6EC" wp14:editId="4818F012">
            <wp:extent cx="6124575" cy="3571875"/>
            <wp:effectExtent l="0" t="0" r="0" b="0"/>
            <wp:docPr id="1149116538" name="Chart 1" descr="Column graph showing applications on Tasmanian housing register as described in text.">
              <a:extLst xmlns:a="http://schemas.openxmlformats.org/drawingml/2006/main">
                <a:ext uri="{FF2B5EF4-FFF2-40B4-BE49-F238E27FC236}">
                  <a16:creationId xmlns:a16="http://schemas.microsoft.com/office/drawing/2014/main" id="{707AEE6C-F983-825E-6A4E-7D354A70F9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52EB8">
        <w:t xml:space="preserve"> </w:t>
      </w:r>
      <w:r w:rsidR="005C584D" w:rsidRPr="0000085C">
        <w:t xml:space="preserve"> </w:t>
      </w:r>
    </w:p>
    <w:p w14:paraId="7CD1232E" w14:textId="07D3EF28" w:rsidR="005C584D" w:rsidRPr="0000085C" w:rsidRDefault="005C584D" w:rsidP="00E509D2">
      <w:pPr>
        <w:widowControl/>
        <w:autoSpaceDE/>
        <w:autoSpaceDN/>
      </w:pPr>
      <w:r w:rsidRPr="0000085C">
        <w:t xml:space="preserve">Data source: </w:t>
      </w:r>
      <w:r w:rsidRPr="00E52EB8">
        <w:t>(Homes Tasmania 20</w:t>
      </w:r>
      <w:r w:rsidR="00C05FAC">
        <w:t>25</w:t>
      </w:r>
      <w:r w:rsidRPr="00E52EB8">
        <w:t>)</w:t>
      </w:r>
    </w:p>
    <w:p w14:paraId="6733A9DD" w14:textId="438C80A8" w:rsidR="005C584D" w:rsidRPr="0000085C" w:rsidRDefault="005C584D" w:rsidP="00E52EB8">
      <w:pPr>
        <w:pStyle w:val="Heading2"/>
      </w:pPr>
      <w:r w:rsidRPr="0000085C">
        <w:br w:type="page"/>
      </w:r>
      <w:bookmarkStart w:id="13" w:name="_Toc198823097"/>
      <w:r w:rsidRPr="0000085C">
        <w:lastRenderedPageBreak/>
        <w:t>Wait time for social housing</w:t>
      </w:r>
      <w:bookmarkEnd w:id="13"/>
    </w:p>
    <w:p w14:paraId="4408601F" w14:textId="598C69C4" w:rsidR="005C584D" w:rsidRPr="0000085C" w:rsidRDefault="005C584D" w:rsidP="00E509D2">
      <w:pPr>
        <w:pStyle w:val="IntenseQuote"/>
        <w:spacing w:after="0"/>
        <w:rPr>
          <w:i w:val="0"/>
          <w:iCs w:val="0"/>
        </w:rPr>
      </w:pPr>
      <w:r w:rsidRPr="0000085C">
        <w:t>The impacts of waiting are profound. Waitees told of their financial struggles, not being able to feed themselves or their children adequately and cutting back on medication or forgoing necessary medical procedures</w:t>
      </w:r>
      <w:r w:rsidR="006329CD">
        <w:t xml:space="preserve"> </w:t>
      </w:r>
      <w:r w:rsidRPr="0000085C">
        <w:t>… not having an affordable and stable home combined with the endless waiting were fundamental contributors to their poor physical and mental health</w:t>
      </w:r>
      <w:r w:rsidR="006329CD">
        <w:t xml:space="preserve"> </w:t>
      </w:r>
      <w:r w:rsidRPr="0000085C">
        <w:t>…</w:t>
      </w:r>
      <w:r w:rsidR="006329CD">
        <w:t xml:space="preserve"> </w:t>
      </w:r>
      <w:r w:rsidRPr="0000085C">
        <w:t>Sadly, the children of waitees were often hard-hit by their situation …</w:t>
      </w:r>
      <w:r w:rsidR="006329CD">
        <w:t xml:space="preserve"> </w:t>
      </w:r>
      <w:r w:rsidRPr="0000085C">
        <w:t>Waitees felt that their lack of stability made it difficult for them to seek or maintain employment.</w:t>
      </w:r>
    </w:p>
    <w:p w14:paraId="105C6121" w14:textId="77777777" w:rsidR="005C584D" w:rsidRPr="0000085C" w:rsidRDefault="005C584D" w:rsidP="00E509D2">
      <w:pPr>
        <w:pStyle w:val="IntenseQuote"/>
        <w:spacing w:before="0"/>
        <w:rPr>
          <w:i w:val="0"/>
          <w:iCs w:val="0"/>
        </w:rPr>
      </w:pPr>
      <w:r w:rsidRPr="0000085C">
        <w:rPr>
          <w:i w:val="0"/>
          <w:iCs w:val="0"/>
        </w:rPr>
        <w:t xml:space="preserve">— Waithood: The experiences of applying for and waiting for social housing </w:t>
      </w:r>
      <w:r w:rsidRPr="00344EAB">
        <w:rPr>
          <w:i w:val="0"/>
          <w:iCs w:val="0"/>
        </w:rPr>
        <w:t>(Morris et al. 2023)</w:t>
      </w:r>
    </w:p>
    <w:p w14:paraId="4306D6A0" w14:textId="77AD969C" w:rsidR="005C584D" w:rsidRPr="0000085C" w:rsidRDefault="00D42117">
      <w:pPr>
        <w:widowControl/>
        <w:autoSpaceDE/>
        <w:autoSpaceDN/>
        <w:spacing w:before="0" w:after="160" w:line="259" w:lineRule="auto"/>
      </w:pPr>
      <w:r w:rsidRPr="0000085C">
        <w:t>Over the March 2025 quarter, t</w:t>
      </w:r>
      <w:r w:rsidR="005C584D" w:rsidRPr="0000085C">
        <w:t xml:space="preserve">he average wait time for priority applicants </w:t>
      </w:r>
      <w:r w:rsidRPr="0000085C">
        <w:t>fell by 3% to 82.2 weeks</w:t>
      </w:r>
      <w:r w:rsidR="005C584D" w:rsidRPr="0000085C">
        <w:t xml:space="preserve"> </w:t>
      </w:r>
      <w:r w:rsidR="005C584D" w:rsidRPr="00344EAB">
        <w:t>(Homes Tasmania 202</w:t>
      </w:r>
      <w:r w:rsidR="00C05FAC">
        <w:t>5</w:t>
      </w:r>
      <w:r w:rsidR="005C584D" w:rsidRPr="00344EAB">
        <w:t>)</w:t>
      </w:r>
      <w:r w:rsidR="005C584D" w:rsidRPr="0000085C">
        <w:t xml:space="preserve">. </w:t>
      </w:r>
      <w:r w:rsidRPr="0000085C">
        <w:t>This indicator has improved since peaking at 90.5 weeks in July 2024</w:t>
      </w:r>
      <w:r w:rsidR="005C584D" w:rsidRPr="0000085C">
        <w:t xml:space="preserve"> (see Figure </w:t>
      </w:r>
      <w:r w:rsidR="005E304D" w:rsidRPr="0000085C">
        <w:t>4</w:t>
      </w:r>
      <w:r w:rsidR="005C584D" w:rsidRPr="0000085C">
        <w:t xml:space="preserve">). </w:t>
      </w:r>
      <w:r w:rsidRPr="0000085C">
        <w:t xml:space="preserve">However, </w:t>
      </w:r>
      <w:r w:rsidR="00F02CFE" w:rsidRPr="0000085C">
        <w:t>a wait time of over one and a half years for any applicant is likely to result in adverse consequences. For priority applicants, including people escaping domestic and family violence and/or those with declining mental health conditions, the consequences can be catastrophic.</w:t>
      </w:r>
    </w:p>
    <w:p w14:paraId="78649555" w14:textId="2C93E57C" w:rsidR="005C584D" w:rsidRPr="0000085C" w:rsidRDefault="005C584D" w:rsidP="00E509D2">
      <w:pPr>
        <w:widowControl/>
        <w:autoSpaceDE/>
        <w:autoSpaceDN/>
        <w:spacing w:before="0" w:after="160" w:line="259" w:lineRule="auto"/>
      </w:pPr>
      <w:r w:rsidRPr="0000085C">
        <w:t xml:space="preserve">Median wait time for priority applicants and the average and median wait time for </w:t>
      </w:r>
      <w:r w:rsidR="00D42117" w:rsidRPr="0000085C">
        <w:t>non-priority</w:t>
      </w:r>
      <w:r w:rsidRPr="0000085C">
        <w:t xml:space="preserve"> applicants (all of whom have been assessed as eligible for social housing) are not reported by Homes Tasmania.</w:t>
      </w:r>
    </w:p>
    <w:p w14:paraId="45C1DC95" w14:textId="77777777" w:rsidR="005C584D" w:rsidRPr="0000085C" w:rsidRDefault="005C584D" w:rsidP="00E509D2">
      <w:pPr>
        <w:widowControl/>
        <w:autoSpaceDE/>
        <w:autoSpaceDN/>
        <w:spacing w:before="0" w:after="160" w:line="259" w:lineRule="auto"/>
      </w:pPr>
    </w:p>
    <w:p w14:paraId="39381FF7" w14:textId="377DB4D8" w:rsidR="005C584D" w:rsidRPr="0000085C" w:rsidRDefault="005C584D" w:rsidP="00E509D2">
      <w:pPr>
        <w:pStyle w:val="TitleinText"/>
      </w:pPr>
      <w:r w:rsidRPr="0000085C">
        <w:t xml:space="preserve">Figure </w:t>
      </w:r>
      <w:r w:rsidR="00B7746A" w:rsidRPr="0000085C">
        <w:t>4</w:t>
      </w:r>
      <w:r w:rsidRPr="0000085C">
        <w:t xml:space="preserve">. The average waiting time for social housing </w:t>
      </w:r>
      <w:r w:rsidR="003D1DEB" w:rsidRPr="0000085C">
        <w:t>remains</w:t>
      </w:r>
      <w:r w:rsidRPr="0000085C">
        <w:t xml:space="preserve"> </w:t>
      </w:r>
      <w:r w:rsidR="00360B45" w:rsidRPr="0000085C">
        <w:t>far too long</w:t>
      </w:r>
    </w:p>
    <w:p w14:paraId="392F066C" w14:textId="014DC41C" w:rsidR="005C584D" w:rsidRPr="0000085C" w:rsidRDefault="007B2ECA" w:rsidP="00E509D2">
      <w:pPr>
        <w:pStyle w:val="TitleinText"/>
      </w:pPr>
      <w:r w:rsidRPr="00344EAB">
        <w:rPr>
          <w:noProof/>
          <w14:ligatures w14:val="standardContextual"/>
        </w:rPr>
        <w:drawing>
          <wp:inline distT="0" distB="0" distL="0" distR="0" wp14:anchorId="12F2946A" wp14:editId="7F0C0652">
            <wp:extent cx="6286500" cy="2740025"/>
            <wp:effectExtent l="0" t="0" r="0" b="3175"/>
            <wp:docPr id="1630116686" name="Chart 1" descr="Line graph showing average wait time for priority applicants in weeks as described in text.">
              <a:extLst xmlns:a="http://schemas.openxmlformats.org/drawingml/2006/main">
                <a:ext uri="{FF2B5EF4-FFF2-40B4-BE49-F238E27FC236}">
                  <a16:creationId xmlns:a16="http://schemas.microsoft.com/office/drawing/2014/main" id="{F25A757F-E9A9-4334-8D5E-9F9BF8BE2D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161FD8" w14:textId="461DCFDC" w:rsidR="005C584D" w:rsidRPr="0000085C" w:rsidRDefault="005C584D" w:rsidP="00E509D2">
      <w:r w:rsidRPr="0000085C">
        <w:t xml:space="preserve">Data source: </w:t>
      </w:r>
      <w:r w:rsidRPr="00344EAB">
        <w:t>(Homes Tasmania 202</w:t>
      </w:r>
      <w:r w:rsidR="00C05FAC">
        <w:t>5</w:t>
      </w:r>
      <w:r w:rsidRPr="00344EAB">
        <w:t>)</w:t>
      </w:r>
    </w:p>
    <w:p w14:paraId="57D08DAA" w14:textId="77777777" w:rsidR="005C584D" w:rsidRPr="00344EAB" w:rsidRDefault="005C584D" w:rsidP="00E509D2">
      <w:pPr>
        <w:pStyle w:val="Heading1"/>
        <w:rPr>
          <w:lang w:val="en-GB"/>
        </w:rPr>
      </w:pPr>
      <w:r w:rsidRPr="00344EAB">
        <w:rPr>
          <w:lang w:val="en-GB"/>
        </w:rPr>
        <w:br w:type="page"/>
      </w:r>
      <w:bookmarkStart w:id="14" w:name="_Toc198823098"/>
      <w:r w:rsidRPr="00344EAB">
        <w:rPr>
          <w:lang w:val="en-GB"/>
        </w:rPr>
        <w:lastRenderedPageBreak/>
        <w:t>People connecting with the Front Door</w:t>
      </w:r>
      <w:bookmarkEnd w:id="14"/>
      <w:r w:rsidRPr="00344EAB">
        <w:rPr>
          <w:lang w:val="en-GB"/>
        </w:rPr>
        <w:t xml:space="preserve"> </w:t>
      </w:r>
    </w:p>
    <w:p w14:paraId="76D797AF" w14:textId="77777777" w:rsidR="005C584D" w:rsidRPr="0000085C" w:rsidRDefault="005C584D" w:rsidP="00E509D2">
      <w:pPr>
        <w:pStyle w:val="BodyText"/>
        <w:ind w:right="-48"/>
        <w:sectPr w:rsidR="005C584D" w:rsidRPr="0000085C" w:rsidSect="005C584D">
          <w:type w:val="continuous"/>
          <w:pgSz w:w="11910" w:h="16840"/>
          <w:pgMar w:top="1922" w:right="1077" w:bottom="0" w:left="958" w:header="720" w:footer="720" w:gutter="0"/>
          <w:cols w:space="720"/>
          <w:titlePg/>
          <w:docGrid w:linePitch="326"/>
        </w:sectPr>
      </w:pPr>
    </w:p>
    <w:p w14:paraId="39CA5C42" w14:textId="32377F62" w:rsidR="00A05333" w:rsidRPr="0000085C" w:rsidRDefault="005C584D" w:rsidP="00E509D2">
      <w:pPr>
        <w:pStyle w:val="BodyText"/>
        <w:ind w:right="-48"/>
      </w:pPr>
      <w:r w:rsidRPr="0000085C">
        <w:t xml:space="preserve">Between </w:t>
      </w:r>
      <w:r w:rsidR="00ED1A81" w:rsidRPr="0000085C">
        <w:t xml:space="preserve">1 January and 31 March 2025, </w:t>
      </w:r>
      <w:r w:rsidRPr="0000085C">
        <w:t>the Housing Connect Front Door responded to</w:t>
      </w:r>
      <w:r w:rsidR="00397989" w:rsidRPr="0000085C">
        <w:t xml:space="preserve"> a record</w:t>
      </w:r>
      <w:r w:rsidRPr="0000085C">
        <w:t xml:space="preserve"> 1</w:t>
      </w:r>
      <w:r w:rsidR="00ED1A81" w:rsidRPr="0000085C">
        <w:t>3,21</w:t>
      </w:r>
      <w:r w:rsidR="003C25C1">
        <w:t>5</w:t>
      </w:r>
      <w:r w:rsidRPr="0000085C">
        <w:t xml:space="preserve"> enquirie</w:t>
      </w:r>
      <w:r w:rsidR="000F6890" w:rsidRPr="0000085C">
        <w:t>s</w:t>
      </w:r>
      <w:r w:rsidR="00397989" w:rsidRPr="0000085C">
        <w:t xml:space="preserve"> </w:t>
      </w:r>
      <w:r w:rsidR="00F509BE" w:rsidRPr="0000085C">
        <w:t>across the state</w:t>
      </w:r>
      <w:r w:rsidR="00397989" w:rsidRPr="0000085C">
        <w:t xml:space="preserve">, 23% more than in </w:t>
      </w:r>
      <w:r w:rsidR="00F509BE" w:rsidRPr="0000085C">
        <w:t>the December</w:t>
      </w:r>
      <w:r w:rsidR="00397989" w:rsidRPr="0000085C">
        <w:t xml:space="preserve"> 2024</w:t>
      </w:r>
      <w:r w:rsidR="00F509BE" w:rsidRPr="0000085C">
        <w:t xml:space="preserve"> quarter</w:t>
      </w:r>
      <w:r w:rsidRPr="0000085C">
        <w:t xml:space="preserve">. </w:t>
      </w:r>
      <w:r w:rsidR="00397989" w:rsidRPr="0000085C">
        <w:t xml:space="preserve">This was mainly due to 28% </w:t>
      </w:r>
      <w:r w:rsidR="00A524B6" w:rsidRPr="0000085C">
        <w:t>more</w:t>
      </w:r>
      <w:r w:rsidR="00397989" w:rsidRPr="0000085C">
        <w:t xml:space="preserve"> enquiries </w:t>
      </w:r>
      <w:r w:rsidR="00A524B6" w:rsidRPr="0000085C">
        <w:t xml:space="preserve">being </w:t>
      </w:r>
      <w:r w:rsidR="00A05333" w:rsidRPr="0000085C">
        <w:t>received</w:t>
      </w:r>
      <w:r w:rsidR="00A524B6" w:rsidRPr="0000085C">
        <w:t xml:space="preserve"> in</w:t>
      </w:r>
      <w:r w:rsidR="00397989" w:rsidRPr="0000085C">
        <w:t xml:space="preserve"> the </w:t>
      </w:r>
      <w:r w:rsidR="00A524B6" w:rsidRPr="0000085C">
        <w:t>S</w:t>
      </w:r>
      <w:r w:rsidR="00397989" w:rsidRPr="0000085C">
        <w:t>outh</w:t>
      </w:r>
      <w:r w:rsidR="00BB3204">
        <w:t>,</w:t>
      </w:r>
      <w:r w:rsidR="00397989" w:rsidRPr="0000085C">
        <w:t xml:space="preserve"> although </w:t>
      </w:r>
      <w:r w:rsidR="00A524B6" w:rsidRPr="0000085C">
        <w:t>the number of enquiries increased in all regions.</w:t>
      </w:r>
    </w:p>
    <w:p w14:paraId="3FD48AD5" w14:textId="2A092ECD" w:rsidR="00A05333" w:rsidRPr="0000085C" w:rsidRDefault="00A05333" w:rsidP="00E509D2">
      <w:pPr>
        <w:pStyle w:val="BodyText"/>
        <w:ind w:right="-48"/>
      </w:pPr>
      <w:r w:rsidRPr="0000085C">
        <w:t>The most common way people contacted the Fron</w:t>
      </w:r>
      <w:r w:rsidR="00E45577" w:rsidRPr="0000085C">
        <w:t>t</w:t>
      </w:r>
      <w:r w:rsidRPr="0000085C">
        <w:t xml:space="preserve"> Door was by phone (46%) followed by email (29%) and </w:t>
      </w:r>
      <w:r w:rsidR="00B3269D" w:rsidRPr="0000085C">
        <w:t>in-person</w:t>
      </w:r>
      <w:r w:rsidRPr="0000085C">
        <w:t xml:space="preserve"> (19%).</w:t>
      </w:r>
    </w:p>
    <w:p w14:paraId="0EBEF2AF" w14:textId="77777777" w:rsidR="00195482" w:rsidRPr="0000085C" w:rsidRDefault="00195482" w:rsidP="00E509D2">
      <w:pPr>
        <w:pStyle w:val="BodyText"/>
        <w:ind w:right="-48"/>
      </w:pPr>
    </w:p>
    <w:p w14:paraId="77E5FFAA" w14:textId="6FD0D038" w:rsidR="00871EA2" w:rsidRPr="00344EAB" w:rsidRDefault="00871EA2" w:rsidP="00E509D2">
      <w:pPr>
        <w:pStyle w:val="BodyText"/>
        <w:ind w:right="-48"/>
        <w:rPr>
          <w:b/>
          <w:bCs/>
        </w:rPr>
      </w:pPr>
      <w:r w:rsidRPr="00344EAB">
        <w:rPr>
          <w:b/>
          <w:bCs/>
        </w:rPr>
        <w:t>Figure 5</w:t>
      </w:r>
      <w:r w:rsidR="0063750A" w:rsidRPr="0000085C">
        <w:rPr>
          <w:b/>
          <w:bCs/>
        </w:rPr>
        <w:t>. Number o</w:t>
      </w:r>
      <w:r w:rsidR="00070A24" w:rsidRPr="0000085C">
        <w:rPr>
          <w:b/>
          <w:bCs/>
        </w:rPr>
        <w:t>f</w:t>
      </w:r>
      <w:r w:rsidR="0063750A" w:rsidRPr="0000085C">
        <w:rPr>
          <w:b/>
          <w:bCs/>
        </w:rPr>
        <w:t xml:space="preserve"> enquires received by the </w:t>
      </w:r>
      <w:r w:rsidR="00070A24" w:rsidRPr="0000085C">
        <w:rPr>
          <w:b/>
          <w:bCs/>
        </w:rPr>
        <w:t>Housing Connect Front Door</w:t>
      </w:r>
    </w:p>
    <w:p w14:paraId="5A04D06A" w14:textId="5B71F65F" w:rsidR="00D1269B" w:rsidRPr="0000085C" w:rsidRDefault="00D1269B" w:rsidP="00E509D2">
      <w:pPr>
        <w:pStyle w:val="BodyText"/>
        <w:ind w:right="-48"/>
      </w:pPr>
      <w:r w:rsidRPr="00344EAB">
        <w:rPr>
          <w:noProof/>
          <w14:ligatures w14:val="standardContextual"/>
        </w:rPr>
        <w:drawing>
          <wp:inline distT="0" distB="0" distL="0" distR="0" wp14:anchorId="3E057D31" wp14:editId="42C1D4EC">
            <wp:extent cx="6210300" cy="3048000"/>
            <wp:effectExtent l="0" t="0" r="0" b="0"/>
            <wp:docPr id="1804551719" name="Chart 1" descr="Line graph showing number of enquiries received each month since July 2024, in the south, north, north west and statewide. The north and northwest lines remain fairly flat at around 1000. The south line dips in December and rises in January. The statewide line begins at 4034, dips to 3284 in December, peaks at 4509 in January, and ends at 4488 in March. ">
              <a:extLst xmlns:a="http://schemas.openxmlformats.org/drawingml/2006/main">
                <a:ext uri="{FF2B5EF4-FFF2-40B4-BE49-F238E27FC236}">
                  <a16:creationId xmlns:a16="http://schemas.microsoft.com/office/drawing/2014/main" id="{794E47AA-CD9B-610A-0CCA-F6DB531CB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80CCB7" w14:textId="77777777" w:rsidR="00A05333" w:rsidRPr="0000085C" w:rsidRDefault="00A05333" w:rsidP="00E509D2">
      <w:pPr>
        <w:pStyle w:val="BodyText"/>
        <w:ind w:right="-48"/>
      </w:pPr>
    </w:p>
    <w:p w14:paraId="5C9803E8" w14:textId="77777777" w:rsidR="00A05333" w:rsidRPr="0000085C" w:rsidRDefault="00A05333" w:rsidP="00E509D2">
      <w:pPr>
        <w:pStyle w:val="BodyText"/>
        <w:ind w:right="-48"/>
      </w:pPr>
    </w:p>
    <w:p w14:paraId="0B4C2E8E" w14:textId="77777777" w:rsidR="00A524B6" w:rsidRPr="0000085C" w:rsidRDefault="00A524B6">
      <w:pPr>
        <w:widowControl/>
        <w:autoSpaceDE/>
        <w:autoSpaceDN/>
        <w:spacing w:before="0" w:after="160" w:line="259" w:lineRule="auto"/>
      </w:pPr>
    </w:p>
    <w:p w14:paraId="67F70BDE" w14:textId="520B01AD" w:rsidR="005C584D" w:rsidRPr="0000085C" w:rsidRDefault="005C584D">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rsidRPr="0000085C">
        <w:br w:type="page"/>
      </w:r>
    </w:p>
    <w:p w14:paraId="4E529E77" w14:textId="77777777" w:rsidR="005C584D" w:rsidRPr="00344EAB" w:rsidRDefault="005C584D" w:rsidP="00E509D2">
      <w:pPr>
        <w:pStyle w:val="Heading2"/>
      </w:pPr>
      <w:bookmarkStart w:id="15" w:name="_Toc198823099"/>
      <w:r w:rsidRPr="00344EAB">
        <w:lastRenderedPageBreak/>
        <w:t>The people seeking support</w:t>
      </w:r>
      <w:bookmarkEnd w:id="15"/>
      <w:r w:rsidRPr="00344EAB">
        <w:t xml:space="preserve">  </w:t>
      </w:r>
    </w:p>
    <w:p w14:paraId="52962328" w14:textId="77777777" w:rsidR="005C584D" w:rsidRPr="0000085C" w:rsidRDefault="005C584D" w:rsidP="00E509D2">
      <w:r w:rsidRPr="0000085C">
        <w:t>Housing Connect provides support to Tasmanians who are:</w:t>
      </w:r>
    </w:p>
    <w:p w14:paraId="64CF8CE5" w14:textId="77777777" w:rsidR="005C584D" w:rsidRPr="0000085C" w:rsidRDefault="005C584D" w:rsidP="00E509D2">
      <w:pPr>
        <w:pStyle w:val="Bullets"/>
      </w:pPr>
      <w:r w:rsidRPr="0000085C">
        <w:t>homeless or at risk of being homeless</w:t>
      </w:r>
    </w:p>
    <w:p w14:paraId="095D2574" w14:textId="77777777" w:rsidR="005C584D" w:rsidRPr="0000085C" w:rsidRDefault="005C584D" w:rsidP="00E509D2">
      <w:pPr>
        <w:pStyle w:val="Bullets"/>
      </w:pPr>
      <w:r w:rsidRPr="0000085C">
        <w:t>living in unsafe housing or cannot stay where they normally live</w:t>
      </w:r>
    </w:p>
    <w:p w14:paraId="55729B12" w14:textId="2592CF97" w:rsidR="005C584D" w:rsidRPr="0000085C" w:rsidRDefault="005C584D" w:rsidP="00E509D2">
      <w:pPr>
        <w:pStyle w:val="Bullets"/>
      </w:pPr>
      <w:r w:rsidRPr="0000085C">
        <w:t xml:space="preserve">a safety risk to themselves or others or </w:t>
      </w:r>
      <w:r w:rsidR="00A66DBD">
        <w:t xml:space="preserve">with </w:t>
      </w:r>
      <w:r w:rsidRPr="0000085C">
        <w:t>a third-party threat to them or their household.</w:t>
      </w:r>
    </w:p>
    <w:p w14:paraId="28B3E9C4" w14:textId="77777777" w:rsidR="005C584D" w:rsidRPr="0000085C" w:rsidRDefault="005C584D" w:rsidP="00E509D2">
      <w:pPr>
        <w:contextualSpacing/>
      </w:pPr>
      <w:r w:rsidRPr="0000085C">
        <w:t>Support may also be available to people who are:</w:t>
      </w:r>
    </w:p>
    <w:p w14:paraId="191BD115" w14:textId="77777777" w:rsidR="005C584D" w:rsidRPr="0000085C" w:rsidRDefault="005C584D" w:rsidP="00E509D2">
      <w:pPr>
        <w:pStyle w:val="Bullets"/>
      </w:pPr>
      <w:r w:rsidRPr="0000085C">
        <w:t>having trouble paying their rent or bond</w:t>
      </w:r>
    </w:p>
    <w:p w14:paraId="5B30D40A" w14:textId="77777777" w:rsidR="005C584D" w:rsidRPr="0000085C" w:rsidRDefault="005C584D" w:rsidP="00E509D2">
      <w:pPr>
        <w:pStyle w:val="Bullets"/>
      </w:pPr>
      <w:r w:rsidRPr="0000085C">
        <w:t>moving and having trouble paying the costs</w:t>
      </w:r>
    </w:p>
    <w:p w14:paraId="7B43736C" w14:textId="77777777" w:rsidR="005C584D" w:rsidRPr="0000085C" w:rsidRDefault="005C584D" w:rsidP="00E509D2">
      <w:pPr>
        <w:pStyle w:val="Bullets"/>
      </w:pPr>
      <w:r w:rsidRPr="0000085C">
        <w:t>living in a place that makes it hard for them or makes their health or mobility worse</w:t>
      </w:r>
    </w:p>
    <w:p w14:paraId="3E820A87" w14:textId="79F2C42C" w:rsidR="005C584D" w:rsidRPr="0000085C" w:rsidRDefault="005C584D" w:rsidP="00E509D2">
      <w:pPr>
        <w:pStyle w:val="Bullets"/>
      </w:pPr>
      <w:r w:rsidRPr="0000085C">
        <w:t xml:space="preserve">unable to pay for their own housing. </w:t>
      </w:r>
    </w:p>
    <w:p w14:paraId="388E38BE" w14:textId="77777777" w:rsidR="004D7239" w:rsidRPr="0000085C" w:rsidRDefault="004D7239" w:rsidP="004D7239">
      <w:pPr>
        <w:pStyle w:val="BodyText"/>
      </w:pPr>
    </w:p>
    <w:p w14:paraId="1DDAB755" w14:textId="727B3E80" w:rsidR="005C584D" w:rsidRPr="0000085C" w:rsidRDefault="005C584D" w:rsidP="00E509D2">
      <w:pPr>
        <w:spacing w:before="0" w:after="0"/>
      </w:pPr>
      <w:r w:rsidRPr="0000085C">
        <w:t xml:space="preserve">Compared to the Tasmanian population, people </w:t>
      </w:r>
      <w:r w:rsidR="007037B2" w:rsidRPr="0000085C">
        <w:t>experiencing disadvantage and need</w:t>
      </w:r>
      <w:r w:rsidRPr="0000085C">
        <w:t>ing housing support</w:t>
      </w:r>
      <w:r w:rsidR="007037B2" w:rsidRPr="0000085C">
        <w:t xml:space="preserve"> </w:t>
      </w:r>
      <w:r w:rsidR="000A5005" w:rsidRPr="0000085C">
        <w:t>we</w:t>
      </w:r>
      <w:r w:rsidR="007037B2" w:rsidRPr="0000085C">
        <w:t>re</w:t>
      </w:r>
      <w:r w:rsidRPr="0000085C">
        <w:rPr>
          <w:rStyle w:val="FootnoteReference"/>
          <w:i/>
        </w:rPr>
        <w:footnoteReference w:id="2"/>
      </w:r>
      <w:r w:rsidRPr="0000085C">
        <w:t>:</w:t>
      </w:r>
    </w:p>
    <w:p w14:paraId="6AB80CFF" w14:textId="7DF1CEA3" w:rsidR="005C584D" w:rsidRPr="0000085C" w:rsidRDefault="00DB76F3" w:rsidP="00E509D2">
      <w:pPr>
        <w:pStyle w:val="Bullets"/>
      </w:pPr>
      <w:r w:rsidRPr="0000085C">
        <w:t>1.2</w:t>
      </w:r>
      <w:r w:rsidR="00E05A12" w:rsidRPr="0000085C">
        <w:t>X</w:t>
      </w:r>
      <w:r w:rsidRPr="0000085C">
        <w:t xml:space="preserve"> more likely to be </w:t>
      </w:r>
      <w:r w:rsidR="005C584D" w:rsidRPr="0000085C">
        <w:t xml:space="preserve">female </w:t>
      </w:r>
    </w:p>
    <w:p w14:paraId="5F33D6B1" w14:textId="526B05A6" w:rsidR="000A5005" w:rsidRPr="0000085C" w:rsidRDefault="000A5005" w:rsidP="000A5005">
      <w:pPr>
        <w:pStyle w:val="Bullets"/>
      </w:pPr>
      <w:r w:rsidRPr="0000085C">
        <w:t>1.4X more likely to be living alone or in share</w:t>
      </w:r>
      <w:r w:rsidR="00036A2E" w:rsidRPr="0000085C">
        <w:t xml:space="preserve"> </w:t>
      </w:r>
      <w:r w:rsidRPr="0000085C">
        <w:t>housing</w:t>
      </w:r>
    </w:p>
    <w:p w14:paraId="31D779AA" w14:textId="7FF8B461" w:rsidR="005C584D" w:rsidRPr="0000085C" w:rsidRDefault="00DB76F3" w:rsidP="00E509D2">
      <w:pPr>
        <w:pStyle w:val="Bullets"/>
      </w:pPr>
      <w:r w:rsidRPr="0000085C">
        <w:t>2.4</w:t>
      </w:r>
      <w:r w:rsidR="00E05A12" w:rsidRPr="0000085C">
        <w:t>X</w:t>
      </w:r>
      <w:r w:rsidRPr="0000085C">
        <w:t xml:space="preserve"> more likely to be </w:t>
      </w:r>
      <w:r w:rsidR="00E05A12" w:rsidRPr="0000085C">
        <w:t xml:space="preserve">a </w:t>
      </w:r>
      <w:r w:rsidR="005C584D" w:rsidRPr="0000085C">
        <w:t xml:space="preserve">young </w:t>
      </w:r>
      <w:r w:rsidR="00E05A12" w:rsidRPr="0000085C">
        <w:t>person</w:t>
      </w:r>
      <w:r w:rsidR="005C584D" w:rsidRPr="0000085C">
        <w:t xml:space="preserve"> aged 1</w:t>
      </w:r>
      <w:r w:rsidR="00AF2492" w:rsidRPr="0000085C">
        <w:t>6</w:t>
      </w:r>
      <w:r w:rsidR="005C584D" w:rsidRPr="0000085C">
        <w:t xml:space="preserve">-24 years </w:t>
      </w:r>
    </w:p>
    <w:p w14:paraId="247D976C" w14:textId="4920675E" w:rsidR="005C584D" w:rsidRPr="0000085C" w:rsidRDefault="000A5005" w:rsidP="000A5005">
      <w:pPr>
        <w:pStyle w:val="Bullets"/>
      </w:pPr>
      <w:r w:rsidRPr="0000085C">
        <w:t xml:space="preserve">2.4X more likely to be a </w:t>
      </w:r>
      <w:r w:rsidR="005C584D" w:rsidRPr="0000085C">
        <w:t>single parent with children</w:t>
      </w:r>
    </w:p>
    <w:p w14:paraId="7545A482" w14:textId="032CE594" w:rsidR="00E05A12" w:rsidRPr="0000085C" w:rsidRDefault="00E05A12" w:rsidP="00E05A12">
      <w:pPr>
        <w:pStyle w:val="Bullets"/>
      </w:pPr>
      <w:r w:rsidRPr="0000085C">
        <w:t>3.1X more likely to be living in a private rental</w:t>
      </w:r>
      <w:r w:rsidRPr="0000085C">
        <w:rPr>
          <w:rStyle w:val="FootnoteReference"/>
        </w:rPr>
        <w:footnoteReference w:id="3"/>
      </w:r>
    </w:p>
    <w:p w14:paraId="17A21F69" w14:textId="601788F5" w:rsidR="00AF2492" w:rsidRPr="0000085C" w:rsidRDefault="00E05A12" w:rsidP="00AF2492">
      <w:pPr>
        <w:pStyle w:val="Bullets"/>
      </w:pPr>
      <w:r w:rsidRPr="0000085C">
        <w:t xml:space="preserve">3.1X more likely to be an </w:t>
      </w:r>
      <w:r w:rsidR="00AF2492" w:rsidRPr="0000085C">
        <w:t>Aboriginal and/or Torres Strait Islander</w:t>
      </w:r>
    </w:p>
    <w:p w14:paraId="0481CC00" w14:textId="566DE870" w:rsidR="002E5629" w:rsidRPr="0000085C" w:rsidRDefault="002E5629">
      <w:pPr>
        <w:widowControl/>
        <w:autoSpaceDE/>
        <w:autoSpaceDN/>
        <w:spacing w:before="0" w:after="160" w:line="259" w:lineRule="auto"/>
      </w:pPr>
    </w:p>
    <w:p w14:paraId="769A4FDA" w14:textId="77777777" w:rsidR="003C25C1" w:rsidRDefault="003C25C1">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br w:type="page"/>
      </w:r>
    </w:p>
    <w:p w14:paraId="5EB8A04D" w14:textId="76F02A79" w:rsidR="005C584D" w:rsidRPr="00344EAB" w:rsidRDefault="00960E33" w:rsidP="00E509D2">
      <w:pPr>
        <w:pStyle w:val="Heading2"/>
      </w:pPr>
      <w:bookmarkStart w:id="16" w:name="_Toc198823100"/>
      <w:r w:rsidRPr="00344EAB">
        <w:lastRenderedPageBreak/>
        <w:t>People accessing</w:t>
      </w:r>
      <w:r w:rsidR="00DA68AA" w:rsidRPr="00344EAB">
        <w:t xml:space="preserve"> housing support</w:t>
      </w:r>
      <w:bookmarkEnd w:id="16"/>
    </w:p>
    <w:p w14:paraId="7FB57673" w14:textId="77777777" w:rsidR="004E44B8" w:rsidRPr="0000085C" w:rsidRDefault="004E44B8" w:rsidP="00CE47BE">
      <w:pPr>
        <w:widowControl/>
        <w:autoSpaceDE/>
        <w:autoSpaceDN/>
        <w:spacing w:before="0" w:after="160" w:line="259" w:lineRule="auto"/>
      </w:pPr>
      <w:bookmarkStart w:id="17" w:name="_Hlk198629943"/>
      <w:r w:rsidRPr="0000085C">
        <w:t xml:space="preserve">In the March quarter, there was an increase in </w:t>
      </w:r>
      <w:r>
        <w:t xml:space="preserve">people of </w:t>
      </w:r>
      <w:r w:rsidRPr="0000085C">
        <w:t>all genders seeking assistance</w:t>
      </w:r>
      <w:r>
        <w:t xml:space="preserve"> and</w:t>
      </w:r>
      <w:r w:rsidRPr="0000085C">
        <w:t xml:space="preserve"> an overall increase in the share of women seeking housing support.</w:t>
      </w:r>
    </w:p>
    <w:p w14:paraId="6F8E2092" w14:textId="77777777" w:rsidR="004E44B8" w:rsidRPr="0000085C" w:rsidRDefault="004E44B8" w:rsidP="00CE47BE">
      <w:pPr>
        <w:widowControl/>
        <w:autoSpaceDE/>
        <w:autoSpaceDN/>
        <w:spacing w:before="0" w:after="160" w:line="259" w:lineRule="auto"/>
      </w:pPr>
      <w:r>
        <w:t>In the same period,</w:t>
      </w:r>
      <w:r w:rsidRPr="0000085C">
        <w:t xml:space="preserve"> there was a 21% increase in the number of employed people seeking housing support</w:t>
      </w:r>
      <w:r>
        <w:t xml:space="preserve"> and the </w:t>
      </w:r>
      <w:r w:rsidRPr="0000085C">
        <w:t xml:space="preserve">number of young people seeking housing support </w:t>
      </w:r>
      <w:r>
        <w:t>rose by 20%</w:t>
      </w:r>
      <w:r w:rsidRPr="0000085C">
        <w:t>.</w:t>
      </w:r>
      <w:r>
        <w:t xml:space="preserve"> The overall share of employed people and young people seeking assistance increased.</w:t>
      </w:r>
    </w:p>
    <w:p w14:paraId="3A848417" w14:textId="77777777" w:rsidR="004E44B8" w:rsidRDefault="004E44B8" w:rsidP="004E44B8">
      <w:pPr>
        <w:widowControl/>
        <w:autoSpaceDE/>
        <w:autoSpaceDN/>
        <w:spacing w:before="0" w:after="160" w:line="259" w:lineRule="auto"/>
      </w:pPr>
      <w:r w:rsidRPr="0000085C">
        <w:t>The need for housing support increased among all families with children, with single parent families seeking support increasing by 16% and two-parent families increasing by 12%. The number of children in families seeking housing support rose by 11% to 1</w:t>
      </w:r>
      <w:r>
        <w:t>,</w:t>
      </w:r>
      <w:r w:rsidRPr="0000085C">
        <w:t>405 and unaccompanied children receiving housing support increased by 15% to 22.</w:t>
      </w:r>
    </w:p>
    <w:p w14:paraId="22D5BF4E" w14:textId="77777777" w:rsidR="002364BA" w:rsidRDefault="002364BA" w:rsidP="004E44B8">
      <w:pPr>
        <w:widowControl/>
        <w:autoSpaceDE/>
        <w:autoSpaceDN/>
        <w:spacing w:before="0" w:after="160" w:line="259" w:lineRule="auto"/>
      </w:pPr>
    </w:p>
    <w:p w14:paraId="3E1682A0" w14:textId="2A3AB7EC" w:rsidR="002364BA" w:rsidRDefault="002364BA" w:rsidP="00ED4092">
      <w:pPr>
        <w:pStyle w:val="ListParagraph"/>
      </w:pPr>
      <w:r>
        <w:t>842 women, up 12%</w:t>
      </w:r>
    </w:p>
    <w:p w14:paraId="2A314F2D" w14:textId="58FE546E" w:rsidR="002364BA" w:rsidRDefault="002364BA" w:rsidP="00ED4092">
      <w:pPr>
        <w:pStyle w:val="ListParagraph"/>
      </w:pPr>
      <w:r>
        <w:t>512 men, up 3%</w:t>
      </w:r>
    </w:p>
    <w:p w14:paraId="1CE6CCA7" w14:textId="18B23AE1" w:rsidR="002364BA" w:rsidRDefault="002364BA" w:rsidP="00ED4092">
      <w:pPr>
        <w:pStyle w:val="ListParagraph"/>
      </w:pPr>
      <w:r>
        <w:t>356 lone parents with children, up 12%</w:t>
      </w:r>
    </w:p>
    <w:p w14:paraId="1D84396E" w14:textId="5AB64AF9" w:rsidR="002364BA" w:rsidRDefault="002364BA" w:rsidP="00ED4092">
      <w:pPr>
        <w:pStyle w:val="ListParagraph"/>
      </w:pPr>
      <w:r>
        <w:t>84 couples with children, up 12%</w:t>
      </w:r>
    </w:p>
    <w:p w14:paraId="758E4BE7" w14:textId="04BA1D4C" w:rsidR="002364BA" w:rsidRDefault="002364BA" w:rsidP="00ED4092">
      <w:pPr>
        <w:pStyle w:val="ListParagraph"/>
      </w:pPr>
      <w:r>
        <w:t>1,405 children under 18 in families, up 11%</w:t>
      </w:r>
    </w:p>
    <w:p w14:paraId="471A79C9" w14:textId="243828E3" w:rsidR="002364BA" w:rsidRDefault="002364BA" w:rsidP="00ED4092">
      <w:pPr>
        <w:pStyle w:val="ListParagraph"/>
      </w:pPr>
      <w:r>
        <w:t>22 unaccompanied children</w:t>
      </w:r>
    </w:p>
    <w:p w14:paraId="28ECE6F9" w14:textId="7F07B951" w:rsidR="002364BA" w:rsidRDefault="002364BA" w:rsidP="00ED4092">
      <w:pPr>
        <w:pStyle w:val="ListParagraph"/>
      </w:pPr>
      <w:r>
        <w:t>319 people aged 16-24 years, up 21%</w:t>
      </w:r>
    </w:p>
    <w:p w14:paraId="22CB1085" w14:textId="1B91ADFB" w:rsidR="002364BA" w:rsidRDefault="002364BA" w:rsidP="00ED4092">
      <w:pPr>
        <w:pStyle w:val="ListParagraph"/>
      </w:pPr>
      <w:r>
        <w:t>173 people in part-time employment, up 14%</w:t>
      </w:r>
    </w:p>
    <w:p w14:paraId="3DD3971D" w14:textId="13218A4D" w:rsidR="002364BA" w:rsidRPr="002364BA" w:rsidRDefault="002364BA" w:rsidP="00ED4092">
      <w:pPr>
        <w:pStyle w:val="ListParagraph"/>
      </w:pPr>
      <w:r>
        <w:t>205 people in employment, up 21%</w:t>
      </w:r>
    </w:p>
    <w:p w14:paraId="1EA9C4B5" w14:textId="77777777" w:rsidR="002364BA" w:rsidRPr="002364BA" w:rsidRDefault="002364BA" w:rsidP="002364BA"/>
    <w:bookmarkEnd w:id="17"/>
    <w:p w14:paraId="7B4AF360" w14:textId="1FB7DF19" w:rsidR="004D3FD6" w:rsidRPr="0000085C" w:rsidRDefault="004D3FD6">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rsidRPr="0000085C">
        <w:br w:type="page"/>
      </w:r>
    </w:p>
    <w:p w14:paraId="57A23F6C" w14:textId="4CD3FAD7" w:rsidR="005C584D" w:rsidRPr="00344EAB" w:rsidRDefault="005C584D" w:rsidP="00E509D2">
      <w:pPr>
        <w:pStyle w:val="Heading2"/>
      </w:pPr>
      <w:bookmarkStart w:id="18" w:name="_Toc198823101"/>
      <w:r w:rsidRPr="00344EAB">
        <w:lastRenderedPageBreak/>
        <w:t>Housing circumstances of people seeking housing support</w:t>
      </w:r>
      <w:bookmarkEnd w:id="18"/>
    </w:p>
    <w:p w14:paraId="046DDF5E" w14:textId="7EA83A4F" w:rsidR="00DA68AA" w:rsidRPr="0000085C" w:rsidRDefault="00C07805" w:rsidP="00DA68AA">
      <w:r w:rsidRPr="0000085C">
        <w:t>The most common housing circumstances of people receiving housing support were:</w:t>
      </w:r>
    </w:p>
    <w:p w14:paraId="061ED8FE" w14:textId="71223CF9" w:rsidR="00DA68AA" w:rsidRPr="0000085C" w:rsidRDefault="00DA68AA" w:rsidP="00ED4092">
      <w:pPr>
        <w:pStyle w:val="ListParagraph"/>
      </w:pPr>
      <w:r w:rsidRPr="0000085C">
        <w:t xml:space="preserve">403 people renting in the private market </w:t>
      </w:r>
      <w:r w:rsidR="002364BA">
        <w:t xml:space="preserve">up </w:t>
      </w:r>
      <w:r w:rsidRPr="0000085C">
        <w:t>4%</w:t>
      </w:r>
    </w:p>
    <w:p w14:paraId="68773275" w14:textId="0DDDC89C" w:rsidR="00DA68AA" w:rsidRPr="0000085C" w:rsidRDefault="00DA68AA" w:rsidP="00ED4092">
      <w:pPr>
        <w:pStyle w:val="ListParagraph"/>
      </w:pPr>
      <w:r w:rsidRPr="0000085C">
        <w:t xml:space="preserve">231 people couch surfing </w:t>
      </w:r>
      <w:r w:rsidR="002364BA">
        <w:t xml:space="preserve">down </w:t>
      </w:r>
      <w:r w:rsidRPr="0000085C">
        <w:t>3%</w:t>
      </w:r>
    </w:p>
    <w:p w14:paraId="3FD79675" w14:textId="6DD0CEAA" w:rsidR="00DA68AA" w:rsidRPr="0000085C" w:rsidRDefault="00DA68AA" w:rsidP="00ED4092">
      <w:pPr>
        <w:pStyle w:val="ListParagraph"/>
      </w:pPr>
      <w:r w:rsidRPr="0000085C">
        <w:t>168 people sleeping rough or in a car, tent, or improvised dwelling</w:t>
      </w:r>
      <w:r w:rsidR="004F33E2" w:rsidRPr="0000085C">
        <w:t xml:space="preserve"> </w:t>
      </w:r>
      <w:r w:rsidR="002364BA">
        <w:t xml:space="preserve">up </w:t>
      </w:r>
      <w:r w:rsidR="00803CBB" w:rsidRPr="0000085C">
        <w:t>18</w:t>
      </w:r>
      <w:r w:rsidRPr="0000085C">
        <w:t xml:space="preserve">% </w:t>
      </w:r>
    </w:p>
    <w:p w14:paraId="606C8B38" w14:textId="3C360949" w:rsidR="00C07805" w:rsidRPr="0000085C" w:rsidRDefault="00C07805" w:rsidP="00ED4092">
      <w:pPr>
        <w:pStyle w:val="ListParagraph"/>
      </w:pPr>
      <w:r w:rsidRPr="0000085C">
        <w:t xml:space="preserve">158 people in emergency and crisis accommodation </w:t>
      </w:r>
      <w:r w:rsidR="002364BA">
        <w:t xml:space="preserve">down </w:t>
      </w:r>
      <w:r w:rsidRPr="0000085C">
        <w:t>53%</w:t>
      </w:r>
    </w:p>
    <w:p w14:paraId="0B48D707" w14:textId="56A55B4D" w:rsidR="00DA68AA" w:rsidRPr="0000085C" w:rsidRDefault="004F33E2" w:rsidP="00DA68AA">
      <w:pPr>
        <w:pStyle w:val="BodyText"/>
      </w:pPr>
      <w:r w:rsidRPr="0000085C">
        <w:t>Together, these four groups accounted for more than two-thirds (67%) of people accessing housing support.</w:t>
      </w:r>
    </w:p>
    <w:p w14:paraId="2E80599D" w14:textId="1167F930" w:rsidR="0081513A" w:rsidRPr="0000085C" w:rsidRDefault="0081513A" w:rsidP="00C720A4">
      <w:pPr>
        <w:pStyle w:val="Heading3"/>
      </w:pPr>
      <w:r w:rsidRPr="0000085C">
        <w:t>Primary homelessness</w:t>
      </w:r>
    </w:p>
    <w:p w14:paraId="3A29591E" w14:textId="7C0FEFA4" w:rsidR="00B867CC" w:rsidRPr="0000085C" w:rsidRDefault="00956978" w:rsidP="00DA68AA">
      <w:pPr>
        <w:pStyle w:val="BodyText"/>
      </w:pPr>
      <w:r w:rsidRPr="0000085C">
        <w:rPr>
          <w:b/>
          <w:bCs/>
        </w:rPr>
        <w:t xml:space="preserve">The number of people </w:t>
      </w:r>
      <w:r w:rsidR="00D33DBF" w:rsidRPr="0000085C">
        <w:rPr>
          <w:b/>
          <w:bCs/>
        </w:rPr>
        <w:t xml:space="preserve">without any housing who </w:t>
      </w:r>
      <w:r w:rsidRPr="0000085C">
        <w:rPr>
          <w:b/>
          <w:bCs/>
        </w:rPr>
        <w:t>s</w:t>
      </w:r>
      <w:r w:rsidR="00D33DBF" w:rsidRPr="0000085C">
        <w:rPr>
          <w:b/>
          <w:bCs/>
        </w:rPr>
        <w:t xml:space="preserve">ought </w:t>
      </w:r>
      <w:r w:rsidRPr="0000085C">
        <w:rPr>
          <w:b/>
          <w:bCs/>
        </w:rPr>
        <w:t xml:space="preserve">support </w:t>
      </w:r>
      <w:r w:rsidR="00706490" w:rsidRPr="0000085C">
        <w:rPr>
          <w:b/>
          <w:bCs/>
        </w:rPr>
        <w:t>was up by 18% in the March quarter</w:t>
      </w:r>
      <w:r w:rsidR="00C924C8" w:rsidRPr="0000085C">
        <w:rPr>
          <w:b/>
          <w:bCs/>
        </w:rPr>
        <w:t>.</w:t>
      </w:r>
      <w:r w:rsidR="00C924C8" w:rsidRPr="0000085C">
        <w:t xml:space="preserve"> </w:t>
      </w:r>
      <w:r w:rsidR="00B34726" w:rsidRPr="0000085C">
        <w:t>This includes</w:t>
      </w:r>
      <w:r w:rsidR="00DB3C01" w:rsidRPr="0000085C">
        <w:t xml:space="preserve"> those who are sleeping rough, or in a car, tent or improvised dwelling. People experiencing </w:t>
      </w:r>
      <w:r w:rsidR="00B867CC" w:rsidRPr="0000085C">
        <w:t xml:space="preserve">primary homelessness </w:t>
      </w:r>
      <w:r w:rsidR="00C924C8" w:rsidRPr="0000085C">
        <w:t>accounted for</w:t>
      </w:r>
      <w:r w:rsidR="00DB3C01" w:rsidRPr="0000085C">
        <w:t xml:space="preserve"> </w:t>
      </w:r>
      <w:r w:rsidR="00740760" w:rsidRPr="0000085C">
        <w:t>a larger share</w:t>
      </w:r>
      <w:r w:rsidR="00DB3C01" w:rsidRPr="0000085C">
        <w:t xml:space="preserve"> of people accessing housing support</w:t>
      </w:r>
      <w:r w:rsidR="00740760" w:rsidRPr="0000085C">
        <w:t xml:space="preserve"> compared to</w:t>
      </w:r>
      <w:r w:rsidRPr="0000085C">
        <w:t xml:space="preserve"> the December</w:t>
      </w:r>
      <w:r w:rsidR="00B867CC" w:rsidRPr="0000085C">
        <w:t xml:space="preserve"> quarter.</w:t>
      </w:r>
    </w:p>
    <w:p w14:paraId="09AA5152" w14:textId="393BDF3D" w:rsidR="0081513A" w:rsidRPr="0000085C" w:rsidRDefault="0022610A" w:rsidP="00C720A4">
      <w:pPr>
        <w:pStyle w:val="Heading3"/>
      </w:pPr>
      <w:r>
        <w:t>Other homeless and m</w:t>
      </w:r>
      <w:r w:rsidR="0081513A" w:rsidRPr="0000085C">
        <w:t>arginally housed</w:t>
      </w:r>
    </w:p>
    <w:p w14:paraId="64617A23" w14:textId="4D2846D1" w:rsidR="00B867CC" w:rsidRPr="0000085C" w:rsidRDefault="00B867CC" w:rsidP="00DA68AA">
      <w:pPr>
        <w:pStyle w:val="BodyText"/>
      </w:pPr>
      <w:r w:rsidRPr="0000085C">
        <w:t>Just over half (721)</w:t>
      </w:r>
      <w:r w:rsidR="00E45577" w:rsidRPr="0000085C">
        <w:t xml:space="preserve"> of people seeking housing support </w:t>
      </w:r>
      <w:r w:rsidRPr="0000085C">
        <w:t xml:space="preserve">were </w:t>
      </w:r>
      <w:r w:rsidR="005162C7">
        <w:t xml:space="preserve">either </w:t>
      </w:r>
      <w:r w:rsidR="005162C7" w:rsidRPr="0000085C">
        <w:t>marginally housed</w:t>
      </w:r>
      <w:r w:rsidR="005162C7">
        <w:t xml:space="preserve"> or were </w:t>
      </w:r>
      <w:r w:rsidR="00D42061">
        <w:t>experiencing homelessness even though they were not sleeping rough</w:t>
      </w:r>
      <w:r w:rsidRPr="0000085C">
        <w:t>. This means that although they had ‘a roof over their heads’</w:t>
      </w:r>
      <w:r w:rsidR="00803CBB" w:rsidRPr="0000085C">
        <w:t xml:space="preserve">, </w:t>
      </w:r>
      <w:r w:rsidR="006E42B4" w:rsidRPr="0000085C">
        <w:t>they</w:t>
      </w:r>
      <w:r w:rsidRPr="0000085C">
        <w:t xml:space="preserve"> </w:t>
      </w:r>
      <w:r w:rsidR="00132B54" w:rsidRPr="0000085C">
        <w:t xml:space="preserve">did not have secure housing and </w:t>
      </w:r>
      <w:r w:rsidRPr="0000085C">
        <w:t>were experiencing secondary or tertiary homeless</w:t>
      </w:r>
      <w:r w:rsidR="00803CBB" w:rsidRPr="0000085C">
        <w:t>ness</w:t>
      </w:r>
      <w:r w:rsidR="00132B54" w:rsidRPr="0000085C">
        <w:t>.</w:t>
      </w:r>
    </w:p>
    <w:p w14:paraId="4BDD07E0" w14:textId="396D6F10" w:rsidR="00B30890" w:rsidRPr="00D53D80" w:rsidRDefault="00D53D80" w:rsidP="00803CBB">
      <w:pPr>
        <w:pStyle w:val="BodyText"/>
      </w:pPr>
      <w:r>
        <w:t>More than half</w:t>
      </w:r>
      <w:r w:rsidR="0081513A" w:rsidRPr="00D53D80">
        <w:t xml:space="preserve"> </w:t>
      </w:r>
      <w:r w:rsidR="00B867CC" w:rsidRPr="00D53D80">
        <w:t>of these people were couch surfing or staying in emergency or crisis accommodation</w:t>
      </w:r>
      <w:r w:rsidR="00B30890" w:rsidRPr="00D53D80">
        <w:t xml:space="preserve"> (389)</w:t>
      </w:r>
      <w:r w:rsidR="00B867CC" w:rsidRPr="00D53D80">
        <w:t xml:space="preserve">. </w:t>
      </w:r>
    </w:p>
    <w:p w14:paraId="30D9B15D" w14:textId="6C2C58AB" w:rsidR="0081513A" w:rsidRPr="0000085C" w:rsidRDefault="00DB3C01" w:rsidP="00803CBB">
      <w:pPr>
        <w:pStyle w:val="BodyText"/>
      </w:pPr>
      <w:r w:rsidRPr="0000085C">
        <w:t>Other</w:t>
      </w:r>
      <w:r w:rsidR="0081513A" w:rsidRPr="0000085C">
        <w:t xml:space="preserve"> marginally housed people</w:t>
      </w:r>
      <w:r w:rsidR="00803CBB" w:rsidRPr="0000085C">
        <w:t xml:space="preserve"> were </w:t>
      </w:r>
      <w:r w:rsidR="0081513A" w:rsidRPr="0000085C">
        <w:t>boarding</w:t>
      </w:r>
      <w:r w:rsidR="00803CBB" w:rsidRPr="0000085C">
        <w:t xml:space="preserve"> (114)</w:t>
      </w:r>
      <w:r w:rsidR="005F767A">
        <w:t>,</w:t>
      </w:r>
      <w:r w:rsidR="00803CBB" w:rsidRPr="0000085C">
        <w:t xml:space="preserve"> </w:t>
      </w:r>
      <w:r w:rsidR="0081513A" w:rsidRPr="0000085C">
        <w:t>living with a relative fee free</w:t>
      </w:r>
      <w:r w:rsidR="00803CBB" w:rsidRPr="0000085C">
        <w:t xml:space="preserve"> (82)</w:t>
      </w:r>
      <w:r w:rsidR="001823CB">
        <w:t>,</w:t>
      </w:r>
      <w:r w:rsidR="00803CBB" w:rsidRPr="0000085C">
        <w:t xml:space="preserve"> in a hospital, rehabilitation or correctional facility (78)</w:t>
      </w:r>
      <w:r w:rsidR="005F767A">
        <w:t xml:space="preserve">, </w:t>
      </w:r>
      <w:r w:rsidR="00803CBB" w:rsidRPr="0000085C">
        <w:t>in transitional housing (31) or were living in a caravan, cabin or boat (27).</w:t>
      </w:r>
    </w:p>
    <w:p w14:paraId="51AB2D74" w14:textId="0A7009E3" w:rsidR="0081513A" w:rsidRPr="0000085C" w:rsidRDefault="0081513A" w:rsidP="00C720A4">
      <w:pPr>
        <w:pStyle w:val="Heading3"/>
      </w:pPr>
      <w:r w:rsidRPr="0000085C">
        <w:t>Long-term housed</w:t>
      </w:r>
    </w:p>
    <w:p w14:paraId="08182D09" w14:textId="7B1E4A19" w:rsidR="0081513A" w:rsidRPr="0000085C" w:rsidRDefault="00CA3F4F" w:rsidP="0081513A">
      <w:r w:rsidRPr="0000085C">
        <w:t>Fewer</w:t>
      </w:r>
      <w:r w:rsidR="0081513A" w:rsidRPr="0000085C">
        <w:t xml:space="preserve"> than 4 in </w:t>
      </w:r>
      <w:r w:rsidR="00DB3C01" w:rsidRPr="0000085C">
        <w:t>10</w:t>
      </w:r>
      <w:r w:rsidR="0081513A" w:rsidRPr="0000085C">
        <w:t xml:space="preserve"> people seeking housing support were </w:t>
      </w:r>
      <w:r w:rsidR="00DB3C01" w:rsidRPr="0000085C">
        <w:t>in</w:t>
      </w:r>
      <w:r w:rsidR="0081513A" w:rsidRPr="0000085C">
        <w:t xml:space="preserve"> long-term</w:t>
      </w:r>
      <w:r w:rsidR="00DB3C01" w:rsidRPr="0000085C">
        <w:t xml:space="preserve"> housing and the vast majority of these people </w:t>
      </w:r>
      <w:r w:rsidR="0081513A" w:rsidRPr="0000085C">
        <w:t>were renting</w:t>
      </w:r>
      <w:r w:rsidRPr="0000085C">
        <w:t xml:space="preserve"> (98%)</w:t>
      </w:r>
      <w:r w:rsidR="0081513A" w:rsidRPr="0000085C">
        <w:t xml:space="preserve">. </w:t>
      </w:r>
      <w:r w:rsidR="00DB3C01" w:rsidRPr="0000085C">
        <w:t>Compared to last quarter, private renters made up a larger share of all people seeking housing</w:t>
      </w:r>
      <w:r w:rsidR="00C64E30" w:rsidRPr="0000085C">
        <w:t>, reflecting the increas</w:t>
      </w:r>
      <w:r w:rsidR="00A07B6E" w:rsidRPr="0000085C">
        <w:t>ed</w:t>
      </w:r>
      <w:r w:rsidR="00C64E30" w:rsidRPr="0000085C">
        <w:t xml:space="preserve"> financial stress they </w:t>
      </w:r>
      <w:r w:rsidR="00960031" w:rsidRPr="0000085C">
        <w:t xml:space="preserve">were </w:t>
      </w:r>
      <w:r w:rsidR="00C64E30" w:rsidRPr="0000085C">
        <w:t>experiencing.</w:t>
      </w:r>
    </w:p>
    <w:p w14:paraId="605B5AC1" w14:textId="77777777" w:rsidR="00B867CC" w:rsidRPr="0000085C" w:rsidRDefault="00B867CC" w:rsidP="00DA68AA">
      <w:pPr>
        <w:pStyle w:val="BodyText"/>
      </w:pPr>
    </w:p>
    <w:p w14:paraId="6C058D34" w14:textId="77777777" w:rsidR="00B867CC" w:rsidRPr="0000085C" w:rsidRDefault="00B867CC">
      <w:pPr>
        <w:widowControl/>
        <w:autoSpaceDE/>
        <w:autoSpaceDN/>
        <w:spacing w:before="0" w:after="160" w:line="259" w:lineRule="auto"/>
        <w:rPr>
          <w:b/>
        </w:rPr>
      </w:pPr>
      <w:r w:rsidRPr="0000085C">
        <w:rPr>
          <w:b/>
        </w:rPr>
        <w:br w:type="page"/>
      </w:r>
    </w:p>
    <w:p w14:paraId="332BC857" w14:textId="24FAAAD5" w:rsidR="005C584D" w:rsidRPr="0000085C" w:rsidRDefault="007525AB" w:rsidP="00E509D2">
      <w:pPr>
        <w:spacing w:before="0" w:after="0"/>
        <w:rPr>
          <w:b/>
        </w:rPr>
      </w:pPr>
      <w:r w:rsidRPr="00344EAB">
        <w:rPr>
          <w:b/>
          <w:noProof/>
        </w:rPr>
        <w:lastRenderedPageBreak/>
        <mc:AlternateContent>
          <mc:Choice Requires="wps">
            <w:drawing>
              <wp:anchor distT="0" distB="0" distL="114300" distR="114300" simplePos="0" relativeHeight="251658246" behindDoc="0" locked="0" layoutInCell="1" allowOverlap="1" wp14:anchorId="47D3213F" wp14:editId="46494CA8">
                <wp:simplePos x="0" y="0"/>
                <wp:positionH relativeFrom="page">
                  <wp:posOffset>3927475</wp:posOffset>
                </wp:positionH>
                <wp:positionV relativeFrom="paragraph">
                  <wp:posOffset>6396990</wp:posOffset>
                </wp:positionV>
                <wp:extent cx="698500" cy="342900"/>
                <wp:effectExtent l="0" t="0" r="0" b="0"/>
                <wp:wrapNone/>
                <wp:docPr id="1042314083" name="Text Box 6"/>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w="6350">
                          <a:noFill/>
                        </a:ln>
                      </wps:spPr>
                      <wps:txbx>
                        <w:txbxContent>
                          <w:p w14:paraId="0C267CD7" w14:textId="6D79950D" w:rsidR="005C584D" w:rsidRPr="0000085C" w:rsidRDefault="005C584D" w:rsidP="00E509D2">
                            <w:pPr>
                              <w:spacing w:before="0" w:after="0"/>
                              <w:jc w:val="center"/>
                              <w:rPr>
                                <w:rFonts w:ascii="Avenir Next LT Pro Demi" w:hAnsi="Avenir Next LT Pro Demi"/>
                                <w:b/>
                                <w:bCs/>
                                <w:color w:val="FFFFFF" w:themeColor="background1"/>
                                <w:sz w:val="3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3213F" id="_x0000_t202" coordsize="21600,21600" o:spt="202" path="m,l,21600r21600,l21600,xe">
                <v:stroke joinstyle="miter"/>
                <v:path gradientshapeok="t" o:connecttype="rect"/>
              </v:shapetype>
              <v:shape id="Text Box 6" o:spid="_x0000_s1026" type="#_x0000_t202" style="position:absolute;margin-left:309.25pt;margin-top:503.7pt;width:55pt;height:2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" filled="f" stroked="f" strokeweight=".5pt">
                <v:textbox>
                  <w:txbxContent>
                    <w:p w14:paraId="0C267CD7" w14:textId="6D79950D" w:rsidR="005C584D" w:rsidRPr="0000085C" w:rsidRDefault="005C584D" w:rsidP="00E509D2">
                      <w:pPr>
                        <w:spacing w:before="0" w:after="0"/>
                        <w:jc w:val="center"/>
                        <w:rPr>
                          <w:rFonts w:ascii="Avenir Next LT Pro Demi" w:hAnsi="Avenir Next LT Pro Demi"/>
                          <w:b/>
                          <w:bCs/>
                          <w:color w:val="FFFFFF" w:themeColor="background1"/>
                          <w:sz w:val="34"/>
                          <w:szCs w:val="32"/>
                        </w:rPr>
                      </w:pPr>
                    </w:p>
                  </w:txbxContent>
                </v:textbox>
                <w10:wrap anchorx="page"/>
              </v:shape>
            </w:pict>
          </mc:Fallback>
        </mc:AlternateContent>
      </w:r>
      <w:r w:rsidR="00871EA2" w:rsidRPr="0000085C">
        <w:rPr>
          <w:b/>
        </w:rPr>
        <w:t>Figure 6</w:t>
      </w:r>
      <w:r w:rsidR="00D37594" w:rsidRPr="0000085C">
        <w:rPr>
          <w:b/>
        </w:rPr>
        <w:t>.</w:t>
      </w:r>
      <w:r w:rsidR="00DB3D1E" w:rsidRPr="0000085C">
        <w:rPr>
          <w:b/>
        </w:rPr>
        <w:t xml:space="preserve"> Housing </w:t>
      </w:r>
      <w:r w:rsidR="00B41E6E" w:rsidRPr="0000085C">
        <w:rPr>
          <w:b/>
        </w:rPr>
        <w:t>circumstance one week before starting a period of housing support</w:t>
      </w:r>
    </w:p>
    <w:p w14:paraId="0BA7588D" w14:textId="737B451C" w:rsidR="005C584D" w:rsidRPr="00344EAB" w:rsidRDefault="00DB3D1E" w:rsidP="004F33E2">
      <w:pPr>
        <w:widowControl/>
        <w:autoSpaceDE/>
        <w:autoSpaceDN/>
        <w:spacing w:before="0" w:after="160" w:line="259" w:lineRule="auto"/>
      </w:pPr>
      <w:r w:rsidRPr="00344EAB">
        <w:rPr>
          <w:noProof/>
          <w14:ligatures w14:val="standardContextual"/>
        </w:rPr>
        <mc:AlternateContent>
          <mc:Choice Requires="cx1">
            <w:drawing>
              <wp:anchor distT="0" distB="0" distL="114300" distR="114300" simplePos="0" relativeHeight="251658264" behindDoc="1" locked="0" layoutInCell="1" allowOverlap="1" wp14:anchorId="04B7F752" wp14:editId="656889E3">
                <wp:simplePos x="0" y="0"/>
                <wp:positionH relativeFrom="margin">
                  <wp:align>left</wp:align>
                </wp:positionH>
                <wp:positionV relativeFrom="paragraph">
                  <wp:posOffset>76200</wp:posOffset>
                </wp:positionV>
                <wp:extent cx="6191250" cy="6543675"/>
                <wp:effectExtent l="0" t="0" r="0" b="9525"/>
                <wp:wrapNone/>
                <wp:docPr id="436753103" name="Chart 1" descr="Pie chart showing 12% in primary homelessness, 51% marginally housed and 38% long-term housed. An outside ring divides these groups further, as described in text.">
                  <a:extLst xmlns:a="http://schemas.openxmlformats.org/drawingml/2006/main">
                    <a:ext uri="{FF2B5EF4-FFF2-40B4-BE49-F238E27FC236}">
                      <a16:creationId xmlns:a16="http://schemas.microsoft.com/office/drawing/2014/main" id="{092C6317-DEAA-F6A4-D5B0-22339C97778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8264" behindDoc="1" locked="0" layoutInCell="1" allowOverlap="1" wp14:anchorId="04B7F752" wp14:editId="656889E3">
                <wp:simplePos x="0" y="0"/>
                <wp:positionH relativeFrom="margin">
                  <wp:align>left</wp:align>
                </wp:positionH>
                <wp:positionV relativeFrom="paragraph">
                  <wp:posOffset>76200</wp:posOffset>
                </wp:positionV>
                <wp:extent cx="6191250" cy="6543675"/>
                <wp:effectExtent l="0" t="0" r="0" b="9525"/>
                <wp:wrapNone/>
                <wp:docPr id="436753103" name="Chart 1" descr="Pie chart showing 12% in primary homelessness, 51% marginally housed and 38% long-term housed. An outside ring divides these groups further, as described in text.">
                  <a:extLst xmlns:a="http://schemas.openxmlformats.org/drawingml/2006/main">
                    <a:ext uri="{FF2B5EF4-FFF2-40B4-BE49-F238E27FC236}">
                      <a16:creationId xmlns:a16="http://schemas.microsoft.com/office/drawing/2014/main" id="{092C6317-DEAA-F6A4-D5B0-22339C97778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36753103" name="Chart 1" descr="Pie chart showing 12% in primary homelessness, 51% marginally housed and 38% long-term housed. An outside ring divides these groups further, as described in text.">
                          <a:extLst>
                            <a:ext uri="{FF2B5EF4-FFF2-40B4-BE49-F238E27FC236}">
                              <a16:creationId xmlns:a16="http://schemas.microsoft.com/office/drawing/2014/main" id="{092C6317-DEAA-F6A4-D5B0-22339C97778C}"/>
                            </a:ext>
                          </a:extLst>
                        </pic:cNvPr>
                        <pic:cNvPicPr>
                          <a:picLocks noGrp="1" noRot="1" noChangeAspect="1" noMove="1" noResize="1" noEditPoints="1" noAdjustHandles="1" noChangeArrowheads="1" noChangeShapeType="1"/>
                        </pic:cNvPicPr>
                      </pic:nvPicPr>
                      <pic:blipFill>
                        <a:blip r:embed="rId39"/>
                        <a:stretch>
                          <a:fillRect/>
                        </a:stretch>
                      </pic:blipFill>
                      <pic:spPr>
                        <a:xfrm>
                          <a:off x="0" y="0"/>
                          <a:ext cx="6191250" cy="654367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1C09EE1A" w14:textId="7C08A4B9" w:rsidR="00AE3B08" w:rsidRPr="0000085C" w:rsidRDefault="00B867CC">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rsidRPr="00344EAB">
        <w:rPr>
          <w:noProof/>
          <w14:ligatures w14:val="standardContextual"/>
        </w:rPr>
        <mc:AlternateContent>
          <mc:Choice Requires="wps">
            <w:drawing>
              <wp:anchor distT="0" distB="0" distL="114300" distR="114300" simplePos="0" relativeHeight="251658242" behindDoc="0" locked="0" layoutInCell="1" allowOverlap="1" wp14:anchorId="4485102F" wp14:editId="67C0E4FC">
                <wp:simplePos x="0" y="0"/>
                <wp:positionH relativeFrom="column">
                  <wp:posOffset>1382395</wp:posOffset>
                </wp:positionH>
                <wp:positionV relativeFrom="paragraph">
                  <wp:posOffset>344170</wp:posOffset>
                </wp:positionV>
                <wp:extent cx="1724025" cy="771525"/>
                <wp:effectExtent l="0" t="0" r="0" b="0"/>
                <wp:wrapNone/>
                <wp:docPr id="212682835" name="Text Box 23"/>
                <wp:cNvGraphicFramePr/>
                <a:graphic xmlns:a="http://schemas.openxmlformats.org/drawingml/2006/main">
                  <a:graphicData uri="http://schemas.microsoft.com/office/word/2010/wordprocessingShape">
                    <wps:wsp>
                      <wps:cNvSpPr txBox="1"/>
                      <wps:spPr>
                        <a:xfrm>
                          <a:off x="0" y="0"/>
                          <a:ext cx="1724025" cy="771525"/>
                        </a:xfrm>
                        <a:prstGeom prst="rect">
                          <a:avLst/>
                        </a:prstGeom>
                        <a:noFill/>
                        <a:ln w="6350">
                          <a:noFill/>
                        </a:ln>
                      </wps:spPr>
                      <wps:txbx>
                        <w:txbxContent>
                          <w:p w14:paraId="5F8DFB0A" w14:textId="61D14E22" w:rsidR="00E55684" w:rsidRPr="0000085C" w:rsidRDefault="00E55684" w:rsidP="00E55684">
                            <w:pPr>
                              <w:jc w:val="center"/>
                              <w:rPr>
                                <w:color w:val="FFFFFF" w:themeColor="background1"/>
                              </w:rPr>
                            </w:pPr>
                            <w:r w:rsidRPr="0000085C">
                              <w:rPr>
                                <w:color w:val="FFFFFF" w:themeColor="background1"/>
                              </w:rPr>
                              <w:t>Car, tent, improvised dwelling, sleeping 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102F" id="Text Box 23" o:spid="_x0000_s1027" type="#_x0000_t202" style="position:absolute;margin-left:108.85pt;margin-top:27.1pt;width:135.75pt;height:6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" filled="f" stroked="f" strokeweight=".5pt">
                <v:textbox>
                  <w:txbxContent>
                    <w:p w14:paraId="5F8DFB0A" w14:textId="61D14E22" w:rsidR="00E55684" w:rsidRPr="0000085C" w:rsidRDefault="00E55684" w:rsidP="00E55684">
                      <w:pPr>
                        <w:jc w:val="center"/>
                        <w:rPr>
                          <w:color w:val="FFFFFF" w:themeColor="background1"/>
                        </w:rPr>
                      </w:pPr>
                      <w:r w:rsidRPr="0000085C">
                        <w:rPr>
                          <w:color w:val="FFFFFF" w:themeColor="background1"/>
                        </w:rPr>
                        <w:t>Car, tent, improvised dwelling, sleeping rough</w:t>
                      </w:r>
                    </w:p>
                  </w:txbxContent>
                </v:textbox>
              </v:shape>
            </w:pict>
          </mc:Fallback>
        </mc:AlternateContent>
      </w:r>
      <w:r w:rsidRPr="00344EAB">
        <w:rPr>
          <w:noProof/>
          <w14:ligatures w14:val="standardContextual"/>
        </w:rPr>
        <mc:AlternateContent>
          <mc:Choice Requires="wps">
            <w:drawing>
              <wp:anchor distT="0" distB="0" distL="114300" distR="114300" simplePos="0" relativeHeight="251658241" behindDoc="0" locked="0" layoutInCell="1" allowOverlap="1" wp14:anchorId="32E126A8" wp14:editId="3143AEA6">
                <wp:simplePos x="0" y="0"/>
                <wp:positionH relativeFrom="column">
                  <wp:posOffset>4014470</wp:posOffset>
                </wp:positionH>
                <wp:positionV relativeFrom="paragraph">
                  <wp:posOffset>2601595</wp:posOffset>
                </wp:positionV>
                <wp:extent cx="1095375" cy="771525"/>
                <wp:effectExtent l="0" t="0" r="0" b="0"/>
                <wp:wrapNone/>
                <wp:docPr id="1038805330" name="Text Box 23"/>
                <wp:cNvGraphicFramePr/>
                <a:graphic xmlns:a="http://schemas.openxmlformats.org/drawingml/2006/main">
                  <a:graphicData uri="http://schemas.microsoft.com/office/word/2010/wordprocessingShape">
                    <wps:wsp>
                      <wps:cNvSpPr txBox="1"/>
                      <wps:spPr>
                        <a:xfrm>
                          <a:off x="0" y="0"/>
                          <a:ext cx="1095375" cy="771525"/>
                        </a:xfrm>
                        <a:prstGeom prst="rect">
                          <a:avLst/>
                        </a:prstGeom>
                        <a:noFill/>
                        <a:ln w="6350">
                          <a:noFill/>
                        </a:ln>
                      </wps:spPr>
                      <wps:txbx>
                        <w:txbxContent>
                          <w:p w14:paraId="177A8791" w14:textId="1984C4DB" w:rsidR="00E55684" w:rsidRPr="0000085C" w:rsidRDefault="00E55684" w:rsidP="00E55684">
                            <w:pPr>
                              <w:jc w:val="center"/>
                              <w:rPr>
                                <w:color w:val="FFFFFF" w:themeColor="background1"/>
                              </w:rPr>
                            </w:pPr>
                            <w:r w:rsidRPr="0000085C">
                              <w:rPr>
                                <w:color w:val="FFFFFF" w:themeColor="background1"/>
                              </w:rPr>
                              <w:t>Marginally housed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26A8" id="_x0000_s1028" type="#_x0000_t202" style="position:absolute;margin-left:316.1pt;margin-top:204.85pt;width:86.2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lxHAIAADM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" filled="f" stroked="f" strokeweight=".5pt">
                <v:textbox>
                  <w:txbxContent>
                    <w:p w14:paraId="177A8791" w14:textId="1984C4DB" w:rsidR="00E55684" w:rsidRPr="0000085C" w:rsidRDefault="00E55684" w:rsidP="00E55684">
                      <w:pPr>
                        <w:jc w:val="center"/>
                        <w:rPr>
                          <w:color w:val="FFFFFF" w:themeColor="background1"/>
                        </w:rPr>
                      </w:pPr>
                      <w:r w:rsidRPr="0000085C">
                        <w:rPr>
                          <w:color w:val="FFFFFF" w:themeColor="background1"/>
                        </w:rPr>
                        <w:t>Marginally housed</w:t>
                      </w:r>
                    </w:p>
                  </w:txbxContent>
                </v:textbox>
              </v:shape>
            </w:pict>
          </mc:Fallback>
        </mc:AlternateContent>
      </w:r>
      <w:r w:rsidRPr="00344EAB">
        <w:rPr>
          <w:b/>
          <w:noProof/>
        </w:rPr>
        <mc:AlternateContent>
          <mc:Choice Requires="wps">
            <w:drawing>
              <wp:anchor distT="0" distB="0" distL="114300" distR="114300" simplePos="0" relativeHeight="251658247" behindDoc="0" locked="0" layoutInCell="1" allowOverlap="1" wp14:anchorId="09939FB3" wp14:editId="158E6390">
                <wp:simplePos x="0" y="0"/>
                <wp:positionH relativeFrom="page">
                  <wp:posOffset>4857750</wp:posOffset>
                </wp:positionH>
                <wp:positionV relativeFrom="paragraph">
                  <wp:posOffset>3092450</wp:posOffset>
                </wp:positionV>
                <wp:extent cx="654050" cy="342900"/>
                <wp:effectExtent l="0" t="0" r="0" b="0"/>
                <wp:wrapNone/>
                <wp:docPr id="1583415894" name="Text Box 6"/>
                <wp:cNvGraphicFramePr/>
                <a:graphic xmlns:a="http://schemas.openxmlformats.org/drawingml/2006/main">
                  <a:graphicData uri="http://schemas.microsoft.com/office/word/2010/wordprocessingShape">
                    <wps:wsp>
                      <wps:cNvSpPr txBox="1"/>
                      <wps:spPr>
                        <a:xfrm>
                          <a:off x="0" y="0"/>
                          <a:ext cx="654050" cy="342900"/>
                        </a:xfrm>
                        <a:prstGeom prst="rect">
                          <a:avLst/>
                        </a:prstGeom>
                        <a:noFill/>
                        <a:ln w="6350">
                          <a:noFill/>
                        </a:ln>
                      </wps:spPr>
                      <wps:txbx>
                        <w:txbxContent>
                          <w:p w14:paraId="0D4502C8" w14:textId="16FC38BA"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5</w:t>
                            </w:r>
                            <w:r w:rsidR="004F33E2" w:rsidRPr="0000085C">
                              <w:rPr>
                                <w:rFonts w:ascii="Avenir Next LT Pro Demi" w:hAnsi="Avenir Next LT Pro Demi"/>
                                <w:b/>
                                <w:bCs/>
                                <w:color w:val="FFFFFF" w:themeColor="background1"/>
                                <w:sz w:val="34"/>
                                <w:szCs w:val="32"/>
                              </w:rPr>
                              <w:t>1</w:t>
                            </w:r>
                            <w:r w:rsidR="005C584D" w:rsidRPr="0000085C">
                              <w:rPr>
                                <w:rFonts w:ascii="Avenir Next LT Pro Demi" w:hAnsi="Avenir Next LT Pro Demi"/>
                                <w:b/>
                                <w:bCs/>
                                <w:color w:val="FFFFFF" w:themeColor="background1"/>
                                <w:sz w:val="3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39FB3" id="_x0000_s1029" type="#_x0000_t202" style="position:absolute;margin-left:382.5pt;margin-top:243.5pt;width:51.5pt;height:2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" filled="f" stroked="f" strokeweight=".5pt">
                <v:textbox>
                  <w:txbxContent>
                    <w:p w14:paraId="0D4502C8" w14:textId="16FC38BA"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5</w:t>
                      </w:r>
                      <w:r w:rsidR="004F33E2" w:rsidRPr="0000085C">
                        <w:rPr>
                          <w:rFonts w:ascii="Avenir Next LT Pro Demi" w:hAnsi="Avenir Next LT Pro Demi"/>
                          <w:b/>
                          <w:bCs/>
                          <w:color w:val="FFFFFF" w:themeColor="background1"/>
                          <w:sz w:val="34"/>
                          <w:szCs w:val="32"/>
                        </w:rPr>
                        <w:t>1</w:t>
                      </w:r>
                      <w:r w:rsidR="005C584D" w:rsidRPr="0000085C">
                        <w:rPr>
                          <w:rFonts w:ascii="Avenir Next LT Pro Demi" w:hAnsi="Avenir Next LT Pro Demi"/>
                          <w:b/>
                          <w:bCs/>
                          <w:color w:val="FFFFFF" w:themeColor="background1"/>
                          <w:sz w:val="34"/>
                          <w:szCs w:val="32"/>
                        </w:rPr>
                        <w:t>%</w:t>
                      </w:r>
                    </w:p>
                  </w:txbxContent>
                </v:textbox>
                <w10:wrap anchorx="page"/>
              </v:shape>
            </w:pict>
          </mc:Fallback>
        </mc:AlternateContent>
      </w:r>
      <w:r w:rsidRPr="00344EAB">
        <w:rPr>
          <w:noProof/>
          <w14:ligatures w14:val="standardContextual"/>
        </w:rPr>
        <mc:AlternateContent>
          <mc:Choice Requires="wps">
            <w:drawing>
              <wp:anchor distT="0" distB="0" distL="114300" distR="114300" simplePos="0" relativeHeight="251658254" behindDoc="0" locked="0" layoutInCell="1" allowOverlap="1" wp14:anchorId="2E406FAF" wp14:editId="1D091E31">
                <wp:simplePos x="0" y="0"/>
                <wp:positionH relativeFrom="column">
                  <wp:posOffset>3154045</wp:posOffset>
                </wp:positionH>
                <wp:positionV relativeFrom="paragraph">
                  <wp:posOffset>4860290</wp:posOffset>
                </wp:positionV>
                <wp:extent cx="1276350" cy="771525"/>
                <wp:effectExtent l="0" t="0" r="0" b="0"/>
                <wp:wrapNone/>
                <wp:docPr id="82826990" name="Text Box 23"/>
                <wp:cNvGraphicFramePr/>
                <a:graphic xmlns:a="http://schemas.openxmlformats.org/drawingml/2006/main">
                  <a:graphicData uri="http://schemas.microsoft.com/office/word/2010/wordprocessingShape">
                    <wps:wsp>
                      <wps:cNvSpPr txBox="1"/>
                      <wps:spPr>
                        <a:xfrm>
                          <a:off x="0" y="0"/>
                          <a:ext cx="1276350" cy="771525"/>
                        </a:xfrm>
                        <a:prstGeom prst="rect">
                          <a:avLst/>
                        </a:prstGeom>
                        <a:noFill/>
                        <a:ln w="6350">
                          <a:noFill/>
                        </a:ln>
                      </wps:spPr>
                      <wps:txbx>
                        <w:txbxContent>
                          <w:p w14:paraId="070CF436" w14:textId="3E7DC3C4" w:rsidR="00C07805" w:rsidRPr="0000085C" w:rsidRDefault="00C07805" w:rsidP="00C07805">
                            <w:pPr>
                              <w:jc w:val="center"/>
                              <w:rPr>
                                <w:color w:val="FFFFFF" w:themeColor="background1"/>
                              </w:rPr>
                            </w:pPr>
                            <w:r w:rsidRPr="0000085C">
                              <w:rPr>
                                <w:color w:val="FFFFFF" w:themeColor="background1"/>
                              </w:rPr>
                              <w:t>Emergency</w:t>
                            </w:r>
                            <w:r w:rsidR="004F33E2" w:rsidRPr="0000085C">
                              <w:rPr>
                                <w:color w:val="FFFFFF" w:themeColor="background1"/>
                              </w:rPr>
                              <w:t xml:space="preserve"> &amp; crisis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6FAF" id="_x0000_s1030" type="#_x0000_t202" style="position:absolute;margin-left:248.35pt;margin-top:382.7pt;width:100.5pt;height:60.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" filled="f" stroked="f" strokeweight=".5pt">
                <v:textbox>
                  <w:txbxContent>
                    <w:p w14:paraId="070CF436" w14:textId="3E7DC3C4" w:rsidR="00C07805" w:rsidRPr="0000085C" w:rsidRDefault="00C07805" w:rsidP="00C07805">
                      <w:pPr>
                        <w:jc w:val="center"/>
                        <w:rPr>
                          <w:color w:val="FFFFFF" w:themeColor="background1"/>
                        </w:rPr>
                      </w:pPr>
                      <w:r w:rsidRPr="0000085C">
                        <w:rPr>
                          <w:color w:val="FFFFFF" w:themeColor="background1"/>
                        </w:rPr>
                        <w:t>Emergency</w:t>
                      </w:r>
                      <w:r w:rsidR="004F33E2" w:rsidRPr="0000085C">
                        <w:rPr>
                          <w:color w:val="FFFFFF" w:themeColor="background1"/>
                        </w:rPr>
                        <w:t xml:space="preserve"> &amp; crisis accommodation</w:t>
                      </w:r>
                    </w:p>
                  </w:txbxContent>
                </v:textbox>
              </v:shape>
            </w:pict>
          </mc:Fallback>
        </mc:AlternateContent>
      </w:r>
      <w:r w:rsidRPr="00344EAB">
        <w:rPr>
          <w:noProof/>
          <w14:ligatures w14:val="standardContextual"/>
        </w:rPr>
        <mc:AlternateContent>
          <mc:Choice Requires="wps">
            <w:drawing>
              <wp:anchor distT="0" distB="0" distL="114300" distR="114300" simplePos="0" relativeHeight="251658250" behindDoc="0" locked="0" layoutInCell="1" allowOverlap="1" wp14:anchorId="748B2BF5" wp14:editId="6FF79D27">
                <wp:simplePos x="0" y="0"/>
                <wp:positionH relativeFrom="margin">
                  <wp:posOffset>382270</wp:posOffset>
                </wp:positionH>
                <wp:positionV relativeFrom="paragraph">
                  <wp:posOffset>1268095</wp:posOffset>
                </wp:positionV>
                <wp:extent cx="1152525" cy="809625"/>
                <wp:effectExtent l="0" t="0" r="0" b="0"/>
                <wp:wrapNone/>
                <wp:docPr id="1490988633" name="Text Box 23"/>
                <wp:cNvGraphicFramePr/>
                <a:graphic xmlns:a="http://schemas.openxmlformats.org/drawingml/2006/main">
                  <a:graphicData uri="http://schemas.microsoft.com/office/word/2010/wordprocessingShape">
                    <wps:wsp>
                      <wps:cNvSpPr txBox="1"/>
                      <wps:spPr>
                        <a:xfrm>
                          <a:off x="0" y="0"/>
                          <a:ext cx="1152525" cy="809625"/>
                        </a:xfrm>
                        <a:prstGeom prst="rect">
                          <a:avLst/>
                        </a:prstGeom>
                        <a:noFill/>
                        <a:ln w="6350">
                          <a:noFill/>
                        </a:ln>
                      </wps:spPr>
                      <wps:txbx>
                        <w:txbxContent>
                          <w:p w14:paraId="571B7A0F" w14:textId="0A73D32B" w:rsidR="007525AB" w:rsidRPr="0000085C" w:rsidRDefault="007525AB" w:rsidP="007525AB">
                            <w:pPr>
                              <w:jc w:val="center"/>
                              <w:rPr>
                                <w:color w:val="FFFFFF" w:themeColor="background1"/>
                              </w:rPr>
                            </w:pPr>
                            <w:r w:rsidRPr="0000085C">
                              <w:rPr>
                                <w:color w:val="FFFFFF" w:themeColor="background1"/>
                              </w:rPr>
                              <w:t>Other         long-term hous</w:t>
                            </w:r>
                            <w:r w:rsidR="008F00E2" w:rsidRPr="0000085C">
                              <w:rPr>
                                <w:color w:val="FFFFFF" w:themeColor="background1"/>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B2BF5" id="_x0000_s1031" type="#_x0000_t202" style="position:absolute;margin-left:30.1pt;margin-top:99.85pt;width:90.75pt;height:63.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" filled="f" stroked="f" strokeweight=".5pt">
                <v:textbox>
                  <w:txbxContent>
                    <w:p w14:paraId="571B7A0F" w14:textId="0A73D32B" w:rsidR="007525AB" w:rsidRPr="0000085C" w:rsidRDefault="007525AB" w:rsidP="007525AB">
                      <w:pPr>
                        <w:jc w:val="center"/>
                        <w:rPr>
                          <w:color w:val="FFFFFF" w:themeColor="background1"/>
                        </w:rPr>
                      </w:pPr>
                      <w:r w:rsidRPr="0000085C">
                        <w:rPr>
                          <w:color w:val="FFFFFF" w:themeColor="background1"/>
                        </w:rPr>
                        <w:t>Other         long-term hous</w:t>
                      </w:r>
                      <w:r w:rsidR="008F00E2" w:rsidRPr="0000085C">
                        <w:rPr>
                          <w:color w:val="FFFFFF" w:themeColor="background1"/>
                        </w:rPr>
                        <w:t>ed</w:t>
                      </w:r>
                    </w:p>
                  </w:txbxContent>
                </v:textbox>
                <w10:wrap anchorx="margin"/>
              </v:shape>
            </w:pict>
          </mc:Fallback>
        </mc:AlternateContent>
      </w:r>
      <w:r w:rsidR="004F33E2" w:rsidRPr="00344EAB">
        <w:rPr>
          <w:noProof/>
          <w14:ligatures w14:val="standardContextual"/>
        </w:rPr>
        <mc:AlternateContent>
          <mc:Choice Requires="wps">
            <w:drawing>
              <wp:anchor distT="0" distB="0" distL="114300" distR="114300" simplePos="0" relativeHeight="251658251" behindDoc="0" locked="0" layoutInCell="1" allowOverlap="1" wp14:anchorId="3CA7C2D3" wp14:editId="53202850">
                <wp:simplePos x="0" y="0"/>
                <wp:positionH relativeFrom="margin">
                  <wp:posOffset>420370</wp:posOffset>
                </wp:positionH>
                <wp:positionV relativeFrom="paragraph">
                  <wp:posOffset>3593465</wp:posOffset>
                </wp:positionV>
                <wp:extent cx="866775" cy="809625"/>
                <wp:effectExtent l="0" t="0" r="0" b="0"/>
                <wp:wrapNone/>
                <wp:docPr id="1359336550" name="Text Box 23"/>
                <wp:cNvGraphicFramePr/>
                <a:graphic xmlns:a="http://schemas.openxmlformats.org/drawingml/2006/main">
                  <a:graphicData uri="http://schemas.microsoft.com/office/word/2010/wordprocessingShape">
                    <wps:wsp>
                      <wps:cNvSpPr txBox="1"/>
                      <wps:spPr>
                        <a:xfrm>
                          <a:off x="0" y="0"/>
                          <a:ext cx="866775" cy="809625"/>
                        </a:xfrm>
                        <a:prstGeom prst="rect">
                          <a:avLst/>
                        </a:prstGeom>
                        <a:noFill/>
                        <a:ln w="6350">
                          <a:noFill/>
                        </a:ln>
                      </wps:spPr>
                      <wps:txbx>
                        <w:txbxContent>
                          <w:p w14:paraId="3CE21500" w14:textId="32145EAB" w:rsidR="007525AB" w:rsidRPr="0000085C" w:rsidRDefault="008379B4" w:rsidP="007525AB">
                            <w:pPr>
                              <w:jc w:val="center"/>
                              <w:rPr>
                                <w:color w:val="FFFFFF" w:themeColor="background1"/>
                              </w:rPr>
                            </w:pPr>
                            <w:r>
                              <w:rPr>
                                <w:color w:val="FFFFFF" w:themeColor="background1"/>
                              </w:rPr>
                              <w:t>Private rental</w:t>
                            </w:r>
                            <w:r w:rsidR="007525AB" w:rsidRPr="0000085C">
                              <w:rPr>
                                <w:color w:val="FFFFFF" w:themeColor="background1"/>
                              </w:rPr>
                              <w:t xml:space="preserve"> housing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7C2D3" id="_x0000_s1032" type="#_x0000_t202" style="position:absolute;margin-left:33.1pt;margin-top:282.95pt;width:68.25pt;height:63.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f1GwIAADI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" filled="f" stroked="f" strokeweight=".5pt">
                <v:textbox>
                  <w:txbxContent>
                    <w:p w14:paraId="3CE21500" w14:textId="32145EAB" w:rsidR="007525AB" w:rsidRPr="0000085C" w:rsidRDefault="008379B4" w:rsidP="007525AB">
                      <w:pPr>
                        <w:jc w:val="center"/>
                        <w:rPr>
                          <w:color w:val="FFFFFF" w:themeColor="background1"/>
                        </w:rPr>
                      </w:pPr>
                      <w:r>
                        <w:rPr>
                          <w:color w:val="FFFFFF" w:themeColor="background1"/>
                        </w:rPr>
                        <w:t>Private rental</w:t>
                      </w:r>
                      <w:r w:rsidR="007525AB" w:rsidRPr="0000085C">
                        <w:rPr>
                          <w:color w:val="FFFFFF" w:themeColor="background1"/>
                        </w:rPr>
                        <w:t xml:space="preserve"> housing</w:t>
                      </w:r>
                    </w:p>
                  </w:txbxContent>
                </v:textbox>
                <w10:wrap anchorx="margin"/>
              </v:shape>
            </w:pict>
          </mc:Fallback>
        </mc:AlternateContent>
      </w:r>
      <w:r w:rsidR="004F33E2" w:rsidRPr="00344EAB">
        <w:rPr>
          <w:b/>
          <w:noProof/>
        </w:rPr>
        <mc:AlternateContent>
          <mc:Choice Requires="wps">
            <w:drawing>
              <wp:anchor distT="0" distB="0" distL="114300" distR="114300" simplePos="0" relativeHeight="251658245" behindDoc="0" locked="0" layoutInCell="1" allowOverlap="1" wp14:anchorId="408B21FE" wp14:editId="5E50A887">
                <wp:simplePos x="0" y="0"/>
                <wp:positionH relativeFrom="page">
                  <wp:posOffset>1990725</wp:posOffset>
                </wp:positionH>
                <wp:positionV relativeFrom="paragraph">
                  <wp:posOffset>3476625</wp:posOffset>
                </wp:positionV>
                <wp:extent cx="698500" cy="342900"/>
                <wp:effectExtent l="0" t="0" r="0" b="0"/>
                <wp:wrapNone/>
                <wp:docPr id="718565546" name="Text Box 6"/>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w="6350">
                          <a:noFill/>
                        </a:ln>
                      </wps:spPr>
                      <wps:txbx>
                        <w:txbxContent>
                          <w:p w14:paraId="13352AE5" w14:textId="14D9CCBF"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38</w:t>
                            </w:r>
                            <w:r w:rsidR="005C584D" w:rsidRPr="0000085C">
                              <w:rPr>
                                <w:rFonts w:ascii="Avenir Next LT Pro Demi" w:hAnsi="Avenir Next LT Pro Demi"/>
                                <w:b/>
                                <w:bCs/>
                                <w:color w:val="FFFFFF" w:themeColor="background1"/>
                                <w:sz w:val="3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B21FE" id="_x0000_s1033" type="#_x0000_t202" style="position:absolute;margin-left:156.75pt;margin-top:273.75pt;width:55pt;height:2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1nGQIAADI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" filled="f" stroked="f" strokeweight=".5pt">
                <v:textbox>
                  <w:txbxContent>
                    <w:p w14:paraId="13352AE5" w14:textId="14D9CCBF"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38</w:t>
                      </w:r>
                      <w:r w:rsidR="005C584D" w:rsidRPr="0000085C">
                        <w:rPr>
                          <w:rFonts w:ascii="Avenir Next LT Pro Demi" w:hAnsi="Avenir Next LT Pro Demi"/>
                          <w:b/>
                          <w:bCs/>
                          <w:color w:val="FFFFFF" w:themeColor="background1"/>
                          <w:sz w:val="34"/>
                          <w:szCs w:val="32"/>
                        </w:rPr>
                        <w:t>%</w:t>
                      </w:r>
                    </w:p>
                  </w:txbxContent>
                </v:textbox>
                <w10:wrap anchorx="page"/>
              </v:shape>
            </w:pict>
          </mc:Fallback>
        </mc:AlternateContent>
      </w:r>
      <w:r w:rsidR="004F33E2" w:rsidRPr="00344EAB">
        <w:rPr>
          <w:noProof/>
          <w14:ligatures w14:val="standardContextual"/>
        </w:rPr>
        <mc:AlternateContent>
          <mc:Choice Requires="wps">
            <w:drawing>
              <wp:anchor distT="0" distB="0" distL="114300" distR="114300" simplePos="0" relativeHeight="251658249" behindDoc="0" locked="0" layoutInCell="1" allowOverlap="1" wp14:anchorId="41FEC558" wp14:editId="0440F403">
                <wp:simplePos x="0" y="0"/>
                <wp:positionH relativeFrom="column">
                  <wp:posOffset>1191895</wp:posOffset>
                </wp:positionH>
                <wp:positionV relativeFrom="paragraph">
                  <wp:posOffset>2982595</wp:posOffset>
                </wp:positionV>
                <wp:extent cx="1095375" cy="771525"/>
                <wp:effectExtent l="0" t="0" r="0" b="0"/>
                <wp:wrapNone/>
                <wp:docPr id="147336889" name="Text Box 23"/>
                <wp:cNvGraphicFramePr/>
                <a:graphic xmlns:a="http://schemas.openxmlformats.org/drawingml/2006/main">
                  <a:graphicData uri="http://schemas.microsoft.com/office/word/2010/wordprocessingShape">
                    <wps:wsp>
                      <wps:cNvSpPr txBox="1"/>
                      <wps:spPr>
                        <a:xfrm>
                          <a:off x="0" y="0"/>
                          <a:ext cx="1095375" cy="771525"/>
                        </a:xfrm>
                        <a:prstGeom prst="rect">
                          <a:avLst/>
                        </a:prstGeom>
                        <a:noFill/>
                        <a:ln w="6350">
                          <a:noFill/>
                        </a:ln>
                      </wps:spPr>
                      <wps:txbx>
                        <w:txbxContent>
                          <w:p w14:paraId="0D04872C" w14:textId="54877DD4" w:rsidR="007525AB" w:rsidRPr="0000085C" w:rsidRDefault="007525AB" w:rsidP="007525AB">
                            <w:pPr>
                              <w:jc w:val="center"/>
                              <w:rPr>
                                <w:color w:val="FFFFFF" w:themeColor="background1"/>
                              </w:rPr>
                            </w:pPr>
                            <w:r w:rsidRPr="0000085C">
                              <w:rPr>
                                <w:color w:val="FFFFFF" w:themeColor="background1"/>
                              </w:rPr>
                              <w:t>Long-term housed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EC558" id="_x0000_s1034" type="#_x0000_t202" style="position:absolute;margin-left:93.85pt;margin-top:234.85pt;width:86.25pt;height:6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8cHAIAADM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" filled="f" stroked="f" strokeweight=".5pt">
                <v:textbox>
                  <w:txbxContent>
                    <w:p w14:paraId="0D04872C" w14:textId="54877DD4" w:rsidR="007525AB" w:rsidRPr="0000085C" w:rsidRDefault="007525AB" w:rsidP="007525AB">
                      <w:pPr>
                        <w:jc w:val="center"/>
                        <w:rPr>
                          <w:color w:val="FFFFFF" w:themeColor="background1"/>
                        </w:rPr>
                      </w:pPr>
                      <w:r w:rsidRPr="0000085C">
                        <w:rPr>
                          <w:color w:val="FFFFFF" w:themeColor="background1"/>
                        </w:rPr>
                        <w:t>Long-term housed</w:t>
                      </w:r>
                    </w:p>
                  </w:txbxContent>
                </v:textbox>
              </v:shape>
            </w:pict>
          </mc:Fallback>
        </mc:AlternateContent>
      </w:r>
      <w:r w:rsidR="004F33E2" w:rsidRPr="00344EAB">
        <w:rPr>
          <w:noProof/>
          <w14:ligatures w14:val="standardContextual"/>
        </w:rPr>
        <mc:AlternateContent>
          <mc:Choice Requires="wps">
            <w:drawing>
              <wp:anchor distT="0" distB="0" distL="114300" distR="114300" simplePos="0" relativeHeight="251658253" behindDoc="0" locked="0" layoutInCell="1" allowOverlap="1" wp14:anchorId="31B47902" wp14:editId="65510784">
                <wp:simplePos x="0" y="0"/>
                <wp:positionH relativeFrom="column">
                  <wp:posOffset>4754245</wp:posOffset>
                </wp:positionH>
                <wp:positionV relativeFrom="paragraph">
                  <wp:posOffset>3839845</wp:posOffset>
                </wp:positionV>
                <wp:extent cx="1095375" cy="771525"/>
                <wp:effectExtent l="0" t="0" r="0" b="0"/>
                <wp:wrapNone/>
                <wp:docPr id="2139095518" name="Text Box 23"/>
                <wp:cNvGraphicFramePr/>
                <a:graphic xmlns:a="http://schemas.openxmlformats.org/drawingml/2006/main">
                  <a:graphicData uri="http://schemas.microsoft.com/office/word/2010/wordprocessingShape">
                    <wps:wsp>
                      <wps:cNvSpPr txBox="1"/>
                      <wps:spPr>
                        <a:xfrm>
                          <a:off x="0" y="0"/>
                          <a:ext cx="1095375" cy="771525"/>
                        </a:xfrm>
                        <a:prstGeom prst="rect">
                          <a:avLst/>
                        </a:prstGeom>
                        <a:noFill/>
                        <a:ln w="6350">
                          <a:noFill/>
                        </a:ln>
                      </wps:spPr>
                      <wps:txbx>
                        <w:txbxContent>
                          <w:p w14:paraId="5CDCF86D" w14:textId="1B0C423A" w:rsidR="008F00E2" w:rsidRPr="0000085C" w:rsidRDefault="008F00E2" w:rsidP="008F00E2">
                            <w:pPr>
                              <w:jc w:val="center"/>
                              <w:rPr>
                                <w:color w:val="FFFFFF" w:themeColor="background1"/>
                              </w:rPr>
                            </w:pPr>
                            <w:r w:rsidRPr="0000085C">
                              <w:rPr>
                                <w:color w:val="FFFFFF" w:themeColor="background1"/>
                              </w:rPr>
                              <w:t>Couch surfing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47902" id="_x0000_s1035" type="#_x0000_t202" style="position:absolute;margin-left:374.35pt;margin-top:302.35pt;width:86.25pt;height:60.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" filled="f" stroked="f" strokeweight=".5pt">
                <v:textbox>
                  <w:txbxContent>
                    <w:p w14:paraId="5CDCF86D" w14:textId="1B0C423A" w:rsidR="008F00E2" w:rsidRPr="0000085C" w:rsidRDefault="008F00E2" w:rsidP="008F00E2">
                      <w:pPr>
                        <w:jc w:val="center"/>
                        <w:rPr>
                          <w:color w:val="FFFFFF" w:themeColor="background1"/>
                        </w:rPr>
                      </w:pPr>
                      <w:r w:rsidRPr="0000085C">
                        <w:rPr>
                          <w:color w:val="FFFFFF" w:themeColor="background1"/>
                        </w:rPr>
                        <w:t>Couch surfing</w:t>
                      </w:r>
                    </w:p>
                  </w:txbxContent>
                </v:textbox>
              </v:shape>
            </w:pict>
          </mc:Fallback>
        </mc:AlternateContent>
      </w:r>
      <w:r w:rsidR="004F33E2" w:rsidRPr="00344EAB">
        <w:rPr>
          <w:noProof/>
          <w14:ligatures w14:val="standardContextual"/>
        </w:rPr>
        <mc:AlternateContent>
          <mc:Choice Requires="wps">
            <w:drawing>
              <wp:anchor distT="0" distB="0" distL="114300" distR="114300" simplePos="0" relativeHeight="251658252" behindDoc="0" locked="0" layoutInCell="1" allowOverlap="1" wp14:anchorId="1E817E2D" wp14:editId="42109247">
                <wp:simplePos x="0" y="0"/>
                <wp:positionH relativeFrom="column">
                  <wp:posOffset>4220845</wp:posOffset>
                </wp:positionH>
                <wp:positionV relativeFrom="paragraph">
                  <wp:posOffset>801370</wp:posOffset>
                </wp:positionV>
                <wp:extent cx="1095375" cy="771525"/>
                <wp:effectExtent l="0" t="0" r="0" b="0"/>
                <wp:wrapNone/>
                <wp:docPr id="1307476159" name="Text Box 23"/>
                <wp:cNvGraphicFramePr/>
                <a:graphic xmlns:a="http://schemas.openxmlformats.org/drawingml/2006/main">
                  <a:graphicData uri="http://schemas.microsoft.com/office/word/2010/wordprocessingShape">
                    <wps:wsp>
                      <wps:cNvSpPr txBox="1"/>
                      <wps:spPr>
                        <a:xfrm>
                          <a:off x="0" y="0"/>
                          <a:ext cx="1095375" cy="771525"/>
                        </a:xfrm>
                        <a:prstGeom prst="rect">
                          <a:avLst/>
                        </a:prstGeom>
                        <a:noFill/>
                        <a:ln w="6350">
                          <a:noFill/>
                        </a:ln>
                      </wps:spPr>
                      <wps:txbx>
                        <w:txbxContent>
                          <w:p w14:paraId="3658B9F9" w14:textId="4D9DC26E" w:rsidR="008F00E2" w:rsidRPr="0000085C" w:rsidRDefault="008F00E2" w:rsidP="008F00E2">
                            <w:pPr>
                              <w:jc w:val="center"/>
                              <w:rPr>
                                <w:color w:val="FFFFFF" w:themeColor="background1"/>
                              </w:rPr>
                            </w:pPr>
                            <w:r w:rsidRPr="0000085C">
                              <w:rPr>
                                <w:color w:val="FFFFFF" w:themeColor="background1"/>
                              </w:rPr>
                              <w:t>Other marginally housed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17E2D" id="_x0000_s1036" type="#_x0000_t202" style="position:absolute;margin-left:332.35pt;margin-top:63.1pt;width:86.25pt;height:60.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9SGwIAADQ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" filled="f" stroked="f" strokeweight=".5pt">
                <v:textbox>
                  <w:txbxContent>
                    <w:p w14:paraId="3658B9F9" w14:textId="4D9DC26E" w:rsidR="008F00E2" w:rsidRPr="0000085C" w:rsidRDefault="008F00E2" w:rsidP="008F00E2">
                      <w:pPr>
                        <w:jc w:val="center"/>
                        <w:rPr>
                          <w:color w:val="FFFFFF" w:themeColor="background1"/>
                        </w:rPr>
                      </w:pPr>
                      <w:r w:rsidRPr="0000085C">
                        <w:rPr>
                          <w:color w:val="FFFFFF" w:themeColor="background1"/>
                        </w:rPr>
                        <w:t>Other marginally housed</w:t>
                      </w:r>
                    </w:p>
                  </w:txbxContent>
                </v:textbox>
              </v:shape>
            </w:pict>
          </mc:Fallback>
        </mc:AlternateContent>
      </w:r>
      <w:r w:rsidR="004F33E2" w:rsidRPr="00344EAB">
        <w:rPr>
          <w:b/>
          <w:noProof/>
        </w:rPr>
        <mc:AlternateContent>
          <mc:Choice Requires="wps">
            <w:drawing>
              <wp:anchor distT="0" distB="0" distL="114300" distR="114300" simplePos="0" relativeHeight="251658244" behindDoc="0" locked="0" layoutInCell="1" allowOverlap="1" wp14:anchorId="7AC1537A" wp14:editId="03317F59">
                <wp:simplePos x="0" y="0"/>
                <wp:positionH relativeFrom="page">
                  <wp:posOffset>2787650</wp:posOffset>
                </wp:positionH>
                <wp:positionV relativeFrom="paragraph">
                  <wp:posOffset>1600200</wp:posOffset>
                </wp:positionV>
                <wp:extent cx="698500" cy="342900"/>
                <wp:effectExtent l="0" t="0" r="0" b="0"/>
                <wp:wrapNone/>
                <wp:docPr id="829780361" name="Text Box 6"/>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w="6350">
                          <a:noFill/>
                        </a:ln>
                      </wps:spPr>
                      <wps:txbx>
                        <w:txbxContent>
                          <w:p w14:paraId="2BA60DCF" w14:textId="390A99AC"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12</w:t>
                            </w:r>
                            <w:r w:rsidR="005C584D" w:rsidRPr="0000085C">
                              <w:rPr>
                                <w:rFonts w:ascii="Avenir Next LT Pro Demi" w:hAnsi="Avenir Next LT Pro Demi"/>
                                <w:b/>
                                <w:bCs/>
                                <w:color w:val="FFFFFF" w:themeColor="background1"/>
                                <w:sz w:val="3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1537A" id="_x0000_s1037" type="#_x0000_t202" style="position:absolute;margin-left:219.5pt;margin-top:126pt;width:55pt;height:2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" filled="f" stroked="f" strokeweight=".5pt">
                <v:textbox>
                  <w:txbxContent>
                    <w:p w14:paraId="2BA60DCF" w14:textId="390A99AC" w:rsidR="005C584D" w:rsidRPr="0000085C" w:rsidRDefault="00E55684" w:rsidP="00E509D2">
                      <w:pPr>
                        <w:spacing w:before="0" w:after="0"/>
                        <w:jc w:val="center"/>
                        <w:rPr>
                          <w:rFonts w:ascii="Avenir Next LT Pro Demi" w:hAnsi="Avenir Next LT Pro Demi"/>
                          <w:b/>
                          <w:bCs/>
                          <w:color w:val="FFFFFF" w:themeColor="background1"/>
                          <w:sz w:val="34"/>
                          <w:szCs w:val="32"/>
                        </w:rPr>
                      </w:pPr>
                      <w:r w:rsidRPr="0000085C">
                        <w:rPr>
                          <w:rFonts w:ascii="Avenir Next LT Pro Demi" w:hAnsi="Avenir Next LT Pro Demi"/>
                          <w:b/>
                          <w:bCs/>
                          <w:color w:val="FFFFFF" w:themeColor="background1"/>
                          <w:sz w:val="34"/>
                          <w:szCs w:val="32"/>
                        </w:rPr>
                        <w:t>12</w:t>
                      </w:r>
                      <w:r w:rsidR="005C584D" w:rsidRPr="0000085C">
                        <w:rPr>
                          <w:rFonts w:ascii="Avenir Next LT Pro Demi" w:hAnsi="Avenir Next LT Pro Demi"/>
                          <w:b/>
                          <w:bCs/>
                          <w:color w:val="FFFFFF" w:themeColor="background1"/>
                          <w:sz w:val="34"/>
                          <w:szCs w:val="32"/>
                        </w:rPr>
                        <w:t>%</w:t>
                      </w:r>
                    </w:p>
                  </w:txbxContent>
                </v:textbox>
                <w10:wrap anchorx="page"/>
              </v:shape>
            </w:pict>
          </mc:Fallback>
        </mc:AlternateContent>
      </w:r>
      <w:r w:rsidR="004F33E2" w:rsidRPr="00344EAB">
        <w:rPr>
          <w:noProof/>
          <w14:ligatures w14:val="standardContextual"/>
        </w:rPr>
        <mc:AlternateContent>
          <mc:Choice Requires="wps">
            <w:drawing>
              <wp:anchor distT="0" distB="0" distL="114300" distR="114300" simplePos="0" relativeHeight="251658243" behindDoc="0" locked="0" layoutInCell="1" allowOverlap="1" wp14:anchorId="3FFB932F" wp14:editId="7E962967">
                <wp:simplePos x="0" y="0"/>
                <wp:positionH relativeFrom="column">
                  <wp:posOffset>1753870</wp:posOffset>
                </wp:positionH>
                <wp:positionV relativeFrom="paragraph">
                  <wp:posOffset>1172845</wp:posOffset>
                </wp:positionV>
                <wp:extent cx="1473200" cy="771525"/>
                <wp:effectExtent l="0" t="0" r="0" b="0"/>
                <wp:wrapNone/>
                <wp:docPr id="656261429" name="Text Box 23"/>
                <wp:cNvGraphicFramePr/>
                <a:graphic xmlns:a="http://schemas.openxmlformats.org/drawingml/2006/main">
                  <a:graphicData uri="http://schemas.microsoft.com/office/word/2010/wordprocessingShape">
                    <wps:wsp>
                      <wps:cNvSpPr txBox="1"/>
                      <wps:spPr>
                        <a:xfrm>
                          <a:off x="0" y="0"/>
                          <a:ext cx="1473200" cy="771525"/>
                        </a:xfrm>
                        <a:prstGeom prst="rect">
                          <a:avLst/>
                        </a:prstGeom>
                        <a:noFill/>
                        <a:ln w="6350">
                          <a:noFill/>
                        </a:ln>
                      </wps:spPr>
                      <wps:txbx>
                        <w:txbxContent>
                          <w:p w14:paraId="63901A2A" w14:textId="58B9EB30" w:rsidR="00E55684" w:rsidRPr="0000085C" w:rsidRDefault="00E55684" w:rsidP="00E55684">
                            <w:pPr>
                              <w:jc w:val="center"/>
                              <w:rPr>
                                <w:color w:val="FFFFFF" w:themeColor="background1"/>
                              </w:rPr>
                            </w:pPr>
                            <w:r w:rsidRPr="0000085C">
                              <w:rPr>
                                <w:color w:val="FFFFFF" w:themeColor="background1"/>
                              </w:rPr>
                              <w:t>Primary homelessness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B932F" id="_x0000_s1038" type="#_x0000_t202" style="position:absolute;margin-left:138.1pt;margin-top:92.35pt;width:116pt;height:6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" filled="f" stroked="f" strokeweight=".5pt">
                <v:textbox>
                  <w:txbxContent>
                    <w:p w14:paraId="63901A2A" w14:textId="58B9EB30" w:rsidR="00E55684" w:rsidRPr="0000085C" w:rsidRDefault="00E55684" w:rsidP="00E55684">
                      <w:pPr>
                        <w:jc w:val="center"/>
                        <w:rPr>
                          <w:color w:val="FFFFFF" w:themeColor="background1"/>
                        </w:rPr>
                      </w:pPr>
                      <w:r w:rsidRPr="0000085C">
                        <w:rPr>
                          <w:color w:val="FFFFFF" w:themeColor="background1"/>
                        </w:rPr>
                        <w:t>Primary homelessness</w:t>
                      </w:r>
                    </w:p>
                  </w:txbxContent>
                </v:textbox>
              </v:shape>
            </w:pict>
          </mc:Fallback>
        </mc:AlternateContent>
      </w:r>
      <w:r w:rsidR="00AE3B08" w:rsidRPr="0000085C">
        <w:br w:type="page"/>
      </w:r>
    </w:p>
    <w:p w14:paraId="2DFCCD00" w14:textId="72A4580C" w:rsidR="005C584D" w:rsidRPr="00344EAB" w:rsidRDefault="005C584D" w:rsidP="00E509D2">
      <w:pPr>
        <w:pStyle w:val="Heading2"/>
      </w:pPr>
      <w:bookmarkStart w:id="19" w:name="_Toc198823102"/>
      <w:r w:rsidRPr="00344EAB">
        <w:lastRenderedPageBreak/>
        <w:t>Reasons for seeking support</w:t>
      </w:r>
      <w:bookmarkEnd w:id="19"/>
    </w:p>
    <w:p w14:paraId="49BE0259" w14:textId="2C128487" w:rsidR="00F26F09" w:rsidRPr="0000085C" w:rsidRDefault="005C584D" w:rsidP="003F4F21">
      <w:pPr>
        <w:pStyle w:val="BodyText"/>
      </w:pPr>
      <w:r w:rsidRPr="0000085C">
        <w:t xml:space="preserve">When asked to name the main reason for seeking housing support, </w:t>
      </w:r>
      <w:r w:rsidR="00780879" w:rsidRPr="0000085C">
        <w:t xml:space="preserve">nine in ten clients gave one of the </w:t>
      </w:r>
      <w:r w:rsidRPr="0000085C">
        <w:t xml:space="preserve">reasons in Figure </w:t>
      </w:r>
      <w:r w:rsidR="008D2487" w:rsidRPr="0000085C">
        <w:t>7</w:t>
      </w:r>
      <w:r w:rsidRPr="0000085C">
        <w:t xml:space="preserve">. </w:t>
      </w:r>
      <w:r w:rsidR="00780879" w:rsidRPr="0000085C">
        <w:t>These were also the nine top reasons in</w:t>
      </w:r>
      <w:r w:rsidR="00B63D73" w:rsidRPr="0000085C">
        <w:t xml:space="preserve"> the December </w:t>
      </w:r>
      <w:r w:rsidR="00780879" w:rsidRPr="0000085C">
        <w:t xml:space="preserve">2024 </w:t>
      </w:r>
      <w:r w:rsidR="00B63D73" w:rsidRPr="0000085C">
        <w:t>quarter</w:t>
      </w:r>
      <w:r w:rsidR="00477C23">
        <w:t>,</w:t>
      </w:r>
      <w:r w:rsidR="00B63D73" w:rsidRPr="0000085C">
        <w:t xml:space="preserve"> although the order has changed.</w:t>
      </w:r>
    </w:p>
    <w:p w14:paraId="7597F5EE" w14:textId="255E2DC5" w:rsidR="00B50EF4" w:rsidRDefault="00F26F09" w:rsidP="003F4F21">
      <w:pPr>
        <w:pStyle w:val="BodyText"/>
      </w:pPr>
      <w:r w:rsidRPr="0000085C">
        <w:t>The most significant change this quarter was a</w:t>
      </w:r>
      <w:r w:rsidR="00B50EF4" w:rsidRPr="0000085C">
        <w:t xml:space="preserve"> 28% </w:t>
      </w:r>
      <w:r w:rsidRPr="0000085C">
        <w:t xml:space="preserve">increase in </w:t>
      </w:r>
      <w:r w:rsidR="00B50EF4" w:rsidRPr="0000085C">
        <w:t xml:space="preserve">the number of people who said </w:t>
      </w:r>
      <w:r w:rsidRPr="0000085C">
        <w:t xml:space="preserve">domestic and family violence </w:t>
      </w:r>
      <w:r w:rsidR="00B50EF4" w:rsidRPr="0000085C">
        <w:t>was their</w:t>
      </w:r>
      <w:r w:rsidRPr="0000085C">
        <w:t xml:space="preserve"> main reason for seeking support</w:t>
      </w:r>
      <w:r w:rsidR="00B50EF4" w:rsidRPr="0000085C">
        <w:t xml:space="preserve">. </w:t>
      </w:r>
      <w:r w:rsidR="00AD1AD3" w:rsidRPr="0000085C">
        <w:t xml:space="preserve">This was driven mainly by an increase in the North West </w:t>
      </w:r>
      <w:r w:rsidR="006F278E" w:rsidRPr="0000085C">
        <w:t>where it was the main reason 1 in 6 clients sought housing support</w:t>
      </w:r>
      <w:r w:rsidR="00D37594" w:rsidRPr="0000085C">
        <w:t>.</w:t>
      </w:r>
    </w:p>
    <w:p w14:paraId="45D770D3" w14:textId="5C570BB7" w:rsidR="00CA3AB6" w:rsidRPr="00217897" w:rsidRDefault="00217897" w:rsidP="003F4F21">
      <w:pPr>
        <w:pStyle w:val="BodyText"/>
        <w:rPr>
          <w:rStyle w:val="Strong"/>
        </w:rPr>
      </w:pPr>
      <w:r>
        <w:rPr>
          <w:rStyle w:val="Strong"/>
        </w:rPr>
        <w:t>Main reason for seeking support</w:t>
      </w:r>
    </w:p>
    <w:p w14:paraId="301FA039" w14:textId="77777777" w:rsidR="004E44B8" w:rsidRDefault="004E44B8" w:rsidP="004E44B8">
      <w:bookmarkStart w:id="20" w:name="_Hlk198632006"/>
      <w:r>
        <w:t>A</w:t>
      </w:r>
      <w:r w:rsidRPr="0000085C">
        <w:t xml:space="preserve"> housing crisis or inadequate/inappropriate dwelling conditions </w:t>
      </w:r>
      <w:r>
        <w:t>are</w:t>
      </w:r>
      <w:r w:rsidRPr="0000085C">
        <w:t xml:space="preserve"> the </w:t>
      </w:r>
      <w:r>
        <w:t>top two</w:t>
      </w:r>
      <w:r w:rsidRPr="0000085C">
        <w:t xml:space="preserve"> </w:t>
      </w:r>
      <w:r>
        <w:t xml:space="preserve">main </w:t>
      </w:r>
      <w:r w:rsidRPr="0000085C">
        <w:t>reasons for seeking support in all three regions.</w:t>
      </w:r>
      <w:r>
        <w:t xml:space="preserve"> </w:t>
      </w:r>
    </w:p>
    <w:p w14:paraId="48526D8B" w14:textId="77777777" w:rsidR="004E44B8" w:rsidRPr="0000085C" w:rsidRDefault="004E44B8" w:rsidP="004E44B8">
      <w:r>
        <w:t>In the North and North West, the third most common main reason is domestic and family violence. However, f</w:t>
      </w:r>
      <w:r w:rsidRPr="0000085C">
        <w:t>inancial difficulties and housing affordability stress were more common</w:t>
      </w:r>
      <w:r>
        <w:t>ly</w:t>
      </w:r>
      <w:r w:rsidRPr="0000085C">
        <w:t xml:space="preserve"> the </w:t>
      </w:r>
      <w:r>
        <w:t>primary</w:t>
      </w:r>
      <w:r w:rsidRPr="0000085C">
        <w:t xml:space="preserve"> reason for seeking housing support in the South</w:t>
      </w:r>
      <w:r>
        <w:t>.</w:t>
      </w:r>
    </w:p>
    <w:bookmarkEnd w:id="20"/>
    <w:p w14:paraId="0C78A05F" w14:textId="73F9044F" w:rsidR="0062422D" w:rsidRPr="0000085C" w:rsidRDefault="0062422D" w:rsidP="00ED4092">
      <w:pPr>
        <w:pStyle w:val="ListParagraph"/>
      </w:pPr>
      <w:r w:rsidRPr="0000085C">
        <w:t>166 people sough</w:t>
      </w:r>
      <w:r w:rsidR="009224D3" w:rsidRPr="0000085C">
        <w:t>t</w:t>
      </w:r>
      <w:r w:rsidRPr="0000085C">
        <w:t xml:space="preserve"> support due to domestic and family violence </w:t>
      </w:r>
      <w:r w:rsidR="002364BA">
        <w:t xml:space="preserve">up </w:t>
      </w:r>
      <w:r w:rsidRPr="0000085C">
        <w:t>28%</w:t>
      </w:r>
    </w:p>
    <w:p w14:paraId="0AAD1F34" w14:textId="134EA1B0" w:rsidR="0062422D" w:rsidRPr="0000085C" w:rsidRDefault="00C93505" w:rsidP="0062422D">
      <w:r w:rsidRPr="0000085C">
        <w:t xml:space="preserve">Main </w:t>
      </w:r>
      <w:r w:rsidR="0062422D" w:rsidRPr="0000085C">
        <w:t>reason</w:t>
      </w:r>
      <w:r w:rsidRPr="0000085C">
        <w:t xml:space="preserve"> for seeking support</w:t>
      </w:r>
      <w:r w:rsidR="0062422D" w:rsidRPr="0000085C">
        <w:t xml:space="preserve"> by region:</w:t>
      </w:r>
    </w:p>
    <w:tbl>
      <w:tblPr>
        <w:tblStyle w:val="TableGrid"/>
        <w:tblW w:w="0" w:type="auto"/>
        <w:tblLook w:val="04A0" w:firstRow="1" w:lastRow="0" w:firstColumn="1" w:lastColumn="0" w:noHBand="0" w:noVBand="1"/>
      </w:tblPr>
      <w:tblGrid>
        <w:gridCol w:w="3288"/>
        <w:gridCol w:w="3288"/>
        <w:gridCol w:w="3289"/>
      </w:tblGrid>
      <w:tr w:rsidR="0062422D" w:rsidRPr="0000085C" w14:paraId="6BF60CEE" w14:textId="77777777">
        <w:tc>
          <w:tcPr>
            <w:tcW w:w="3288" w:type="dxa"/>
          </w:tcPr>
          <w:p w14:paraId="2E92B455" w14:textId="77777777" w:rsidR="0062422D" w:rsidRPr="0000085C" w:rsidRDefault="0062422D">
            <w:r w:rsidRPr="0000085C">
              <w:t xml:space="preserve">South </w:t>
            </w:r>
          </w:p>
          <w:p w14:paraId="4D1CDB53" w14:textId="77777777" w:rsidR="0062422D" w:rsidRPr="0000085C" w:rsidRDefault="0062422D" w:rsidP="00ED4092">
            <w:pPr>
              <w:pStyle w:val="ListParagraph"/>
              <w:numPr>
                <w:ilvl w:val="0"/>
                <w:numId w:val="7"/>
              </w:numPr>
            </w:pPr>
            <w:r w:rsidRPr="0000085C">
              <w:t>Dwelling conditions</w:t>
            </w:r>
          </w:p>
          <w:p w14:paraId="6716CCB3" w14:textId="77777777" w:rsidR="0062422D" w:rsidRPr="0000085C" w:rsidRDefault="0062422D" w:rsidP="00ED4092">
            <w:pPr>
              <w:pStyle w:val="ListParagraph"/>
              <w:numPr>
                <w:ilvl w:val="0"/>
                <w:numId w:val="7"/>
              </w:numPr>
            </w:pPr>
            <w:r w:rsidRPr="0000085C">
              <w:t>Housing crisis</w:t>
            </w:r>
          </w:p>
          <w:p w14:paraId="70B7EF27" w14:textId="77777777" w:rsidR="0062422D" w:rsidRPr="0000085C" w:rsidRDefault="0062422D" w:rsidP="00ED4092">
            <w:pPr>
              <w:pStyle w:val="ListParagraph"/>
              <w:numPr>
                <w:ilvl w:val="0"/>
                <w:numId w:val="7"/>
              </w:numPr>
            </w:pPr>
            <w:r w:rsidRPr="0000085C">
              <w:t>Housing affordability stress</w:t>
            </w:r>
          </w:p>
        </w:tc>
        <w:tc>
          <w:tcPr>
            <w:tcW w:w="3288" w:type="dxa"/>
          </w:tcPr>
          <w:p w14:paraId="5B5E9C3C" w14:textId="77777777" w:rsidR="0062422D" w:rsidRPr="0000085C" w:rsidRDefault="0062422D">
            <w:r w:rsidRPr="0000085C">
              <w:t>North</w:t>
            </w:r>
          </w:p>
          <w:p w14:paraId="579C8762" w14:textId="77777777" w:rsidR="0062422D" w:rsidRPr="0000085C" w:rsidRDefault="0062422D" w:rsidP="00ED4092">
            <w:pPr>
              <w:pStyle w:val="ListParagraph"/>
              <w:numPr>
                <w:ilvl w:val="0"/>
                <w:numId w:val="8"/>
              </w:numPr>
            </w:pPr>
            <w:r w:rsidRPr="0000085C">
              <w:t>Dwelling conditions</w:t>
            </w:r>
          </w:p>
          <w:p w14:paraId="2B028F6C" w14:textId="77777777" w:rsidR="0062422D" w:rsidRPr="0000085C" w:rsidRDefault="0062422D" w:rsidP="00ED4092">
            <w:pPr>
              <w:pStyle w:val="ListParagraph"/>
              <w:numPr>
                <w:ilvl w:val="0"/>
                <w:numId w:val="8"/>
              </w:numPr>
            </w:pPr>
            <w:r w:rsidRPr="0000085C">
              <w:t>Housing crisis</w:t>
            </w:r>
          </w:p>
          <w:p w14:paraId="1C44ED64" w14:textId="77777777" w:rsidR="0062422D" w:rsidRPr="0000085C" w:rsidRDefault="0062422D" w:rsidP="00ED4092">
            <w:pPr>
              <w:pStyle w:val="ListParagraph"/>
              <w:numPr>
                <w:ilvl w:val="0"/>
                <w:numId w:val="8"/>
              </w:numPr>
            </w:pPr>
            <w:r w:rsidRPr="0000085C">
              <w:t>Domestic and family violence</w:t>
            </w:r>
          </w:p>
        </w:tc>
        <w:tc>
          <w:tcPr>
            <w:tcW w:w="3289" w:type="dxa"/>
          </w:tcPr>
          <w:p w14:paraId="1B53CFED" w14:textId="77777777" w:rsidR="0062422D" w:rsidRPr="0000085C" w:rsidRDefault="0062422D">
            <w:r w:rsidRPr="0000085C">
              <w:t>North West</w:t>
            </w:r>
          </w:p>
          <w:p w14:paraId="795C6C38" w14:textId="77777777" w:rsidR="0062422D" w:rsidRPr="0000085C" w:rsidRDefault="0062422D" w:rsidP="00ED4092">
            <w:pPr>
              <w:pStyle w:val="ListParagraph"/>
              <w:numPr>
                <w:ilvl w:val="0"/>
                <w:numId w:val="9"/>
              </w:numPr>
            </w:pPr>
            <w:r w:rsidRPr="0000085C">
              <w:t>Housing crisis</w:t>
            </w:r>
          </w:p>
          <w:p w14:paraId="69B0983A" w14:textId="77777777" w:rsidR="0062422D" w:rsidRPr="0000085C" w:rsidRDefault="0062422D" w:rsidP="00ED4092">
            <w:pPr>
              <w:pStyle w:val="ListParagraph"/>
              <w:numPr>
                <w:ilvl w:val="0"/>
                <w:numId w:val="9"/>
              </w:numPr>
            </w:pPr>
            <w:r w:rsidRPr="0000085C">
              <w:t xml:space="preserve">Dwelling conditions </w:t>
            </w:r>
          </w:p>
          <w:p w14:paraId="36CCDAE3" w14:textId="77777777" w:rsidR="0062422D" w:rsidRPr="0000085C" w:rsidRDefault="0062422D" w:rsidP="00ED4092">
            <w:pPr>
              <w:pStyle w:val="ListParagraph"/>
              <w:numPr>
                <w:ilvl w:val="0"/>
                <w:numId w:val="9"/>
              </w:numPr>
            </w:pPr>
            <w:r w:rsidRPr="0000085C">
              <w:t>Domestic and family violence</w:t>
            </w:r>
          </w:p>
        </w:tc>
      </w:tr>
    </w:tbl>
    <w:p w14:paraId="7A5F40F7" w14:textId="77777777" w:rsidR="0062422D" w:rsidRPr="0000085C" w:rsidRDefault="0062422D" w:rsidP="00E509D2">
      <w:pPr>
        <w:pStyle w:val="BodyText"/>
      </w:pPr>
    </w:p>
    <w:p w14:paraId="79267657" w14:textId="3F486AEB" w:rsidR="005C584D" w:rsidRDefault="005C584D" w:rsidP="00B50EF4">
      <w:pPr>
        <w:pStyle w:val="BodyText"/>
        <w:rPr>
          <w:b/>
        </w:rPr>
      </w:pPr>
      <w:r w:rsidRPr="0000085C">
        <w:rPr>
          <w:b/>
        </w:rPr>
        <w:t xml:space="preserve">Figure </w:t>
      </w:r>
      <w:r w:rsidR="003F62EA" w:rsidRPr="0000085C">
        <w:rPr>
          <w:b/>
        </w:rPr>
        <w:t>7</w:t>
      </w:r>
      <w:r w:rsidRPr="0000085C">
        <w:rPr>
          <w:b/>
        </w:rPr>
        <w:t>. Main reasons for seeking housing support given by Front Door clients</w:t>
      </w:r>
    </w:p>
    <w:p w14:paraId="3A40F253" w14:textId="5CF2D2A3" w:rsidR="00A72B45" w:rsidRPr="00A72B45" w:rsidRDefault="00A72B45" w:rsidP="00B50EF4">
      <w:pPr>
        <w:pStyle w:val="BodyText"/>
        <w:rPr>
          <w:bCs/>
          <w:i/>
          <w:iCs/>
        </w:rPr>
      </w:pPr>
      <w:r w:rsidRPr="00A72B45">
        <w:rPr>
          <w:bCs/>
          <w:i/>
          <w:iCs/>
        </w:rPr>
        <w:t>% of clients with support periods January to March 2025</w:t>
      </w:r>
    </w:p>
    <w:p w14:paraId="5C07232F" w14:textId="33273BFE" w:rsidR="00B50EF4" w:rsidRPr="0000085C" w:rsidRDefault="00B50EF4" w:rsidP="002364BA">
      <w:pPr>
        <w:pStyle w:val="BodyText"/>
      </w:pPr>
      <w:r w:rsidRPr="00344EAB">
        <w:rPr>
          <w:noProof/>
          <w14:ligatures w14:val="standardContextual"/>
        </w:rPr>
        <w:drawing>
          <wp:inline distT="0" distB="0" distL="0" distR="0" wp14:anchorId="0897DB11" wp14:editId="0947D5D3">
            <wp:extent cx="6270625" cy="2750185"/>
            <wp:effectExtent l="0" t="0" r="0" b="0"/>
            <wp:docPr id="590296546" name="Chart 1" descr="Bar graph showing housing crisis at 23%, inadequate dwelling conditions at 21%, housing affordability at 12%, domestic and family violence at 9%, previous accommodation ended at 8%, financial difficulties at 6%, relationships breakdown at 5% and transition from custodial arrangements at 3%.">
              <a:extLst xmlns:a="http://schemas.openxmlformats.org/drawingml/2006/main">
                <a:ext uri="{FF2B5EF4-FFF2-40B4-BE49-F238E27FC236}">
                  <a16:creationId xmlns:a16="http://schemas.microsoft.com/office/drawing/2014/main" id="{1DD19CAA-0773-4014-811D-26FDBC013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0085C">
        <w:br w:type="page"/>
      </w:r>
    </w:p>
    <w:p w14:paraId="708FA530" w14:textId="6B550A00" w:rsidR="00217897" w:rsidRPr="00217897" w:rsidRDefault="00217897" w:rsidP="001912EB">
      <w:pPr>
        <w:rPr>
          <w:rStyle w:val="Strong"/>
        </w:rPr>
      </w:pPr>
      <w:r>
        <w:rPr>
          <w:rStyle w:val="Strong"/>
        </w:rPr>
        <w:lastRenderedPageBreak/>
        <w:t>All reasons for seeking support</w:t>
      </w:r>
    </w:p>
    <w:p w14:paraId="377F0243" w14:textId="61AE235E" w:rsidR="001912EB" w:rsidRPr="0000085C" w:rsidRDefault="001912EB" w:rsidP="001912EB">
      <w:r w:rsidRPr="0000085C">
        <w:t xml:space="preserve">Most clients </w:t>
      </w:r>
      <w:r w:rsidR="00243E4B" w:rsidRPr="0000085C">
        <w:t>ha</w:t>
      </w:r>
      <w:r w:rsidR="00582A50" w:rsidRPr="0000085C">
        <w:t>d</w:t>
      </w:r>
      <w:r w:rsidR="00243E4B" w:rsidRPr="0000085C">
        <w:t xml:space="preserve"> more than one</w:t>
      </w:r>
      <w:r w:rsidRPr="0000085C">
        <w:t xml:space="preserve"> </w:t>
      </w:r>
      <w:r w:rsidR="00B547DA" w:rsidRPr="0000085C">
        <w:t>reason</w:t>
      </w:r>
      <w:r w:rsidRPr="0000085C">
        <w:t xml:space="preserve"> for seeking assistance</w:t>
      </w:r>
      <w:r w:rsidR="006F2137">
        <w:t>,</w:t>
      </w:r>
      <w:r w:rsidRPr="0000085C">
        <w:t xml:space="preserve"> and this data provides information about the range of challenges faced by people experiencing housing insecurity. The ten most common reasons are shown in Figure </w:t>
      </w:r>
      <w:r w:rsidR="00B86A35" w:rsidRPr="0000085C">
        <w:t>8</w:t>
      </w:r>
      <w:r w:rsidRPr="0000085C">
        <w:t>.</w:t>
      </w:r>
      <w:r w:rsidR="006B3C1D" w:rsidRPr="0000085C">
        <w:t xml:space="preserve"> </w:t>
      </w:r>
      <w:r w:rsidR="001A6F28" w:rsidRPr="0000085C">
        <w:t>Housing crisis and housing affordability stress were the most common reasons for seeking housing support</w:t>
      </w:r>
      <w:r w:rsidR="00B10B38" w:rsidRPr="0000085C">
        <w:t xml:space="preserve">, each being cited </w:t>
      </w:r>
      <w:r w:rsidR="001A6F28" w:rsidRPr="0000085C">
        <w:t>by 4 in 10 clients.</w:t>
      </w:r>
    </w:p>
    <w:p w14:paraId="429A767C" w14:textId="3F8F18F6" w:rsidR="003E23D0" w:rsidRPr="0000085C" w:rsidRDefault="00CB1C94" w:rsidP="003E23D0">
      <w:r w:rsidRPr="0000085C">
        <w:t>Compared to the previous quarter</w:t>
      </w:r>
      <w:r w:rsidR="003E23D0" w:rsidRPr="0000085C">
        <w:t xml:space="preserve">, </w:t>
      </w:r>
      <w:r w:rsidRPr="0000085C">
        <w:t>domestic and family violence, poor dwelling conditions and financial difficulties were more commonly reported as reasons for seeking assistance</w:t>
      </w:r>
      <w:r w:rsidR="003C3AB7" w:rsidRPr="0000085C">
        <w:t xml:space="preserve"> (even if it was not the main reason)</w:t>
      </w:r>
      <w:r w:rsidRPr="0000085C">
        <w:t xml:space="preserve">. </w:t>
      </w:r>
    </w:p>
    <w:p w14:paraId="7639E5E4" w14:textId="438DB168" w:rsidR="003E23D0" w:rsidRPr="0000085C" w:rsidRDefault="00CB1C94" w:rsidP="00ED4092">
      <w:pPr>
        <w:pStyle w:val="ListParagraph"/>
      </w:pPr>
      <w:r w:rsidRPr="0000085C">
        <w:t xml:space="preserve">278 </w:t>
      </w:r>
      <w:r w:rsidR="004A3097" w:rsidRPr="0000085C">
        <w:t xml:space="preserve">people </w:t>
      </w:r>
      <w:r w:rsidR="004A3097" w:rsidRPr="0000085C" w:rsidDel="003C3AB7">
        <w:t>c</w:t>
      </w:r>
      <w:r w:rsidR="004A3097" w:rsidRPr="0000085C" w:rsidDel="00515F46">
        <w:t>ited</w:t>
      </w:r>
      <w:r w:rsidR="004A3097" w:rsidRPr="0000085C">
        <w:t xml:space="preserve"> </w:t>
      </w:r>
      <w:r w:rsidRPr="0000085C">
        <w:t xml:space="preserve">domestic and family violence, </w:t>
      </w:r>
      <w:r w:rsidR="002364BA">
        <w:t xml:space="preserve">up </w:t>
      </w:r>
      <w:r w:rsidR="003E23D0" w:rsidRPr="0000085C">
        <w:t>18%</w:t>
      </w:r>
    </w:p>
    <w:p w14:paraId="3A2B695A" w14:textId="607E0BFE" w:rsidR="00CB1C94" w:rsidRPr="0000085C" w:rsidRDefault="00CB1C94" w:rsidP="00ED4092">
      <w:pPr>
        <w:pStyle w:val="ListParagraph"/>
      </w:pPr>
      <w:r w:rsidRPr="0000085C">
        <w:t xml:space="preserve">548 </w:t>
      </w:r>
      <w:r w:rsidR="004A3097" w:rsidRPr="0000085C">
        <w:t xml:space="preserve">people </w:t>
      </w:r>
      <w:r w:rsidRPr="0000085C">
        <w:t xml:space="preserve">cited inadequate or inappropriate dwelling conditions, </w:t>
      </w:r>
      <w:r w:rsidR="002364BA">
        <w:t xml:space="preserve">up </w:t>
      </w:r>
      <w:r w:rsidRPr="0000085C">
        <w:t>13%</w:t>
      </w:r>
    </w:p>
    <w:p w14:paraId="79AC364C" w14:textId="5BD0100F" w:rsidR="00CB1C94" w:rsidRPr="0000085C" w:rsidRDefault="004A3097" w:rsidP="00ED4092">
      <w:pPr>
        <w:pStyle w:val="ListParagraph"/>
      </w:pPr>
      <w:r w:rsidRPr="0000085C">
        <w:t xml:space="preserve">535 people cited financial difficulties, </w:t>
      </w:r>
      <w:r w:rsidR="002364BA">
        <w:t xml:space="preserve">up </w:t>
      </w:r>
      <w:r w:rsidRPr="0000085C">
        <w:t>12%</w:t>
      </w:r>
    </w:p>
    <w:p w14:paraId="75903B11" w14:textId="77777777" w:rsidR="00036A2E" w:rsidRPr="0000085C" w:rsidRDefault="00036A2E" w:rsidP="00036A2E">
      <w:pPr>
        <w:pStyle w:val="BodyText"/>
      </w:pPr>
    </w:p>
    <w:p w14:paraId="1BDDF50D" w14:textId="1D419DF9" w:rsidR="003F62EA" w:rsidRDefault="003F62EA" w:rsidP="00036A2E">
      <w:pPr>
        <w:pStyle w:val="BodyText"/>
        <w:rPr>
          <w:b/>
          <w:bCs/>
        </w:rPr>
      </w:pPr>
      <w:r w:rsidRPr="00344EAB">
        <w:rPr>
          <w:b/>
          <w:bCs/>
        </w:rPr>
        <w:t>Figure 8</w:t>
      </w:r>
      <w:r w:rsidR="00B54C1F" w:rsidRPr="0000085C">
        <w:rPr>
          <w:b/>
          <w:bCs/>
        </w:rPr>
        <w:t xml:space="preserve">. All reasons for seeking </w:t>
      </w:r>
      <w:r w:rsidR="009C2F41" w:rsidRPr="0000085C">
        <w:rPr>
          <w:b/>
          <w:bCs/>
        </w:rPr>
        <w:t>housing support given by Front Door clients</w:t>
      </w:r>
    </w:p>
    <w:p w14:paraId="713E7071" w14:textId="629147FE" w:rsidR="00A72B45" w:rsidRPr="00A72B45" w:rsidRDefault="00A72B45" w:rsidP="00036A2E">
      <w:pPr>
        <w:pStyle w:val="BodyText"/>
        <w:rPr>
          <w:i/>
          <w:iCs/>
        </w:rPr>
      </w:pPr>
      <w:r w:rsidRPr="00A72B45">
        <w:rPr>
          <w:i/>
          <w:iCs/>
        </w:rPr>
        <w:t>% of clients with support periods, January to March 2025</w:t>
      </w:r>
    </w:p>
    <w:p w14:paraId="0E423F62" w14:textId="1236572E" w:rsidR="00036A2E" w:rsidRPr="0000085C" w:rsidRDefault="00036A2E" w:rsidP="00036A2E">
      <w:pPr>
        <w:pStyle w:val="BodyText"/>
      </w:pPr>
      <w:r w:rsidRPr="00344EAB">
        <w:rPr>
          <w:noProof/>
          <w14:ligatures w14:val="standardContextual"/>
        </w:rPr>
        <w:drawing>
          <wp:inline distT="0" distB="0" distL="0" distR="0" wp14:anchorId="49BB33F0" wp14:editId="6B6A0C2F">
            <wp:extent cx="6270625" cy="3300095"/>
            <wp:effectExtent l="0" t="0" r="0" b="0"/>
            <wp:docPr id="1073357691" name="Chart 1" descr="Bar graph showing housing crisis at 42%, housing affordability 42%, inadequate dwelling conditions 39%, financial difficulties 38%, previous accommodation ended 21%, domestic and family violence 20%, lack of family support 19%, mental health issues 18%, relationship breakdown 17% and medical issues 9%.">
              <a:extLst xmlns:a="http://schemas.openxmlformats.org/drawingml/2006/main">
                <a:ext uri="{FF2B5EF4-FFF2-40B4-BE49-F238E27FC236}">
                  <a16:creationId xmlns:a16="http://schemas.microsoft.com/office/drawing/2014/main" id="{2AC6D876-A08D-4C87-A24C-016DA77FE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468B127" w14:textId="77777777" w:rsidR="004A3097" w:rsidRPr="0000085C" w:rsidRDefault="004A3097">
      <w:pPr>
        <w:widowControl/>
        <w:autoSpaceDE/>
        <w:autoSpaceDN/>
        <w:spacing w:before="0" w:after="160" w:line="259" w:lineRule="auto"/>
        <w:rPr>
          <w:rFonts w:ascii="Avenir Next Demi Bold" w:eastAsia="AvenirNextLTPro-Demi" w:hAnsi="Avenir Next Demi Bold" w:cs="AvenirNextLTPro-Demi"/>
          <w:b/>
          <w:bCs/>
          <w:color w:val="1598CB"/>
          <w:sz w:val="48"/>
          <w:szCs w:val="48"/>
        </w:rPr>
      </w:pPr>
      <w:r w:rsidRPr="0000085C">
        <w:br w:type="page"/>
      </w:r>
    </w:p>
    <w:p w14:paraId="5517CB1F" w14:textId="3521A707" w:rsidR="00554438" w:rsidRPr="00344EAB" w:rsidRDefault="005C584D" w:rsidP="00554438">
      <w:pPr>
        <w:pStyle w:val="Heading1"/>
        <w:rPr>
          <w:lang w:val="en-GB"/>
        </w:rPr>
      </w:pPr>
      <w:bookmarkStart w:id="21" w:name="_Toc198823103"/>
      <w:r w:rsidRPr="00344EAB">
        <w:rPr>
          <w:lang w:val="en-GB"/>
        </w:rPr>
        <w:lastRenderedPageBreak/>
        <w:t xml:space="preserve">Front </w:t>
      </w:r>
      <w:r w:rsidR="00B657A3" w:rsidRPr="00344EAB">
        <w:rPr>
          <w:lang w:val="en-GB"/>
        </w:rPr>
        <w:t>D</w:t>
      </w:r>
      <w:r w:rsidRPr="00344EAB">
        <w:rPr>
          <w:lang w:val="en-GB"/>
        </w:rPr>
        <w:t>oor response</w:t>
      </w:r>
      <w:bookmarkEnd w:id="21"/>
    </w:p>
    <w:p w14:paraId="1FFA0DD6" w14:textId="5BC78FA5" w:rsidR="007E21E4" w:rsidRPr="00344EAB" w:rsidRDefault="007E21E4" w:rsidP="007E21E4">
      <w:pPr>
        <w:pStyle w:val="BodyText"/>
      </w:pPr>
      <w:r w:rsidRPr="00344EAB">
        <w:t>Housing Connect</w:t>
      </w:r>
      <w:r w:rsidR="0092120B" w:rsidRPr="00344EAB">
        <w:t>’s</w:t>
      </w:r>
      <w:r w:rsidRPr="00344EAB">
        <w:t xml:space="preserve"> </w:t>
      </w:r>
      <w:r w:rsidR="0076613C" w:rsidRPr="00344EAB">
        <w:t xml:space="preserve">Front Door service </w:t>
      </w:r>
      <w:r w:rsidRPr="00344EAB">
        <w:t xml:space="preserve">helps </w:t>
      </w:r>
      <w:r w:rsidR="0076613C" w:rsidRPr="00344EAB">
        <w:t>Tasmanians</w:t>
      </w:r>
      <w:r w:rsidRPr="00344EAB">
        <w:t>:</w:t>
      </w:r>
    </w:p>
    <w:p w14:paraId="56F184CF" w14:textId="6A5857CE" w:rsidR="007E21E4" w:rsidRPr="00344EAB" w:rsidRDefault="007E21E4" w:rsidP="007E21E4">
      <w:pPr>
        <w:pStyle w:val="BodyText"/>
        <w:numPr>
          <w:ilvl w:val="0"/>
          <w:numId w:val="11"/>
        </w:numPr>
      </w:pPr>
      <w:r w:rsidRPr="00344EAB">
        <w:t>to apply for social housing or update their application if their circumstances have changed</w:t>
      </w:r>
    </w:p>
    <w:p w14:paraId="0A80F0A3" w14:textId="77777777" w:rsidR="007E21E4" w:rsidRPr="00344EAB" w:rsidRDefault="007E21E4" w:rsidP="007E21E4">
      <w:pPr>
        <w:pStyle w:val="BodyText"/>
        <w:numPr>
          <w:ilvl w:val="0"/>
          <w:numId w:val="11"/>
        </w:numPr>
      </w:pPr>
      <w:r w:rsidRPr="00344EAB">
        <w:t>to apply for private rental assistance such as bonds and rent arrears</w:t>
      </w:r>
    </w:p>
    <w:p w14:paraId="0F9C6539" w14:textId="77777777" w:rsidR="007E21E4" w:rsidRPr="00344EAB" w:rsidRDefault="007E21E4" w:rsidP="007E21E4">
      <w:pPr>
        <w:pStyle w:val="BodyText"/>
        <w:numPr>
          <w:ilvl w:val="0"/>
          <w:numId w:val="11"/>
        </w:numPr>
      </w:pPr>
      <w:r w:rsidRPr="00344EAB">
        <w:t>to find a bed for the night, including referral to crisis accommodation</w:t>
      </w:r>
    </w:p>
    <w:p w14:paraId="7DE40489" w14:textId="77777777" w:rsidR="007E21E4" w:rsidRPr="00344EAB" w:rsidRDefault="007E21E4" w:rsidP="007E21E4">
      <w:pPr>
        <w:pStyle w:val="BodyText"/>
        <w:numPr>
          <w:ilvl w:val="0"/>
          <w:numId w:val="11"/>
        </w:numPr>
      </w:pPr>
      <w:r w:rsidRPr="00344EAB">
        <w:t>to access supports following family violence, including rapid rehousing</w:t>
      </w:r>
    </w:p>
    <w:p w14:paraId="2F8EEAE4" w14:textId="27F5F0A5" w:rsidR="007E21E4" w:rsidRPr="00344EAB" w:rsidRDefault="007E21E4" w:rsidP="007E21E4">
      <w:pPr>
        <w:pStyle w:val="BodyText"/>
        <w:numPr>
          <w:ilvl w:val="0"/>
          <w:numId w:val="11"/>
        </w:numPr>
      </w:pPr>
      <w:r w:rsidRPr="00344EAB">
        <w:t>with support and advice on how to keep their tenancy</w:t>
      </w:r>
    </w:p>
    <w:p w14:paraId="18D5EEB1" w14:textId="1CA851D5" w:rsidR="007E21E4" w:rsidRPr="00344EAB" w:rsidRDefault="007E21E4" w:rsidP="007E21E4">
      <w:pPr>
        <w:pStyle w:val="BodyText"/>
        <w:numPr>
          <w:ilvl w:val="0"/>
          <w:numId w:val="11"/>
        </w:numPr>
      </w:pPr>
      <w:r w:rsidRPr="00344EAB">
        <w:t>with referrals to other support services</w:t>
      </w:r>
      <w:r w:rsidR="00F12243">
        <w:t>.</w:t>
      </w:r>
    </w:p>
    <w:p w14:paraId="03F339E4" w14:textId="5E26158C" w:rsidR="005C584D" w:rsidRPr="00344EAB" w:rsidRDefault="007E21E4" w:rsidP="00E509D2">
      <w:pPr>
        <w:pStyle w:val="Heading2"/>
      </w:pPr>
      <w:bookmarkStart w:id="22" w:name="_Hlk198633698"/>
      <w:bookmarkStart w:id="23" w:name="_Toc198823104"/>
      <w:r w:rsidRPr="00344EAB">
        <w:t>Applications for social housing</w:t>
      </w:r>
      <w:bookmarkEnd w:id="23"/>
    </w:p>
    <w:p w14:paraId="5D2ABE8F" w14:textId="0262CBCE" w:rsidR="00754F57" w:rsidRPr="0000085C" w:rsidRDefault="005C584D" w:rsidP="00E509D2">
      <w:r w:rsidRPr="0000085C">
        <w:t>Between 1</w:t>
      </w:r>
      <w:r w:rsidR="00EA4866" w:rsidRPr="0000085C">
        <w:t xml:space="preserve"> </w:t>
      </w:r>
      <w:r w:rsidR="004A3097" w:rsidRPr="0000085C">
        <w:t>January and 31 March 2025</w:t>
      </w:r>
      <w:r w:rsidRPr="0000085C">
        <w:t xml:space="preserve">, Anglicare’s Housing Connect Front Door assisted </w:t>
      </w:r>
      <w:r w:rsidRPr="0000085C">
        <w:rPr>
          <w:b/>
        </w:rPr>
        <w:t>1,</w:t>
      </w:r>
      <w:r w:rsidR="004A3097" w:rsidRPr="0000085C">
        <w:rPr>
          <w:b/>
        </w:rPr>
        <w:t>346</w:t>
      </w:r>
      <w:r w:rsidRPr="0000085C">
        <w:rPr>
          <w:b/>
        </w:rPr>
        <w:t xml:space="preserve"> people</w:t>
      </w:r>
      <w:r w:rsidRPr="0000085C">
        <w:t xml:space="preserve"> with new applications for social housing</w:t>
      </w:r>
      <w:r w:rsidR="004A3097" w:rsidRPr="0000085C">
        <w:t>, an increase of 8% on the previous quarter</w:t>
      </w:r>
      <w:r w:rsidRPr="0000085C">
        <w:t xml:space="preserve">. </w:t>
      </w:r>
      <w:r w:rsidR="00FF5889" w:rsidRPr="0000085C">
        <w:t>This was driven mainly by a 13% increase in applications in the North and 11% increase in the North</w:t>
      </w:r>
      <w:r w:rsidR="002A00C6">
        <w:t xml:space="preserve"> West</w:t>
      </w:r>
      <w:r w:rsidR="00FF5889" w:rsidRPr="0000085C">
        <w:t>.</w:t>
      </w:r>
      <w:r w:rsidR="004A3097" w:rsidRPr="0000085C">
        <w:t xml:space="preserve"> </w:t>
      </w:r>
      <w:r w:rsidRPr="0000085C">
        <w:t>5</w:t>
      </w:r>
      <w:r w:rsidR="004A3097" w:rsidRPr="0000085C">
        <w:t>80</w:t>
      </w:r>
      <w:r w:rsidRPr="0000085C">
        <w:t xml:space="preserve"> applications (45%) were in the South, </w:t>
      </w:r>
      <w:r w:rsidR="004A3097" w:rsidRPr="0000085C">
        <w:t>421</w:t>
      </w:r>
      <w:r w:rsidRPr="0000085C">
        <w:t xml:space="preserve"> (30%) in the North West and 3</w:t>
      </w:r>
      <w:r w:rsidR="004A3097" w:rsidRPr="0000085C">
        <w:t>4</w:t>
      </w:r>
      <w:r w:rsidRPr="0000085C">
        <w:t>5 (2</w:t>
      </w:r>
      <w:r w:rsidR="00575343" w:rsidRPr="0000085C">
        <w:t>4</w:t>
      </w:r>
      <w:r w:rsidRPr="0000085C">
        <w:t>%) in the North</w:t>
      </w:r>
      <w:r w:rsidR="00754F57" w:rsidRPr="0000085C">
        <w:t>.</w:t>
      </w:r>
    </w:p>
    <w:p w14:paraId="20F4F676" w14:textId="2508C999" w:rsidR="005C584D" w:rsidRPr="0000085C" w:rsidRDefault="005C584D" w:rsidP="00E509D2">
      <w:r w:rsidRPr="0000085C">
        <w:t>The Front Door also assesses new applications to ensure they fit the required criteria and subsequently assists applicants to update their circumstances and ensure that their application remains current.</w:t>
      </w:r>
    </w:p>
    <w:p w14:paraId="1577EBF9" w14:textId="6FE71064" w:rsidR="00FF5889" w:rsidRDefault="005C584D" w:rsidP="00395719">
      <w:r w:rsidRPr="0000085C">
        <w:t>The Front Door service does not allocate housing and is unable to provide clients with advice about how long they may wait to be allocated housing.</w:t>
      </w:r>
    </w:p>
    <w:p w14:paraId="6DE3EA95" w14:textId="6F676C9D" w:rsidR="004E44B8" w:rsidRDefault="004E44B8" w:rsidP="004E44B8">
      <w:pPr>
        <w:pStyle w:val="BodyText"/>
        <w:numPr>
          <w:ilvl w:val="0"/>
          <w:numId w:val="10"/>
        </w:numPr>
        <w:contextualSpacing/>
      </w:pPr>
      <w:r w:rsidRPr="0000085C">
        <w:t xml:space="preserve">1,346 new social housing applications, </w:t>
      </w:r>
      <w:r w:rsidR="00ED4092">
        <w:t xml:space="preserve">up </w:t>
      </w:r>
      <w:r w:rsidRPr="0000085C">
        <w:t>8%</w:t>
      </w:r>
    </w:p>
    <w:p w14:paraId="7A3CAD14" w14:textId="7F662A66" w:rsidR="00ED4092" w:rsidRDefault="004E44B8" w:rsidP="004E44B8">
      <w:pPr>
        <w:pStyle w:val="BodyText"/>
        <w:numPr>
          <w:ilvl w:val="0"/>
          <w:numId w:val="10"/>
        </w:numPr>
        <w:contextualSpacing/>
      </w:pPr>
      <w:r w:rsidRPr="0000085C">
        <w:t>580 applications</w:t>
      </w:r>
      <w:r w:rsidR="00ED4092">
        <w:t xml:space="preserve"> in the South,</w:t>
      </w:r>
      <w:r w:rsidRPr="0000085C">
        <w:t xml:space="preserve"> </w:t>
      </w:r>
      <w:r w:rsidR="00ED4092">
        <w:t xml:space="preserve">up </w:t>
      </w:r>
      <w:r w:rsidRPr="0000085C">
        <w:t>3%</w:t>
      </w:r>
    </w:p>
    <w:p w14:paraId="273F4FB0" w14:textId="0D757754" w:rsidR="00ED4092" w:rsidRDefault="004E44B8" w:rsidP="004E44B8">
      <w:pPr>
        <w:pStyle w:val="BodyText"/>
        <w:numPr>
          <w:ilvl w:val="0"/>
          <w:numId w:val="10"/>
        </w:numPr>
        <w:contextualSpacing/>
      </w:pPr>
      <w:r w:rsidRPr="0000085C">
        <w:t xml:space="preserve">345 applications </w:t>
      </w:r>
      <w:r w:rsidR="00ED4092">
        <w:t xml:space="preserve">in the North, up </w:t>
      </w:r>
      <w:r w:rsidRPr="0000085C">
        <w:t>13%</w:t>
      </w:r>
    </w:p>
    <w:p w14:paraId="5BAB3523" w14:textId="1571D6FC" w:rsidR="004E44B8" w:rsidRPr="0000085C" w:rsidRDefault="004E44B8" w:rsidP="004E44B8">
      <w:pPr>
        <w:pStyle w:val="BodyText"/>
        <w:numPr>
          <w:ilvl w:val="0"/>
          <w:numId w:val="10"/>
        </w:numPr>
        <w:contextualSpacing/>
      </w:pPr>
      <w:r w:rsidRPr="0000085C">
        <w:t xml:space="preserve">421 applications </w:t>
      </w:r>
      <w:r w:rsidR="00ED4092">
        <w:t xml:space="preserve">in the North West, up </w:t>
      </w:r>
      <w:r w:rsidRPr="0000085C">
        <w:t>11%</w:t>
      </w:r>
    </w:p>
    <w:p w14:paraId="40797501" w14:textId="41708A56" w:rsidR="005C584D" w:rsidRPr="00344EAB" w:rsidRDefault="005C584D" w:rsidP="00E509D2">
      <w:pPr>
        <w:pStyle w:val="Heading2"/>
      </w:pPr>
      <w:bookmarkStart w:id="24" w:name="_Toc198823105"/>
      <w:r w:rsidRPr="00344EAB">
        <w:t>Private rental assistance</w:t>
      </w:r>
      <w:bookmarkEnd w:id="24"/>
    </w:p>
    <w:p w14:paraId="0E8A6DF3" w14:textId="69A10C0E" w:rsidR="005C584D" w:rsidRPr="0000085C" w:rsidRDefault="005C584D" w:rsidP="00E509D2">
      <w:pPr>
        <w:widowControl/>
        <w:autoSpaceDE/>
        <w:autoSpaceDN/>
        <w:spacing w:before="0" w:after="0"/>
      </w:pPr>
      <w:r w:rsidRPr="0000085C">
        <w:t xml:space="preserve">Between 1 </w:t>
      </w:r>
      <w:r w:rsidR="00B10B38" w:rsidRPr="0000085C">
        <w:t>January and 31 March 2025,</w:t>
      </w:r>
      <w:r w:rsidRPr="0000085C">
        <w:t xml:space="preserve"> the Front Door service provided over $8</w:t>
      </w:r>
      <w:r w:rsidR="000A3AD0" w:rsidRPr="0000085C">
        <w:t>4,600</w:t>
      </w:r>
      <w:r w:rsidRPr="00344EAB">
        <w:rPr>
          <w:rFonts w:ascii="Calibri" w:eastAsia="Times New Roman" w:hAnsi="Calibri" w:cs="Calibri"/>
          <w:color w:val="000000"/>
          <w:sz w:val="22"/>
          <w:lang w:eastAsia="en-AU"/>
        </w:rPr>
        <w:t xml:space="preserve"> </w:t>
      </w:r>
      <w:r w:rsidRPr="0000085C">
        <w:t>in financial assistance to help people establish or maintain a private tenancy. These payments included assistance to pay rental bonds, rental arrears or moving costs.</w:t>
      </w:r>
    </w:p>
    <w:p w14:paraId="6FA8BACC" w14:textId="2917E31B" w:rsidR="005C584D" w:rsidRPr="0000085C" w:rsidRDefault="004313B1" w:rsidP="00E509D2">
      <w:pPr>
        <w:pStyle w:val="BodyText"/>
      </w:pPr>
      <w:r w:rsidRPr="0000085C">
        <w:t>Compared to the previous quarter</w:t>
      </w:r>
      <w:r w:rsidR="005C584D" w:rsidRPr="0000085C">
        <w:t xml:space="preserve">, </w:t>
      </w:r>
      <w:r w:rsidR="00F411E5" w:rsidRPr="0000085C">
        <w:t xml:space="preserve">the number of </w:t>
      </w:r>
      <w:r w:rsidRPr="0000085C">
        <w:t xml:space="preserve">new applications for private rental assistance </w:t>
      </w:r>
      <w:r w:rsidR="00F411E5" w:rsidRPr="0000085C">
        <w:t>fell by 2% to 412</w:t>
      </w:r>
      <w:r w:rsidR="00625F08" w:rsidRPr="0000085C">
        <w:t xml:space="preserve">. </w:t>
      </w:r>
      <w:r w:rsidR="00F22ED6" w:rsidRPr="0000085C">
        <w:t>However, the</w:t>
      </w:r>
      <w:r w:rsidR="00D6049A" w:rsidRPr="0000085C">
        <w:t xml:space="preserve"> </w:t>
      </w:r>
      <w:r w:rsidR="00F134EA" w:rsidRPr="0000085C">
        <w:t xml:space="preserve">average </w:t>
      </w:r>
      <w:r w:rsidR="00D6049A" w:rsidRPr="0000085C">
        <w:t xml:space="preserve">financial assistance </w:t>
      </w:r>
      <w:r w:rsidR="00625F08" w:rsidRPr="0000085C">
        <w:t>provided to each applicant increased.</w:t>
      </w:r>
    </w:p>
    <w:p w14:paraId="0DAB7E24" w14:textId="77B2B835" w:rsidR="00FF5889" w:rsidRPr="0000085C" w:rsidRDefault="0047418C" w:rsidP="00E509D2">
      <w:pPr>
        <w:pStyle w:val="BodyText"/>
      </w:pPr>
      <w:r w:rsidRPr="0000085C">
        <w:t>Although</w:t>
      </w:r>
      <w:r w:rsidR="00D84181" w:rsidRPr="0000085C">
        <w:t xml:space="preserve"> the </w:t>
      </w:r>
      <w:r w:rsidR="00224366" w:rsidRPr="0000085C">
        <w:t xml:space="preserve">total </w:t>
      </w:r>
      <w:r w:rsidR="00D84181" w:rsidRPr="0000085C">
        <w:t xml:space="preserve">number of PRA applications </w:t>
      </w:r>
      <w:r w:rsidR="00FC111E">
        <w:t>was</w:t>
      </w:r>
      <w:r w:rsidR="00D84181" w:rsidRPr="0000085C">
        <w:t xml:space="preserve"> </w:t>
      </w:r>
      <w:r w:rsidR="00FE7684" w:rsidRPr="0000085C">
        <w:t>highest in the South</w:t>
      </w:r>
      <w:r w:rsidR="00D84181" w:rsidRPr="0000085C">
        <w:t xml:space="preserve">, </w:t>
      </w:r>
      <w:r w:rsidR="00224366" w:rsidRPr="0000085C">
        <w:t xml:space="preserve">on a per capita basis </w:t>
      </w:r>
      <w:r w:rsidR="00D84181" w:rsidRPr="0000085C">
        <w:t>the</w:t>
      </w:r>
      <w:r w:rsidR="00395719" w:rsidRPr="0000085C">
        <w:t xml:space="preserve">re </w:t>
      </w:r>
      <w:r w:rsidR="00224366" w:rsidRPr="0000085C">
        <w:t>we</w:t>
      </w:r>
      <w:r w:rsidR="00395719" w:rsidRPr="0000085C">
        <w:t>re 50% more</w:t>
      </w:r>
      <w:r w:rsidR="00D84181" w:rsidRPr="0000085C">
        <w:t xml:space="preserve"> applications </w:t>
      </w:r>
      <w:r w:rsidR="00BA689D" w:rsidRPr="0000085C">
        <w:t>in the North and the North West</w:t>
      </w:r>
      <w:r w:rsidR="00395719" w:rsidRPr="0000085C">
        <w:t>.</w:t>
      </w:r>
    </w:p>
    <w:p w14:paraId="691BA8DE" w14:textId="250B508E" w:rsidR="00260D90" w:rsidRDefault="00996367" w:rsidP="00EA0C35">
      <w:pPr>
        <w:pStyle w:val="BodyText"/>
        <w:numPr>
          <w:ilvl w:val="0"/>
          <w:numId w:val="10"/>
        </w:numPr>
        <w:contextualSpacing/>
      </w:pPr>
      <w:r w:rsidRPr="0000085C">
        <w:t xml:space="preserve">412 </w:t>
      </w:r>
      <w:r w:rsidR="00466E40" w:rsidRPr="0000085C">
        <w:t>applications</w:t>
      </w:r>
      <w:r w:rsidRPr="0000085C">
        <w:t xml:space="preserve"> for private rental assistance</w:t>
      </w:r>
      <w:r w:rsidR="00ED4092">
        <w:t xml:space="preserve">, down </w:t>
      </w:r>
      <w:r w:rsidRPr="0000085C">
        <w:t>2</w:t>
      </w:r>
      <w:r w:rsidR="004E44B8">
        <w:t>1</w:t>
      </w:r>
      <w:r w:rsidRPr="0000085C">
        <w:t>%</w:t>
      </w:r>
    </w:p>
    <w:p w14:paraId="235302B3" w14:textId="6B096086" w:rsidR="00ED4092" w:rsidRDefault="00ED4092" w:rsidP="00EA0C35">
      <w:pPr>
        <w:pStyle w:val="BodyText"/>
        <w:numPr>
          <w:ilvl w:val="0"/>
          <w:numId w:val="10"/>
        </w:numPr>
        <w:contextualSpacing/>
      </w:pPr>
      <w:r w:rsidRPr="00ED4092">
        <w:t>1.9 applications</w:t>
      </w:r>
      <w:r>
        <w:t xml:space="preserve"> </w:t>
      </w:r>
      <w:r w:rsidRPr="00ED4092">
        <w:t>per 10,000</w:t>
      </w:r>
      <w:r>
        <w:t xml:space="preserve"> in the South</w:t>
      </w:r>
    </w:p>
    <w:p w14:paraId="15A6BD6D" w14:textId="77777777" w:rsidR="00ED4092" w:rsidRDefault="002218EC" w:rsidP="00ED4092">
      <w:pPr>
        <w:pStyle w:val="BodyText"/>
        <w:numPr>
          <w:ilvl w:val="0"/>
          <w:numId w:val="10"/>
        </w:numPr>
        <w:contextualSpacing/>
      </w:pPr>
      <w:r w:rsidRPr="0000085C">
        <w:t>3.0 applications</w:t>
      </w:r>
      <w:r w:rsidR="00ED4092">
        <w:t xml:space="preserve"> per 10,000 in the North</w:t>
      </w:r>
    </w:p>
    <w:p w14:paraId="77826A84" w14:textId="1B61C279" w:rsidR="00AF10E8" w:rsidRPr="0000085C" w:rsidRDefault="002218EC" w:rsidP="00ED4092">
      <w:pPr>
        <w:pStyle w:val="BodyText"/>
        <w:numPr>
          <w:ilvl w:val="0"/>
          <w:numId w:val="10"/>
        </w:numPr>
        <w:contextualSpacing/>
      </w:pPr>
      <w:r w:rsidRPr="0000085C">
        <w:t xml:space="preserve">2.9 </w:t>
      </w:r>
      <w:r w:rsidR="000D4653" w:rsidRPr="0000085C">
        <w:t>applications</w:t>
      </w:r>
      <w:r w:rsidR="00ED4092">
        <w:t xml:space="preserve"> per 10,000 in the North West</w:t>
      </w:r>
    </w:p>
    <w:p w14:paraId="12191587" w14:textId="2ED5CAB5" w:rsidR="00754F57" w:rsidRPr="0000085C" w:rsidRDefault="00754F57" w:rsidP="00EA0C35">
      <w:pPr>
        <w:pStyle w:val="BodyText"/>
        <w:numPr>
          <w:ilvl w:val="0"/>
          <w:numId w:val="10"/>
        </w:numPr>
        <w:contextualSpacing/>
      </w:pPr>
      <w:r w:rsidRPr="0000085C">
        <w:t xml:space="preserve">$84,600 provided in private rental assistance, </w:t>
      </w:r>
      <w:r w:rsidR="00ED4092">
        <w:t xml:space="preserve">up </w:t>
      </w:r>
      <w:r w:rsidRPr="0000085C">
        <w:t>1%</w:t>
      </w:r>
    </w:p>
    <w:p w14:paraId="7211DD81" w14:textId="61D3C0BE" w:rsidR="005C584D" w:rsidRPr="00344EAB" w:rsidRDefault="005C584D" w:rsidP="00E509D2">
      <w:pPr>
        <w:pStyle w:val="Heading2"/>
      </w:pPr>
      <w:bookmarkStart w:id="25" w:name="_Toc198823106"/>
      <w:bookmarkEnd w:id="22"/>
      <w:r w:rsidRPr="00344EAB">
        <w:lastRenderedPageBreak/>
        <w:t xml:space="preserve">Crisis and </w:t>
      </w:r>
      <w:r w:rsidR="007E21E4" w:rsidRPr="00344EAB">
        <w:t>emergency accommodation</w:t>
      </w:r>
      <w:bookmarkEnd w:id="25"/>
    </w:p>
    <w:p w14:paraId="326B8052" w14:textId="62088789" w:rsidR="005C584D" w:rsidRPr="0000085C" w:rsidRDefault="005C584D" w:rsidP="00E509D2">
      <w:pPr>
        <w:pStyle w:val="BodyText"/>
      </w:pPr>
      <w:r w:rsidRPr="0000085C">
        <w:t>Crisis and urgent responses include finding or brokering emergency accommodation and providing reasonable urgent financial assistance.</w:t>
      </w:r>
      <w:r w:rsidR="00FF68D9" w:rsidRPr="0000085C">
        <w:t xml:space="preserve"> </w:t>
      </w:r>
    </w:p>
    <w:p w14:paraId="61269757" w14:textId="1FE4BFF8" w:rsidR="005C584D" w:rsidRPr="0000085C" w:rsidRDefault="00FF68D9" w:rsidP="00E509D2">
      <w:pPr>
        <w:pStyle w:val="BodyText"/>
      </w:pPr>
      <w:r w:rsidRPr="0000085C">
        <w:t xml:space="preserve">Over </w:t>
      </w:r>
      <w:r w:rsidR="0062422D" w:rsidRPr="0000085C">
        <w:t>the March</w:t>
      </w:r>
      <w:r w:rsidR="005C584D" w:rsidRPr="0000085C">
        <w:t xml:space="preserve"> quarter, </w:t>
      </w:r>
      <w:r w:rsidR="0062422D" w:rsidRPr="0000085C">
        <w:t>the</w:t>
      </w:r>
      <w:r w:rsidR="005C584D" w:rsidRPr="0000085C">
        <w:t xml:space="preserve"> Front Door organised </w:t>
      </w:r>
      <w:r w:rsidR="007A70BD" w:rsidRPr="0000085C">
        <w:t>33</w:t>
      </w:r>
      <w:r w:rsidRPr="0000085C">
        <w:t>6</w:t>
      </w:r>
      <w:r w:rsidR="005C584D" w:rsidRPr="0000085C">
        <w:t xml:space="preserve"> nights of short-term or emergency accommodation</w:t>
      </w:r>
      <w:r w:rsidR="006304DC" w:rsidRPr="0000085C">
        <w:t xml:space="preserve"> with $38,800 spent on </w:t>
      </w:r>
      <w:r w:rsidR="0076613C" w:rsidRPr="0000085C">
        <w:t>emergency accommodation</w:t>
      </w:r>
      <w:r w:rsidR="006304DC" w:rsidRPr="0000085C">
        <w:t>.</w:t>
      </w:r>
    </w:p>
    <w:p w14:paraId="2240F79F" w14:textId="77777777" w:rsidR="00C56CB9" w:rsidRDefault="006304DC" w:rsidP="006304DC">
      <w:pPr>
        <w:pStyle w:val="BodyText"/>
      </w:pPr>
      <w:r w:rsidRPr="0000085C">
        <w:t xml:space="preserve">Brokering emergency accommodation is becoming increasingly difficult, particularly in Launceston where short-stay accommodation is frequently </w:t>
      </w:r>
      <w:r w:rsidR="004A56E0" w:rsidRPr="0000085C">
        <w:t xml:space="preserve">at full occupancy. It is rare to be able to book consecutive nights in the same accommodation on weekends and </w:t>
      </w:r>
      <w:r w:rsidR="00D87945">
        <w:t>sometimes there is</w:t>
      </w:r>
      <w:r w:rsidR="004A56E0" w:rsidRPr="0000085C">
        <w:t xml:space="preserve"> no accommodation available at all.</w:t>
      </w:r>
      <w:r w:rsidR="00C56CB9">
        <w:t xml:space="preserve"> Amy’s experience shows how this can be a barrier to escaping family and domestic violence. </w:t>
      </w:r>
      <w:r w:rsidR="00106CAE" w:rsidRPr="0000085C">
        <w:t xml:space="preserve">Brokered accommodation is often not suitable and safe. The purpose of most </w:t>
      </w:r>
      <w:r w:rsidR="006654DC" w:rsidRPr="0000085C">
        <w:t xml:space="preserve">commercial </w:t>
      </w:r>
      <w:r w:rsidR="00F21A7A" w:rsidRPr="0000085C">
        <w:t xml:space="preserve">short-stay </w:t>
      </w:r>
      <w:r w:rsidR="00106CAE" w:rsidRPr="0000085C">
        <w:t>accommodation is to house people who are travelling for business or pleasure. It is not designed to provide safe, secure housing for traumati</w:t>
      </w:r>
      <w:r w:rsidR="006F278E" w:rsidRPr="0000085C">
        <w:t>s</w:t>
      </w:r>
      <w:r w:rsidR="00106CAE" w:rsidRPr="0000085C">
        <w:t>ed families who are escaping domestic and family violence and providing such a service may conflict with the needs of the accommodation business.</w:t>
      </w:r>
    </w:p>
    <w:p w14:paraId="0A515259" w14:textId="77777777" w:rsidR="00C56CB9" w:rsidRDefault="00C56CB9">
      <w:pPr>
        <w:widowControl/>
        <w:autoSpaceDE/>
        <w:autoSpaceDN/>
        <w:spacing w:before="0" w:after="160" w:line="259" w:lineRule="auto"/>
        <w:rPr>
          <w:szCs w:val="24"/>
        </w:rPr>
      </w:pPr>
      <w:r>
        <w:br w:type="page"/>
      </w:r>
    </w:p>
    <w:p w14:paraId="10B3E21C" w14:textId="71BAA468" w:rsidR="00106CAE" w:rsidRPr="0000085C" w:rsidRDefault="00C56CB9" w:rsidP="006304DC">
      <w:pPr>
        <w:pStyle w:val="BodyText"/>
      </w:pPr>
      <w:r w:rsidRPr="00344EAB">
        <w:rPr>
          <w:noProof/>
          <w14:ligatures w14:val="standardContextual"/>
        </w:rPr>
        <w:lastRenderedPageBreak/>
        <mc:AlternateContent>
          <mc:Choice Requires="wps">
            <w:drawing>
              <wp:anchor distT="0" distB="0" distL="114300" distR="114300" simplePos="0" relativeHeight="251658240" behindDoc="1" locked="0" layoutInCell="1" allowOverlap="1" wp14:anchorId="56255CBD" wp14:editId="20421B3A">
                <wp:simplePos x="0" y="0"/>
                <wp:positionH relativeFrom="margin">
                  <wp:align>left</wp:align>
                </wp:positionH>
                <wp:positionV relativeFrom="paragraph">
                  <wp:posOffset>68248</wp:posOffset>
                </wp:positionV>
                <wp:extent cx="6521450" cy="5763260"/>
                <wp:effectExtent l="0" t="0" r="0" b="8890"/>
                <wp:wrapTopAndBottom/>
                <wp:docPr id="377658712" name="Rectangle 23"/>
                <wp:cNvGraphicFramePr/>
                <a:graphic xmlns:a="http://schemas.openxmlformats.org/drawingml/2006/main">
                  <a:graphicData uri="http://schemas.microsoft.com/office/word/2010/wordprocessingShape">
                    <wps:wsp>
                      <wps:cNvSpPr/>
                      <wps:spPr>
                        <a:xfrm>
                          <a:off x="0" y="0"/>
                          <a:ext cx="6521450" cy="5763260"/>
                        </a:xfrm>
                        <a:prstGeom prst="rect">
                          <a:avLst/>
                        </a:prstGeom>
                        <a:solidFill>
                          <a:schemeClr val="bg2"/>
                        </a:solidFill>
                        <a:ln>
                          <a:noFill/>
                        </a:ln>
                      </wps:spPr>
                      <wps:style>
                        <a:lnRef idx="2">
                          <a:schemeClr val="accent1">
                            <a:shade val="15000"/>
                          </a:schemeClr>
                        </a:lnRef>
                        <a:fillRef idx="1">
                          <a:schemeClr val="accent1"/>
                        </a:fillRef>
                        <a:effectRef idx="0">
                          <a:scrgbClr r="0" g="0" b="0"/>
                        </a:effectRef>
                        <a:fontRef idx="minor">
                          <a:schemeClr val="lt1"/>
                        </a:fontRef>
                      </wps:style>
                      <wps:txbx>
                        <w:txbxContent>
                          <w:p w14:paraId="03AE9A08" w14:textId="77777777" w:rsidR="0084623A" w:rsidRPr="0000085C" w:rsidRDefault="0084623A" w:rsidP="00D87945">
                            <w:pPr>
                              <w:pStyle w:val="Breakout"/>
                            </w:pPr>
                            <w:r w:rsidRPr="0000085C">
                              <w:t xml:space="preserve">No reliable, safe, </w:t>
                            </w:r>
                            <w:r w:rsidR="0072050C" w:rsidRPr="0000085C">
                              <w:t xml:space="preserve">emergency </w:t>
                            </w:r>
                            <w:r w:rsidRPr="0000085C">
                              <w:t>accommodation</w:t>
                            </w:r>
                          </w:p>
                          <w:p w14:paraId="3E9B90FD" w14:textId="77777777" w:rsidR="00723330" w:rsidRPr="0000085C" w:rsidRDefault="00723330" w:rsidP="00723330">
                            <w:pPr>
                              <w:pStyle w:val="BodyText"/>
                            </w:pPr>
                            <w:r w:rsidRPr="0000085C">
                              <w:t>When Amy left her violent relationship, she wanted to go somewhere she and her three kids would be safe. Now that she had taken the first difficult step to leave, she needed some space and support to work out her next steps.</w:t>
                            </w:r>
                          </w:p>
                          <w:p w14:paraId="71161CE3" w14:textId="627BB6DA" w:rsidR="00723330" w:rsidRPr="0000085C" w:rsidRDefault="00723330" w:rsidP="00723330">
                            <w:pPr>
                              <w:pStyle w:val="BodyText"/>
                            </w:pPr>
                            <w:r w:rsidRPr="0000085C">
                              <w:t>Unfortunately, it wasn’t that simple. On that Thursday night, there were no beds in shelters and Housing Connect could not book safe accommodation for Amy’s family</w:t>
                            </w:r>
                            <w:r w:rsidR="007D5C34">
                              <w:t xml:space="preserve"> </w:t>
                            </w:r>
                            <w:r w:rsidRPr="0000085C">
                              <w:t>anywhere in town. There was funding available to broker accommodation</w:t>
                            </w:r>
                            <w:r w:rsidR="00BE0712">
                              <w:t>,</w:t>
                            </w:r>
                            <w:r w:rsidRPr="0000085C">
                              <w:t xml:space="preserve"> </w:t>
                            </w:r>
                            <w:r w:rsidR="00BE0712">
                              <w:t>but</w:t>
                            </w:r>
                            <w:r w:rsidR="003202E9">
                              <w:t xml:space="preserve"> there was </w:t>
                            </w:r>
                            <w:r w:rsidR="007052AF">
                              <w:t xml:space="preserve">not accommodation available </w:t>
                            </w:r>
                            <w:r w:rsidRPr="0000085C">
                              <w:t xml:space="preserve">that was suitable and safe for a mother with three children. </w:t>
                            </w:r>
                          </w:p>
                          <w:p w14:paraId="58E090A7" w14:textId="327FF438" w:rsidR="005E7320" w:rsidRPr="0000085C" w:rsidRDefault="00723330" w:rsidP="00723330">
                            <w:pPr>
                              <w:pStyle w:val="BodyText"/>
                            </w:pPr>
                            <w:r w:rsidRPr="0000085C">
                              <w:t xml:space="preserve">Amy organised to stay with friends that night. </w:t>
                            </w:r>
                            <w:r w:rsidR="009A53B2">
                              <w:t>On Friday</w:t>
                            </w:r>
                            <w:r w:rsidRPr="0000085C">
                              <w:t xml:space="preserve">, </w:t>
                            </w:r>
                            <w:r w:rsidR="00D23D1A">
                              <w:t>Amy</w:t>
                            </w:r>
                            <w:r w:rsidRPr="0000085C">
                              <w:t xml:space="preserve"> returned to the Housing Connect Front Door</w:t>
                            </w:r>
                            <w:r w:rsidR="00B76FF2">
                              <w:t xml:space="preserve"> where </w:t>
                            </w:r>
                            <w:r w:rsidR="009E776D">
                              <w:t xml:space="preserve">Housing Connect </w:t>
                            </w:r>
                            <w:r w:rsidR="009A53B2">
                              <w:t xml:space="preserve">assessed </w:t>
                            </w:r>
                            <w:r w:rsidR="00580FB6">
                              <w:t>that</w:t>
                            </w:r>
                            <w:r w:rsidR="006B1E41">
                              <w:t xml:space="preserve"> </w:t>
                            </w:r>
                            <w:r w:rsidR="00B76FF2">
                              <w:t xml:space="preserve">she and her </w:t>
                            </w:r>
                            <w:r w:rsidR="00B369B6">
                              <w:t>family</w:t>
                            </w:r>
                            <w:r w:rsidR="000D0367">
                              <w:t xml:space="preserve"> </w:t>
                            </w:r>
                            <w:r w:rsidR="006B1E41">
                              <w:t>needed</w:t>
                            </w:r>
                            <w:r w:rsidR="000D0367">
                              <w:t xml:space="preserve"> high level, personalised</w:t>
                            </w:r>
                            <w:r w:rsidR="00063115">
                              <w:t>,</w:t>
                            </w:r>
                            <w:r w:rsidR="000D0367">
                              <w:t xml:space="preserve"> ongoing support</w:t>
                            </w:r>
                            <w:r w:rsidR="00B76FF2">
                              <w:t xml:space="preserve">. They </w:t>
                            </w:r>
                            <w:r w:rsidR="00063115">
                              <w:t xml:space="preserve">arranged </w:t>
                            </w:r>
                            <w:r w:rsidR="00C61969">
                              <w:t>a</w:t>
                            </w:r>
                            <w:r w:rsidR="00580FB6">
                              <w:t xml:space="preserve"> referral appointment for </w:t>
                            </w:r>
                            <w:r w:rsidR="00800A20">
                              <w:t xml:space="preserve">the </w:t>
                            </w:r>
                            <w:r w:rsidR="00064401">
                              <w:t>Monday,</w:t>
                            </w:r>
                            <w:r w:rsidR="00063115">
                              <w:t xml:space="preserve"> where</w:t>
                            </w:r>
                            <w:r w:rsidR="00674B7E">
                              <w:t xml:space="preserve"> </w:t>
                            </w:r>
                            <w:r w:rsidR="00063115">
                              <w:t xml:space="preserve">a Key </w:t>
                            </w:r>
                            <w:r w:rsidR="008E59FE">
                              <w:t>Development</w:t>
                            </w:r>
                            <w:r w:rsidR="00063115">
                              <w:t xml:space="preserve"> Coach would help</w:t>
                            </w:r>
                            <w:r w:rsidR="00674B7E">
                              <w:t xml:space="preserve"> </w:t>
                            </w:r>
                            <w:r w:rsidR="00C61969">
                              <w:t xml:space="preserve">Amy </w:t>
                            </w:r>
                            <w:r w:rsidR="00064401">
                              <w:t xml:space="preserve">plan her next steps, including </w:t>
                            </w:r>
                            <w:r w:rsidR="00C61969">
                              <w:t xml:space="preserve">access to </w:t>
                            </w:r>
                            <w:r w:rsidR="00F4443B">
                              <w:t>wrap-around supports</w:t>
                            </w:r>
                            <w:r w:rsidR="005E7320">
                              <w:t xml:space="preserve"> and </w:t>
                            </w:r>
                            <w:r w:rsidR="00ED7C8C">
                              <w:t>transitional housing.</w:t>
                            </w:r>
                          </w:p>
                          <w:p w14:paraId="352E9137" w14:textId="75E30C6A" w:rsidR="00B369B6" w:rsidRPr="0000085C" w:rsidRDefault="00FC0FB3" w:rsidP="00723330">
                            <w:pPr>
                              <w:pStyle w:val="BodyText"/>
                            </w:pPr>
                            <w:r>
                              <w:t xml:space="preserve">Now that Amy had a plan in place, Housing Connect worked to arrange </w:t>
                            </w:r>
                            <w:r w:rsidR="00723330" w:rsidRPr="0000085C">
                              <w:t xml:space="preserve">suitable and safe </w:t>
                            </w:r>
                            <w:r w:rsidR="00647DFF">
                              <w:t xml:space="preserve">short-term </w:t>
                            </w:r>
                            <w:r w:rsidR="00723330" w:rsidRPr="0000085C">
                              <w:t xml:space="preserve">accommodation for </w:t>
                            </w:r>
                            <w:r w:rsidR="005C6C0C">
                              <w:t>the family</w:t>
                            </w:r>
                            <w:r w:rsidR="009E5373">
                              <w:t>,</w:t>
                            </w:r>
                            <w:r w:rsidR="00723330" w:rsidRPr="0000085C">
                              <w:t xml:space="preserve"> </w:t>
                            </w:r>
                            <w:r w:rsidR="0082179E">
                              <w:t xml:space="preserve">up </w:t>
                            </w:r>
                            <w:r w:rsidR="00647DFF">
                              <w:t>to and including the night following the referral appointment</w:t>
                            </w:r>
                            <w:r w:rsidR="00723330" w:rsidRPr="0000085C">
                              <w:t>. Unfortunately, as is often the case, it was not possible to book four nights</w:t>
                            </w:r>
                            <w:r w:rsidR="00FC111E">
                              <w:t>’</w:t>
                            </w:r>
                            <w:r w:rsidR="00723330" w:rsidRPr="0000085C">
                              <w:t xml:space="preserve"> accommodation in a single </w:t>
                            </w:r>
                            <w:r w:rsidR="00BE3234">
                              <w:t>hotel</w:t>
                            </w:r>
                            <w:r w:rsidR="00723330" w:rsidRPr="0000085C">
                              <w:t xml:space="preserve"> at short notice.</w:t>
                            </w:r>
                            <w:r w:rsidR="001E7DFC">
                              <w:t xml:space="preserve"> </w:t>
                            </w:r>
                            <w:r w:rsidR="00A25AE7">
                              <w:t xml:space="preserve">However, they did manage to book two nights in one hotel and </w:t>
                            </w:r>
                            <w:r w:rsidR="00927E2F">
                              <w:t>the next two nights</w:t>
                            </w:r>
                            <w:r w:rsidR="00A25AE7">
                              <w:t xml:space="preserve"> in </w:t>
                            </w:r>
                            <w:r w:rsidR="00927E2F">
                              <w:t>another</w:t>
                            </w:r>
                            <w:r w:rsidR="008A556E">
                              <w:t xml:space="preserve">. </w:t>
                            </w:r>
                          </w:p>
                          <w:p w14:paraId="24A7D72A" w14:textId="335E35E8" w:rsidR="00723330" w:rsidRPr="0000085C" w:rsidRDefault="00723330" w:rsidP="00723330">
                            <w:pPr>
                              <w:pStyle w:val="BodyText"/>
                            </w:pPr>
                            <w:r w:rsidRPr="0000085C">
                              <w:t>The abuse that Amy experienced had left her traumati</w:t>
                            </w:r>
                            <w:r w:rsidR="00A76957">
                              <w:t>s</w:t>
                            </w:r>
                            <w:r w:rsidRPr="0000085C">
                              <w:t>ed, fearful and overwhelmed. On Sunday morning it was pouring with rain and there was nothing to do that did not involve spending money. After packing up their belongings and checking out</w:t>
                            </w:r>
                            <w:r w:rsidR="00B267E6">
                              <w:t xml:space="preserve"> of the </w:t>
                            </w:r>
                            <w:r w:rsidR="004374AB">
                              <w:t>hotel</w:t>
                            </w:r>
                            <w:r w:rsidRPr="0000085C">
                              <w:t>, the only refuge the family had for the next few hours was their car</w:t>
                            </w:r>
                            <w:r w:rsidR="007022F3">
                              <w:t xml:space="preserve"> as Amy did not want to rely on </w:t>
                            </w:r>
                            <w:r w:rsidR="00515EC5">
                              <w:t>her friends again</w:t>
                            </w:r>
                            <w:r w:rsidRPr="0000085C">
                              <w:t>. Amy struggled to keep positive</w:t>
                            </w:r>
                            <w:r w:rsidR="005274AB">
                              <w:t>.</w:t>
                            </w:r>
                            <w:r w:rsidRPr="0000085C">
                              <w:t xml:space="preserve"> </w:t>
                            </w:r>
                            <w:r w:rsidR="005274AB">
                              <w:t>H</w:t>
                            </w:r>
                            <w:r w:rsidRPr="0000085C">
                              <w:t>er kids were tired, irritable</w:t>
                            </w:r>
                            <w:r w:rsidR="00ED0BC4">
                              <w:t xml:space="preserve">, </w:t>
                            </w:r>
                            <w:r w:rsidRPr="0000085C">
                              <w:t>bored</w:t>
                            </w:r>
                            <w:r w:rsidR="00ED0BC4">
                              <w:t xml:space="preserve"> and </w:t>
                            </w:r>
                            <w:r w:rsidRPr="0000085C">
                              <w:t xml:space="preserve">wanted to go home. Today, </w:t>
                            </w:r>
                            <w:r w:rsidR="00B50422">
                              <w:t>i</w:t>
                            </w:r>
                            <w:r w:rsidRPr="0000085C">
                              <w:t xml:space="preserve">t all </w:t>
                            </w:r>
                            <w:r w:rsidR="007721F2">
                              <w:t>felt</w:t>
                            </w:r>
                            <w:r w:rsidRPr="0000085C">
                              <w:t xml:space="preserve"> </w:t>
                            </w:r>
                            <w:r w:rsidR="00486764">
                              <w:t>so hard</w:t>
                            </w:r>
                            <w:r w:rsidRPr="0000085C">
                              <w:t xml:space="preserve">. </w:t>
                            </w:r>
                          </w:p>
                          <w:p w14:paraId="4D46D666" w14:textId="78AFD767" w:rsidR="0084623A" w:rsidRPr="009E73C7" w:rsidRDefault="007D27DD" w:rsidP="00D87945">
                            <w:pPr>
                              <w:rPr>
                                <w:szCs w:val="24"/>
                              </w:rPr>
                            </w:pPr>
                            <w:r w:rsidRPr="007D27DD">
                              <w:rPr>
                                <w:szCs w:val="24"/>
                              </w:rPr>
                              <w:t>Even with a plan in place, Amy decided to return to the house</w:t>
                            </w:r>
                            <w:r>
                              <w:rPr>
                                <w:szCs w:val="24"/>
                              </w:rPr>
                              <w:t xml:space="preserve"> she had left and</w:t>
                            </w:r>
                            <w:r w:rsidRPr="007D27DD">
                              <w:rPr>
                                <w:szCs w:val="24"/>
                              </w:rPr>
                              <w:t xml:space="preserve"> where she </w:t>
                            </w:r>
                            <w:r>
                              <w:rPr>
                                <w:szCs w:val="24"/>
                              </w:rPr>
                              <w:t>risked further</w:t>
                            </w:r>
                            <w:r w:rsidRPr="007D27DD">
                              <w:rPr>
                                <w:szCs w:val="24"/>
                              </w:rPr>
                              <w:t xml:space="preserve"> violence and abuse</w:t>
                            </w:r>
                            <w:r w:rsidR="00FB3F4C">
                              <w:rPr>
                                <w:szCs w:val="24"/>
                              </w:rPr>
                              <w:t xml:space="preserve">. </w:t>
                            </w:r>
                            <w:r w:rsidR="00BB385E">
                              <w:rPr>
                                <w:szCs w:val="24"/>
                              </w:rPr>
                              <w:t xml:space="preserve">The </w:t>
                            </w:r>
                            <w:r w:rsidR="001D167F">
                              <w:rPr>
                                <w:szCs w:val="24"/>
                              </w:rPr>
                              <w:t>l</w:t>
                            </w:r>
                            <w:r w:rsidR="00DD3381">
                              <w:rPr>
                                <w:szCs w:val="24"/>
                              </w:rPr>
                              <w:t xml:space="preserve">ack of appropriate short-term accommodation </w:t>
                            </w:r>
                            <w:r w:rsidR="001D167F">
                              <w:rPr>
                                <w:szCs w:val="24"/>
                              </w:rPr>
                              <w:t>and</w:t>
                            </w:r>
                            <w:r w:rsidR="00D35BA0">
                              <w:rPr>
                                <w:szCs w:val="24"/>
                              </w:rPr>
                              <w:t xml:space="preserve"> uncertain</w:t>
                            </w:r>
                            <w:r w:rsidR="00BD567C">
                              <w:rPr>
                                <w:szCs w:val="24"/>
                              </w:rPr>
                              <w:t>ty</w:t>
                            </w:r>
                            <w:r w:rsidR="00D35BA0">
                              <w:rPr>
                                <w:szCs w:val="24"/>
                              </w:rPr>
                              <w:t xml:space="preserve"> </w:t>
                            </w:r>
                            <w:r w:rsidR="00FB6CB2">
                              <w:rPr>
                                <w:szCs w:val="24"/>
                              </w:rPr>
                              <w:t xml:space="preserve">about </w:t>
                            </w:r>
                            <w:r w:rsidR="0072555F">
                              <w:rPr>
                                <w:szCs w:val="24"/>
                              </w:rPr>
                              <w:t xml:space="preserve">securing a home </w:t>
                            </w:r>
                            <w:r w:rsidR="00946D6F">
                              <w:rPr>
                                <w:szCs w:val="24"/>
                              </w:rPr>
                              <w:t>in the long</w:t>
                            </w:r>
                            <w:r w:rsidR="008D1828">
                              <w:rPr>
                                <w:szCs w:val="24"/>
                              </w:rPr>
                              <w:t xml:space="preserve"> </w:t>
                            </w:r>
                            <w:r w:rsidR="00946D6F">
                              <w:rPr>
                                <w:szCs w:val="24"/>
                              </w:rPr>
                              <w:t xml:space="preserve">term </w:t>
                            </w:r>
                            <w:r w:rsidR="00D87945">
                              <w:rPr>
                                <w:szCs w:val="24"/>
                              </w:rPr>
                              <w:t>were a</w:t>
                            </w:r>
                            <w:r w:rsidR="00715C46">
                              <w:rPr>
                                <w:szCs w:val="24"/>
                              </w:rPr>
                              <w:t>lmost certainly</w:t>
                            </w:r>
                            <w:r w:rsidR="00966185">
                              <w:rPr>
                                <w:szCs w:val="24"/>
                              </w:rPr>
                              <w:t xml:space="preserve"> a</w:t>
                            </w:r>
                            <w:r w:rsidR="00D87945">
                              <w:rPr>
                                <w:szCs w:val="24"/>
                              </w:rPr>
                              <w:t xml:space="preserve"> factor in</w:t>
                            </w:r>
                            <w:r w:rsidR="00C41F61">
                              <w:rPr>
                                <w:szCs w:val="24"/>
                              </w:rPr>
                              <w:t xml:space="preserve"> </w:t>
                            </w:r>
                            <w:r w:rsidR="00FB3F4C">
                              <w:rPr>
                                <w:szCs w:val="24"/>
                              </w:rPr>
                              <w:t xml:space="preserve">that decision. </w:t>
                            </w:r>
                            <w:r w:rsidR="006E3A3E">
                              <w:rPr>
                                <w:szCs w:val="24"/>
                              </w:rPr>
                              <w:t xml:space="preserve">Housing Connect </w:t>
                            </w:r>
                            <w:r w:rsidR="0015603A">
                              <w:rPr>
                                <w:szCs w:val="24"/>
                              </w:rPr>
                              <w:t>is still</w:t>
                            </w:r>
                            <w:r w:rsidR="006E3A3E">
                              <w:rPr>
                                <w:szCs w:val="24"/>
                              </w:rPr>
                              <w:t xml:space="preserve"> </w:t>
                            </w:r>
                            <w:r w:rsidR="001C4EBD">
                              <w:rPr>
                                <w:szCs w:val="24"/>
                              </w:rPr>
                              <w:t xml:space="preserve">there </w:t>
                            </w:r>
                            <w:r w:rsidR="001D167F">
                              <w:rPr>
                                <w:szCs w:val="24"/>
                              </w:rPr>
                              <w:t>to provide Amy with support.</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ect w14:anchorId="56255CBD" id="Rectangle 23" o:spid="_x0000_s1039" style="position:absolute;margin-left:0;margin-top:5.35pt;width:513.5pt;height:453.8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" fillcolor="#e7e6e6 [3214]" stroked="f" strokeweight="1pt">
                <v:textbox>
                  <w:txbxContent>
                    <w:p w14:paraId="03AE9A08" w14:textId="77777777" w:rsidR="0084623A" w:rsidRPr="0000085C" w:rsidRDefault="0084623A" w:rsidP="00D87945">
                      <w:pPr>
                        <w:pStyle w:val="Breakout"/>
                      </w:pPr>
                      <w:r w:rsidRPr="0000085C">
                        <w:t xml:space="preserve">No reliable, safe, </w:t>
                      </w:r>
                      <w:r w:rsidR="0072050C" w:rsidRPr="0000085C">
                        <w:t xml:space="preserve">emergency </w:t>
                      </w:r>
                      <w:r w:rsidRPr="0000085C">
                        <w:t>accommodation</w:t>
                      </w:r>
                    </w:p>
                    <w:p w14:paraId="3E9B90FD" w14:textId="77777777" w:rsidR="00723330" w:rsidRPr="0000085C" w:rsidRDefault="00723330" w:rsidP="00723330">
                      <w:pPr>
                        <w:pStyle w:val="BodyText"/>
                      </w:pPr>
                      <w:r w:rsidRPr="0000085C">
                        <w:t>When Amy left her violent relationship, she wanted to go somewhere she and her three kids would be safe. Now that she had taken the first difficult step to leave, she needed some space and support to work out her next steps.</w:t>
                      </w:r>
                    </w:p>
                    <w:p w14:paraId="71161CE3" w14:textId="627BB6DA" w:rsidR="00723330" w:rsidRPr="0000085C" w:rsidRDefault="00723330" w:rsidP="00723330">
                      <w:pPr>
                        <w:pStyle w:val="BodyText"/>
                      </w:pPr>
                      <w:r w:rsidRPr="0000085C">
                        <w:t>Unfortunately, it wasn’t that simple. On that Thursday night, there were no beds in shelters and Housing Connect could not book safe accommodation for Amy’s family</w:t>
                      </w:r>
                      <w:r w:rsidR="007D5C34">
                        <w:t xml:space="preserve"> </w:t>
                      </w:r>
                      <w:r w:rsidRPr="0000085C">
                        <w:t>anywhere in town. There was funding available to broker accommodation</w:t>
                      </w:r>
                      <w:r w:rsidR="00BE0712">
                        <w:t>,</w:t>
                      </w:r>
                      <w:r w:rsidRPr="0000085C">
                        <w:t xml:space="preserve"> </w:t>
                      </w:r>
                      <w:r w:rsidR="00BE0712">
                        <w:t>but</w:t>
                      </w:r>
                      <w:r w:rsidR="003202E9">
                        <w:t xml:space="preserve"> there was </w:t>
                      </w:r>
                      <w:r w:rsidR="007052AF">
                        <w:t xml:space="preserve">not accommodation available </w:t>
                      </w:r>
                      <w:r w:rsidRPr="0000085C">
                        <w:t xml:space="preserve">that was suitable and safe for a mother with three children. </w:t>
                      </w:r>
                    </w:p>
                    <w:p w14:paraId="58E090A7" w14:textId="327FF438" w:rsidR="005E7320" w:rsidRPr="0000085C" w:rsidRDefault="00723330" w:rsidP="00723330">
                      <w:pPr>
                        <w:pStyle w:val="BodyText"/>
                      </w:pPr>
                      <w:r w:rsidRPr="0000085C">
                        <w:t xml:space="preserve">Amy organised to stay with friends that night. </w:t>
                      </w:r>
                      <w:r w:rsidR="009A53B2">
                        <w:t>On Friday</w:t>
                      </w:r>
                      <w:r w:rsidRPr="0000085C">
                        <w:t xml:space="preserve">, </w:t>
                      </w:r>
                      <w:r w:rsidR="00D23D1A">
                        <w:t>Amy</w:t>
                      </w:r>
                      <w:r w:rsidRPr="0000085C">
                        <w:t xml:space="preserve"> returned to the Housing Connect Front Door</w:t>
                      </w:r>
                      <w:r w:rsidR="00B76FF2">
                        <w:t xml:space="preserve"> where </w:t>
                      </w:r>
                      <w:r w:rsidR="009E776D">
                        <w:t xml:space="preserve">Housing Connect </w:t>
                      </w:r>
                      <w:r w:rsidR="009A53B2">
                        <w:t xml:space="preserve">assessed </w:t>
                      </w:r>
                      <w:r w:rsidR="00580FB6">
                        <w:t>that</w:t>
                      </w:r>
                      <w:r w:rsidR="006B1E41">
                        <w:t xml:space="preserve"> </w:t>
                      </w:r>
                      <w:r w:rsidR="00B76FF2">
                        <w:t xml:space="preserve">she and her </w:t>
                      </w:r>
                      <w:r w:rsidR="00B369B6">
                        <w:t>family</w:t>
                      </w:r>
                      <w:r w:rsidR="000D0367">
                        <w:t xml:space="preserve"> </w:t>
                      </w:r>
                      <w:r w:rsidR="006B1E41">
                        <w:t>needed</w:t>
                      </w:r>
                      <w:r w:rsidR="000D0367">
                        <w:t xml:space="preserve"> high level, personalised</w:t>
                      </w:r>
                      <w:r w:rsidR="00063115">
                        <w:t>,</w:t>
                      </w:r>
                      <w:r w:rsidR="000D0367">
                        <w:t xml:space="preserve"> ongoing support</w:t>
                      </w:r>
                      <w:r w:rsidR="00B76FF2">
                        <w:t xml:space="preserve">. They </w:t>
                      </w:r>
                      <w:r w:rsidR="00063115">
                        <w:t xml:space="preserve">arranged </w:t>
                      </w:r>
                      <w:r w:rsidR="00C61969">
                        <w:t>a</w:t>
                      </w:r>
                      <w:r w:rsidR="00580FB6">
                        <w:t xml:space="preserve"> referral appointment for </w:t>
                      </w:r>
                      <w:r w:rsidR="00800A20">
                        <w:t xml:space="preserve">the </w:t>
                      </w:r>
                      <w:r w:rsidR="00064401">
                        <w:t>Monday,</w:t>
                      </w:r>
                      <w:r w:rsidR="00063115">
                        <w:t xml:space="preserve"> where</w:t>
                      </w:r>
                      <w:r w:rsidR="00674B7E">
                        <w:t xml:space="preserve"> </w:t>
                      </w:r>
                      <w:r w:rsidR="00063115">
                        <w:t xml:space="preserve">a Key </w:t>
                      </w:r>
                      <w:r w:rsidR="008E59FE">
                        <w:t>Development</w:t>
                      </w:r>
                      <w:r w:rsidR="00063115">
                        <w:t xml:space="preserve"> Coach would help</w:t>
                      </w:r>
                      <w:r w:rsidR="00674B7E">
                        <w:t xml:space="preserve"> </w:t>
                      </w:r>
                      <w:r w:rsidR="00C61969">
                        <w:t xml:space="preserve">Amy </w:t>
                      </w:r>
                      <w:r w:rsidR="00064401">
                        <w:t xml:space="preserve">plan her next steps, including </w:t>
                      </w:r>
                      <w:r w:rsidR="00C61969">
                        <w:t xml:space="preserve">access to </w:t>
                      </w:r>
                      <w:r w:rsidR="00F4443B">
                        <w:t>wrap-around supports</w:t>
                      </w:r>
                      <w:r w:rsidR="005E7320">
                        <w:t xml:space="preserve"> and </w:t>
                      </w:r>
                      <w:r w:rsidR="00ED7C8C">
                        <w:t>transitional housing.</w:t>
                      </w:r>
                    </w:p>
                    <w:p w14:paraId="352E9137" w14:textId="75E30C6A" w:rsidR="00B369B6" w:rsidRPr="0000085C" w:rsidRDefault="00FC0FB3" w:rsidP="00723330">
                      <w:pPr>
                        <w:pStyle w:val="BodyText"/>
                      </w:pPr>
                      <w:r>
                        <w:t xml:space="preserve">Now that Amy had a plan in place, Housing Connect worked to arrange </w:t>
                      </w:r>
                      <w:r w:rsidR="00723330" w:rsidRPr="0000085C">
                        <w:t xml:space="preserve">suitable and safe </w:t>
                      </w:r>
                      <w:r w:rsidR="00647DFF">
                        <w:t xml:space="preserve">short-term </w:t>
                      </w:r>
                      <w:r w:rsidR="00723330" w:rsidRPr="0000085C">
                        <w:t xml:space="preserve">accommodation for </w:t>
                      </w:r>
                      <w:r w:rsidR="005C6C0C">
                        <w:t>the family</w:t>
                      </w:r>
                      <w:r w:rsidR="009E5373">
                        <w:t>,</w:t>
                      </w:r>
                      <w:r w:rsidR="00723330" w:rsidRPr="0000085C">
                        <w:t xml:space="preserve"> </w:t>
                      </w:r>
                      <w:r w:rsidR="0082179E">
                        <w:t xml:space="preserve">up </w:t>
                      </w:r>
                      <w:r w:rsidR="00647DFF">
                        <w:t>to and including the night following the referral appointment</w:t>
                      </w:r>
                      <w:r w:rsidR="00723330" w:rsidRPr="0000085C">
                        <w:t>. Unfortunately, as is often the case, it was not possible to book four nights</w:t>
                      </w:r>
                      <w:r w:rsidR="00FC111E">
                        <w:t>’</w:t>
                      </w:r>
                      <w:r w:rsidR="00723330" w:rsidRPr="0000085C">
                        <w:t xml:space="preserve"> accommodation in a single </w:t>
                      </w:r>
                      <w:r w:rsidR="00BE3234">
                        <w:t>hotel</w:t>
                      </w:r>
                      <w:r w:rsidR="00723330" w:rsidRPr="0000085C">
                        <w:t xml:space="preserve"> at short notice.</w:t>
                      </w:r>
                      <w:r w:rsidR="001E7DFC">
                        <w:t xml:space="preserve"> </w:t>
                      </w:r>
                      <w:r w:rsidR="00A25AE7">
                        <w:t xml:space="preserve">However, they did manage to book two nights in one hotel and </w:t>
                      </w:r>
                      <w:r w:rsidR="00927E2F">
                        <w:t>the next two nights</w:t>
                      </w:r>
                      <w:r w:rsidR="00A25AE7">
                        <w:t xml:space="preserve"> in </w:t>
                      </w:r>
                      <w:r w:rsidR="00927E2F">
                        <w:t>another</w:t>
                      </w:r>
                      <w:r w:rsidR="008A556E">
                        <w:t xml:space="preserve">. </w:t>
                      </w:r>
                    </w:p>
                    <w:p w14:paraId="24A7D72A" w14:textId="335E35E8" w:rsidR="00723330" w:rsidRPr="0000085C" w:rsidRDefault="00723330" w:rsidP="00723330">
                      <w:pPr>
                        <w:pStyle w:val="BodyText"/>
                      </w:pPr>
                      <w:r w:rsidRPr="0000085C">
                        <w:t>The abuse that Amy experienced had left her traumati</w:t>
                      </w:r>
                      <w:r w:rsidR="00A76957">
                        <w:t>s</w:t>
                      </w:r>
                      <w:r w:rsidRPr="0000085C">
                        <w:t>ed, fearful and overwhelmed. On Sunday morning it was pouring with rain and there was nothing to do that did not involve spending money. After packing up their belongings and checking out</w:t>
                      </w:r>
                      <w:r w:rsidR="00B267E6">
                        <w:t xml:space="preserve"> of the </w:t>
                      </w:r>
                      <w:r w:rsidR="004374AB">
                        <w:t>hotel</w:t>
                      </w:r>
                      <w:r w:rsidRPr="0000085C">
                        <w:t>, the only refuge the family had for the next few hours was their car</w:t>
                      </w:r>
                      <w:r w:rsidR="007022F3">
                        <w:t xml:space="preserve"> as Amy did not want to rely on </w:t>
                      </w:r>
                      <w:r w:rsidR="00515EC5">
                        <w:t>her friends again</w:t>
                      </w:r>
                      <w:r w:rsidRPr="0000085C">
                        <w:t>. Amy struggled to keep positive</w:t>
                      </w:r>
                      <w:r w:rsidR="005274AB">
                        <w:t>.</w:t>
                      </w:r>
                      <w:r w:rsidRPr="0000085C">
                        <w:t xml:space="preserve"> </w:t>
                      </w:r>
                      <w:r w:rsidR="005274AB">
                        <w:t>H</w:t>
                      </w:r>
                      <w:r w:rsidRPr="0000085C">
                        <w:t>er kids were tired, irritable</w:t>
                      </w:r>
                      <w:r w:rsidR="00ED0BC4">
                        <w:t xml:space="preserve">, </w:t>
                      </w:r>
                      <w:r w:rsidRPr="0000085C">
                        <w:t>bored</w:t>
                      </w:r>
                      <w:r w:rsidR="00ED0BC4">
                        <w:t xml:space="preserve"> and </w:t>
                      </w:r>
                      <w:r w:rsidRPr="0000085C">
                        <w:t xml:space="preserve">wanted to go home. Today, </w:t>
                      </w:r>
                      <w:r w:rsidR="00B50422">
                        <w:t>i</w:t>
                      </w:r>
                      <w:r w:rsidRPr="0000085C">
                        <w:t xml:space="preserve">t all </w:t>
                      </w:r>
                      <w:r w:rsidR="007721F2">
                        <w:t>felt</w:t>
                      </w:r>
                      <w:r w:rsidRPr="0000085C">
                        <w:t xml:space="preserve"> </w:t>
                      </w:r>
                      <w:r w:rsidR="00486764">
                        <w:t>so hard</w:t>
                      </w:r>
                      <w:r w:rsidRPr="0000085C">
                        <w:t xml:space="preserve">. </w:t>
                      </w:r>
                    </w:p>
                    <w:p w14:paraId="4D46D666" w14:textId="78AFD767" w:rsidR="0084623A" w:rsidRPr="009E73C7" w:rsidRDefault="007D27DD" w:rsidP="00D87945">
                      <w:pPr>
                        <w:rPr>
                          <w:szCs w:val="24"/>
                        </w:rPr>
                      </w:pPr>
                      <w:r w:rsidRPr="007D27DD">
                        <w:rPr>
                          <w:szCs w:val="24"/>
                        </w:rPr>
                        <w:t>Even with a plan in place, Amy decided to return to the house</w:t>
                      </w:r>
                      <w:r>
                        <w:rPr>
                          <w:szCs w:val="24"/>
                        </w:rPr>
                        <w:t xml:space="preserve"> she had left and</w:t>
                      </w:r>
                      <w:r w:rsidRPr="007D27DD">
                        <w:rPr>
                          <w:szCs w:val="24"/>
                        </w:rPr>
                        <w:t xml:space="preserve"> where she </w:t>
                      </w:r>
                      <w:r>
                        <w:rPr>
                          <w:szCs w:val="24"/>
                        </w:rPr>
                        <w:t>risked further</w:t>
                      </w:r>
                      <w:r w:rsidRPr="007D27DD">
                        <w:rPr>
                          <w:szCs w:val="24"/>
                        </w:rPr>
                        <w:t xml:space="preserve"> violence and abuse</w:t>
                      </w:r>
                      <w:r w:rsidR="00FB3F4C">
                        <w:rPr>
                          <w:szCs w:val="24"/>
                        </w:rPr>
                        <w:t xml:space="preserve">. </w:t>
                      </w:r>
                      <w:r w:rsidR="00BB385E">
                        <w:rPr>
                          <w:szCs w:val="24"/>
                        </w:rPr>
                        <w:t xml:space="preserve">The </w:t>
                      </w:r>
                      <w:r w:rsidR="001D167F">
                        <w:rPr>
                          <w:szCs w:val="24"/>
                        </w:rPr>
                        <w:t>l</w:t>
                      </w:r>
                      <w:r w:rsidR="00DD3381">
                        <w:rPr>
                          <w:szCs w:val="24"/>
                        </w:rPr>
                        <w:t xml:space="preserve">ack of appropriate short-term accommodation </w:t>
                      </w:r>
                      <w:r w:rsidR="001D167F">
                        <w:rPr>
                          <w:szCs w:val="24"/>
                        </w:rPr>
                        <w:t>and</w:t>
                      </w:r>
                      <w:r w:rsidR="00D35BA0">
                        <w:rPr>
                          <w:szCs w:val="24"/>
                        </w:rPr>
                        <w:t xml:space="preserve"> uncertain</w:t>
                      </w:r>
                      <w:r w:rsidR="00BD567C">
                        <w:rPr>
                          <w:szCs w:val="24"/>
                        </w:rPr>
                        <w:t>ty</w:t>
                      </w:r>
                      <w:r w:rsidR="00D35BA0">
                        <w:rPr>
                          <w:szCs w:val="24"/>
                        </w:rPr>
                        <w:t xml:space="preserve"> </w:t>
                      </w:r>
                      <w:r w:rsidR="00FB6CB2">
                        <w:rPr>
                          <w:szCs w:val="24"/>
                        </w:rPr>
                        <w:t xml:space="preserve">about </w:t>
                      </w:r>
                      <w:r w:rsidR="0072555F">
                        <w:rPr>
                          <w:szCs w:val="24"/>
                        </w:rPr>
                        <w:t xml:space="preserve">securing a home </w:t>
                      </w:r>
                      <w:r w:rsidR="00946D6F">
                        <w:rPr>
                          <w:szCs w:val="24"/>
                        </w:rPr>
                        <w:t>in the long</w:t>
                      </w:r>
                      <w:r w:rsidR="008D1828">
                        <w:rPr>
                          <w:szCs w:val="24"/>
                        </w:rPr>
                        <w:t xml:space="preserve"> </w:t>
                      </w:r>
                      <w:r w:rsidR="00946D6F">
                        <w:rPr>
                          <w:szCs w:val="24"/>
                        </w:rPr>
                        <w:t xml:space="preserve">term </w:t>
                      </w:r>
                      <w:r w:rsidR="00D87945">
                        <w:rPr>
                          <w:szCs w:val="24"/>
                        </w:rPr>
                        <w:t>were a</w:t>
                      </w:r>
                      <w:r w:rsidR="00715C46">
                        <w:rPr>
                          <w:szCs w:val="24"/>
                        </w:rPr>
                        <w:t>lmost certainly</w:t>
                      </w:r>
                      <w:r w:rsidR="00966185">
                        <w:rPr>
                          <w:szCs w:val="24"/>
                        </w:rPr>
                        <w:t xml:space="preserve"> a</w:t>
                      </w:r>
                      <w:r w:rsidR="00D87945">
                        <w:rPr>
                          <w:szCs w:val="24"/>
                        </w:rPr>
                        <w:t xml:space="preserve"> factor in</w:t>
                      </w:r>
                      <w:r w:rsidR="00C41F61">
                        <w:rPr>
                          <w:szCs w:val="24"/>
                        </w:rPr>
                        <w:t xml:space="preserve"> </w:t>
                      </w:r>
                      <w:r w:rsidR="00FB3F4C">
                        <w:rPr>
                          <w:szCs w:val="24"/>
                        </w:rPr>
                        <w:t xml:space="preserve">that decision. </w:t>
                      </w:r>
                      <w:r w:rsidR="006E3A3E">
                        <w:rPr>
                          <w:szCs w:val="24"/>
                        </w:rPr>
                        <w:t xml:space="preserve">Housing Connect </w:t>
                      </w:r>
                      <w:r w:rsidR="0015603A">
                        <w:rPr>
                          <w:szCs w:val="24"/>
                        </w:rPr>
                        <w:t>is still</w:t>
                      </w:r>
                      <w:r w:rsidR="006E3A3E">
                        <w:rPr>
                          <w:szCs w:val="24"/>
                        </w:rPr>
                        <w:t xml:space="preserve"> </w:t>
                      </w:r>
                      <w:r w:rsidR="001C4EBD">
                        <w:rPr>
                          <w:szCs w:val="24"/>
                        </w:rPr>
                        <w:t xml:space="preserve">there </w:t>
                      </w:r>
                      <w:r w:rsidR="001D167F">
                        <w:rPr>
                          <w:szCs w:val="24"/>
                        </w:rPr>
                        <w:t>to provide Amy with support.</w:t>
                      </w:r>
                    </w:p>
                  </w:txbxContent>
                </v:textbox>
                <w10:wrap type="topAndBottom" anchorx="margin"/>
              </v:rect>
            </w:pict>
          </mc:Fallback>
        </mc:AlternateContent>
      </w:r>
      <w:r w:rsidR="00F250E7">
        <w:t xml:space="preserve"> </w:t>
      </w:r>
    </w:p>
    <w:p w14:paraId="0E26893E" w14:textId="77777777" w:rsidR="00C56CB9" w:rsidRDefault="00C56CB9">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br w:type="page"/>
      </w:r>
    </w:p>
    <w:p w14:paraId="38FC0D37" w14:textId="2D4A1579" w:rsidR="005C584D" w:rsidRPr="00344EAB" w:rsidRDefault="005C584D" w:rsidP="00A9254C">
      <w:pPr>
        <w:pStyle w:val="Heading2"/>
        <w:spacing w:before="0"/>
      </w:pPr>
      <w:bookmarkStart w:id="26" w:name="_Toc198823107"/>
      <w:r w:rsidRPr="00344EAB">
        <w:lastRenderedPageBreak/>
        <w:t>Housing support</w:t>
      </w:r>
      <w:bookmarkEnd w:id="26"/>
      <w:r w:rsidRPr="00344EAB">
        <w:t xml:space="preserve"> </w:t>
      </w:r>
    </w:p>
    <w:p w14:paraId="40E44BC1" w14:textId="2EDEA026" w:rsidR="00554438" w:rsidRPr="0000085C" w:rsidRDefault="00554438" w:rsidP="00554438">
      <w:pPr>
        <w:pStyle w:val="BodyText"/>
        <w:rPr>
          <w:iCs/>
        </w:rPr>
      </w:pPr>
      <w:r w:rsidRPr="0000085C">
        <w:rPr>
          <w:iCs/>
        </w:rPr>
        <w:t xml:space="preserve">For clients requiring short- or medium-term support, Front Door </w:t>
      </w:r>
      <w:r w:rsidR="00577CAE">
        <w:rPr>
          <w:iCs/>
        </w:rPr>
        <w:t>Connections</w:t>
      </w:r>
      <w:r w:rsidRPr="0000085C">
        <w:rPr>
          <w:iCs/>
        </w:rPr>
        <w:t xml:space="preserve"> Coaches provide or refer clients to the services they need during a support period. Clients </w:t>
      </w:r>
      <w:r w:rsidR="004A56E0" w:rsidRPr="0000085C">
        <w:rPr>
          <w:iCs/>
        </w:rPr>
        <w:t xml:space="preserve">such as Amy (see page </w:t>
      </w:r>
      <w:r w:rsidR="00ED4092">
        <w:rPr>
          <w:iCs/>
        </w:rPr>
        <w:t>22</w:t>
      </w:r>
      <w:r w:rsidR="004A56E0" w:rsidRPr="0000085C">
        <w:rPr>
          <w:iCs/>
        </w:rPr>
        <w:t xml:space="preserve">) who </w:t>
      </w:r>
      <w:r w:rsidRPr="0000085C">
        <w:rPr>
          <w:iCs/>
        </w:rPr>
        <w:t xml:space="preserve">need </w:t>
      </w:r>
      <w:r w:rsidR="00EA6DF2" w:rsidRPr="0000085C">
        <w:rPr>
          <w:iCs/>
        </w:rPr>
        <w:t xml:space="preserve">more intensive, </w:t>
      </w:r>
      <w:r w:rsidRPr="0000085C">
        <w:rPr>
          <w:iCs/>
        </w:rPr>
        <w:t>longer</w:t>
      </w:r>
      <w:r w:rsidR="00EA6DF2" w:rsidRPr="0000085C">
        <w:rPr>
          <w:iCs/>
        </w:rPr>
        <w:t>-</w:t>
      </w:r>
      <w:r w:rsidRPr="0000085C">
        <w:rPr>
          <w:iCs/>
        </w:rPr>
        <w:t>term support are referred to partner organisations to work with Key Development Coaches</w:t>
      </w:r>
      <w:r w:rsidR="00DA6029" w:rsidRPr="0000085C">
        <w:rPr>
          <w:iCs/>
        </w:rPr>
        <w:t>.</w:t>
      </w:r>
    </w:p>
    <w:p w14:paraId="58D768C4" w14:textId="6F3FCDF8" w:rsidR="00853077" w:rsidRPr="0000085C" w:rsidRDefault="00853077" w:rsidP="00554438">
      <w:pPr>
        <w:pStyle w:val="BodyText"/>
        <w:rPr>
          <w:iCs/>
        </w:rPr>
      </w:pPr>
      <w:r w:rsidRPr="0000085C">
        <w:rPr>
          <w:iCs/>
        </w:rPr>
        <w:t>The Housing Connect Front Door Service</w:t>
      </w:r>
    </w:p>
    <w:p w14:paraId="35CC4618" w14:textId="59B52455" w:rsidR="00853077" w:rsidRPr="0000085C" w:rsidRDefault="00853077" w:rsidP="00853077">
      <w:pPr>
        <w:pStyle w:val="BodyText"/>
        <w:numPr>
          <w:ilvl w:val="0"/>
          <w:numId w:val="10"/>
        </w:numPr>
      </w:pPr>
      <w:r w:rsidRPr="0000085C">
        <w:t>Provided 1</w:t>
      </w:r>
      <w:r w:rsidR="00FC111E">
        <w:t>,</w:t>
      </w:r>
      <w:r w:rsidRPr="0000085C">
        <w:t xml:space="preserve">361 clients with </w:t>
      </w:r>
      <w:r w:rsidR="00EA6DF2" w:rsidRPr="0000085C">
        <w:t xml:space="preserve">support with a </w:t>
      </w:r>
      <w:r w:rsidR="00577CAE">
        <w:t>Connections</w:t>
      </w:r>
      <w:r w:rsidR="00EA6DF2" w:rsidRPr="0000085C">
        <w:t xml:space="preserve"> Coach</w:t>
      </w:r>
      <w:r w:rsidR="0021573C" w:rsidRPr="0000085C">
        <w:t xml:space="preserve"> </w:t>
      </w:r>
      <w:r w:rsidR="00ED4092">
        <w:t xml:space="preserve">up </w:t>
      </w:r>
      <w:r w:rsidR="0021573C" w:rsidRPr="0000085C">
        <w:t>9%</w:t>
      </w:r>
    </w:p>
    <w:p w14:paraId="27FF0A4A" w14:textId="6D7F11E1" w:rsidR="00DA6029" w:rsidRPr="0000085C" w:rsidRDefault="00853077" w:rsidP="00E509D2">
      <w:pPr>
        <w:pStyle w:val="BodyText"/>
        <w:numPr>
          <w:ilvl w:val="0"/>
          <w:numId w:val="10"/>
        </w:numPr>
      </w:pPr>
      <w:r w:rsidRPr="0000085C">
        <w:t xml:space="preserve">Referred </w:t>
      </w:r>
      <w:r w:rsidR="00DA6029" w:rsidRPr="0000085C">
        <w:t xml:space="preserve">207 clients for </w:t>
      </w:r>
      <w:r w:rsidR="00EA6DF2" w:rsidRPr="0000085C">
        <w:t>intensive, longer-term</w:t>
      </w:r>
      <w:r w:rsidR="00DA6029" w:rsidRPr="0000085C">
        <w:t xml:space="preserve"> support with a Key Development Coach</w:t>
      </w:r>
    </w:p>
    <w:p w14:paraId="3893D47E" w14:textId="0D69FFCD" w:rsidR="005C584D" w:rsidRPr="0000085C" w:rsidRDefault="0021573C" w:rsidP="00E509D2">
      <w:pPr>
        <w:pStyle w:val="BodyText"/>
      </w:pPr>
      <w:r w:rsidRPr="0000085C">
        <w:t>The Housing Connect Front Door provided a housing support period</w:t>
      </w:r>
      <w:r w:rsidR="00FF68D9" w:rsidRPr="0000085C">
        <w:t xml:space="preserve"> </w:t>
      </w:r>
      <w:r w:rsidRPr="0000085C">
        <w:t>to 1</w:t>
      </w:r>
      <w:r w:rsidR="008B6CF0">
        <w:t>,</w:t>
      </w:r>
      <w:r w:rsidRPr="0000085C">
        <w:t>361 clients, 9% more than in the previous quarter. T</w:t>
      </w:r>
      <w:r w:rsidR="00FF68D9" w:rsidRPr="0000085C">
        <w:t>he</w:t>
      </w:r>
      <w:r w:rsidR="005C584D" w:rsidRPr="0000085C">
        <w:t xml:space="preserve"> total </w:t>
      </w:r>
      <w:r w:rsidR="00FF68D9" w:rsidRPr="0000085C">
        <w:t xml:space="preserve">number of active support periods increased by </w:t>
      </w:r>
      <w:r w:rsidR="00F16010" w:rsidRPr="0000085C">
        <w:t xml:space="preserve">10% to </w:t>
      </w:r>
      <w:r w:rsidR="005C584D" w:rsidRPr="0000085C">
        <w:t>1,</w:t>
      </w:r>
      <w:r w:rsidR="0062422D" w:rsidRPr="0000085C">
        <w:t>423</w:t>
      </w:r>
      <w:r w:rsidR="00F16010" w:rsidRPr="0000085C">
        <w:t>.</w:t>
      </w:r>
      <w:r w:rsidR="005C584D" w:rsidRPr="0000085C">
        <w:t xml:space="preserve"> </w:t>
      </w:r>
    </w:p>
    <w:p w14:paraId="370F441D" w14:textId="16E04736" w:rsidR="00C41A0A" w:rsidRPr="0000085C" w:rsidRDefault="009A7CE4" w:rsidP="00E509D2">
      <w:pPr>
        <w:pStyle w:val="BodyText"/>
      </w:pPr>
      <w:r w:rsidRPr="0000085C">
        <w:t xml:space="preserve">Support periods lasted </w:t>
      </w:r>
      <w:r w:rsidR="0021573C" w:rsidRPr="0000085C">
        <w:t>5</w:t>
      </w:r>
      <w:r w:rsidR="00907B74">
        <w:t xml:space="preserve"> and ½ </w:t>
      </w:r>
      <w:r w:rsidR="0021573C" w:rsidRPr="0000085C">
        <w:t xml:space="preserve">weeks </w:t>
      </w:r>
      <w:r w:rsidRPr="0000085C">
        <w:t xml:space="preserve">on average </w:t>
      </w:r>
      <w:r w:rsidR="0021573C" w:rsidRPr="0000085C">
        <w:t>with a</w:t>
      </w:r>
      <w:r w:rsidR="00F16010" w:rsidRPr="0000085C">
        <w:t>round half of clients receiv</w:t>
      </w:r>
      <w:r w:rsidR="0021573C" w:rsidRPr="0000085C">
        <w:t>ing</w:t>
      </w:r>
      <w:r w:rsidR="00F16010" w:rsidRPr="0000085C">
        <w:t xml:space="preserve"> between 2 and 14 weeks </w:t>
      </w:r>
      <w:r w:rsidR="0021573C" w:rsidRPr="0000085C">
        <w:t>of support.</w:t>
      </w:r>
      <w:r w:rsidRPr="0000085C">
        <w:t xml:space="preserve"> </w:t>
      </w:r>
      <w:r w:rsidR="001F6B8B" w:rsidRPr="0000085C">
        <w:t xml:space="preserve">The average support period </w:t>
      </w:r>
      <w:r w:rsidR="0021573C" w:rsidRPr="0000085C">
        <w:t>wa</w:t>
      </w:r>
      <w:r w:rsidR="001F6B8B" w:rsidRPr="0000085C">
        <w:t xml:space="preserve">s longer in the North and North West, reflecting the increased proportion of clients with </w:t>
      </w:r>
      <w:r w:rsidR="00EA6DF2" w:rsidRPr="0000085C">
        <w:t xml:space="preserve">more </w:t>
      </w:r>
      <w:r w:rsidR="001F6B8B" w:rsidRPr="0000085C">
        <w:t>complex needs</w:t>
      </w:r>
      <w:r w:rsidR="00A56691" w:rsidRPr="0000085C">
        <w:t>, including clients escaping domestic and family violence.</w:t>
      </w:r>
    </w:p>
    <w:p w14:paraId="66C8F6AC" w14:textId="62DD923C" w:rsidR="00C41A0A" w:rsidRPr="0000085C" w:rsidRDefault="00F95E83" w:rsidP="00E509D2">
      <w:pPr>
        <w:pStyle w:val="BodyText"/>
      </w:pPr>
      <w:r w:rsidRPr="0000085C">
        <w:t>The number of clients with a case management plan in place increased to 83% in the March quarter, up from 72% the preceding quarter</w:t>
      </w:r>
      <w:r w:rsidR="00C41A0A" w:rsidRPr="0000085C">
        <w:t>. The main reason the remaining clients did not have a case plan was because the support period was too short</w:t>
      </w:r>
      <w:r w:rsidRPr="0000085C">
        <w:t>.</w:t>
      </w:r>
    </w:p>
    <w:p w14:paraId="558EE323" w14:textId="7BCF0169" w:rsidR="008C4B54" w:rsidRPr="0000085C" w:rsidRDefault="00C93505" w:rsidP="00E509D2">
      <w:pPr>
        <w:pStyle w:val="BodyText"/>
      </w:pPr>
      <w:r w:rsidRPr="0000085C">
        <w:t xml:space="preserve">Compared to the December quarter, the percentage of clients achieving their goals remained steady. </w:t>
      </w:r>
      <w:r w:rsidR="00F95E83" w:rsidRPr="0000085C">
        <w:t>57% of clients achiev</w:t>
      </w:r>
      <w:r w:rsidRPr="0000085C">
        <w:t>ed</w:t>
      </w:r>
      <w:r w:rsidR="00F95E83" w:rsidRPr="0000085C">
        <w:t xml:space="preserve"> all </w:t>
      </w:r>
      <w:r w:rsidR="00C56CB9">
        <w:t>of the</w:t>
      </w:r>
      <w:r w:rsidR="00F95E83" w:rsidRPr="0000085C">
        <w:t xml:space="preserve"> goals </w:t>
      </w:r>
      <w:r w:rsidRPr="0000085C">
        <w:t xml:space="preserve">in their plan by the end of their support period </w:t>
      </w:r>
      <w:r w:rsidR="00F95E83" w:rsidRPr="0000085C">
        <w:t>and a further 15% achiev</w:t>
      </w:r>
      <w:r w:rsidRPr="0000085C">
        <w:t>ed</w:t>
      </w:r>
      <w:r w:rsidR="00F95E83" w:rsidRPr="0000085C">
        <w:t xml:space="preserve"> more than half their goals.</w:t>
      </w:r>
      <w:r w:rsidRPr="0000085C">
        <w:t xml:space="preserve"> </w:t>
      </w:r>
      <w:r w:rsidR="006F278E" w:rsidRPr="0000085C">
        <w:t>T</w:t>
      </w:r>
      <w:r w:rsidR="008C4B54" w:rsidRPr="0000085C">
        <w:t xml:space="preserve">he percentage of clients who achieved none of the goals in their case plan </w:t>
      </w:r>
      <w:r w:rsidRPr="0000085C">
        <w:t>fell</w:t>
      </w:r>
      <w:r w:rsidR="008C4B54" w:rsidRPr="0000085C">
        <w:t xml:space="preserve"> from 8% to 5%.</w:t>
      </w:r>
    </w:p>
    <w:p w14:paraId="545370C6" w14:textId="77777777" w:rsidR="005D3D2B" w:rsidRPr="0000085C" w:rsidRDefault="005D3D2B" w:rsidP="00E509D2">
      <w:pPr>
        <w:pStyle w:val="BodyText"/>
      </w:pPr>
    </w:p>
    <w:p w14:paraId="2B08DBA9" w14:textId="26B00BF1" w:rsidR="005D3D2B" w:rsidRPr="0000085C" w:rsidRDefault="0021573C" w:rsidP="00E509D2">
      <w:pPr>
        <w:pStyle w:val="BodyText"/>
      </w:pPr>
      <w:r w:rsidRPr="0000085C">
        <w:t>Housing support periods provided by the Front Door Service</w:t>
      </w:r>
      <w:r w:rsidR="005D3D2B" w:rsidRPr="0000085C">
        <w:t>:</w:t>
      </w:r>
    </w:p>
    <w:p w14:paraId="1C896399" w14:textId="32ED2E69" w:rsidR="005D3D2B" w:rsidRPr="0000085C" w:rsidRDefault="0021573C" w:rsidP="005D3D2B">
      <w:pPr>
        <w:pStyle w:val="BodyText"/>
        <w:numPr>
          <w:ilvl w:val="0"/>
          <w:numId w:val="10"/>
        </w:numPr>
      </w:pPr>
      <w:r w:rsidRPr="0000085C">
        <w:t>1,423 periods of support</w:t>
      </w:r>
      <w:r w:rsidR="005D3D2B" w:rsidRPr="0000085C">
        <w:t xml:space="preserve"> </w:t>
      </w:r>
      <w:r w:rsidR="00ED4092">
        <w:t xml:space="preserve">up </w:t>
      </w:r>
      <w:r w:rsidRPr="0000085C">
        <w:t>10</w:t>
      </w:r>
      <w:r w:rsidR="005D3D2B" w:rsidRPr="0000085C">
        <w:t>%</w:t>
      </w:r>
    </w:p>
    <w:p w14:paraId="07B86234" w14:textId="38AFB9BC" w:rsidR="005D3D2B" w:rsidRPr="0000085C" w:rsidRDefault="005D3D2B" w:rsidP="005D3D2B">
      <w:pPr>
        <w:pStyle w:val="BodyText"/>
        <w:numPr>
          <w:ilvl w:val="0"/>
          <w:numId w:val="10"/>
        </w:numPr>
      </w:pPr>
      <w:r w:rsidRPr="0000085C">
        <w:t>5</w:t>
      </w:r>
      <w:r w:rsidR="00703F5B">
        <w:t>.5</w:t>
      </w:r>
      <w:r w:rsidRPr="0000085C">
        <w:t xml:space="preserve"> weeks average length of support period</w:t>
      </w:r>
      <w:r w:rsidR="00A60282" w:rsidRPr="0000085C">
        <w:t xml:space="preserve"> </w:t>
      </w:r>
    </w:p>
    <w:p w14:paraId="0B23C880" w14:textId="747F9859" w:rsidR="00A60282" w:rsidRPr="0000085C" w:rsidRDefault="00A60282" w:rsidP="005D3D2B">
      <w:pPr>
        <w:pStyle w:val="BodyText"/>
        <w:numPr>
          <w:ilvl w:val="0"/>
          <w:numId w:val="10"/>
        </w:numPr>
      </w:pPr>
      <w:r w:rsidRPr="0000085C">
        <w:t xml:space="preserve">83% clients </w:t>
      </w:r>
      <w:r w:rsidR="0021573C" w:rsidRPr="0000085C">
        <w:t>with a case management plan</w:t>
      </w:r>
      <w:r w:rsidRPr="0000085C">
        <w:t xml:space="preserve"> </w:t>
      </w:r>
      <w:r w:rsidR="00ED4092">
        <w:t xml:space="preserve">up </w:t>
      </w:r>
      <w:r w:rsidRPr="0000085C">
        <w:t>15%</w:t>
      </w:r>
    </w:p>
    <w:p w14:paraId="79F40567" w14:textId="6DE29145" w:rsidR="00F95E83" w:rsidRPr="0000085C" w:rsidRDefault="00F95E83" w:rsidP="005D3D2B">
      <w:pPr>
        <w:pStyle w:val="BodyText"/>
        <w:numPr>
          <w:ilvl w:val="0"/>
          <w:numId w:val="10"/>
        </w:numPr>
      </w:pPr>
      <w:r w:rsidRPr="0000085C">
        <w:t>73% of clients achieved most of the goals in their case plan</w:t>
      </w:r>
      <w:r w:rsidR="00A60282" w:rsidRPr="0000085C">
        <w:t xml:space="preserve"> </w:t>
      </w:r>
    </w:p>
    <w:p w14:paraId="214D80C5" w14:textId="6901DCC9" w:rsidR="008C4B54" w:rsidRPr="0000085C" w:rsidRDefault="008C4B54" w:rsidP="00ED4092">
      <w:pPr>
        <w:pStyle w:val="BodyText"/>
      </w:pPr>
    </w:p>
    <w:p w14:paraId="32DF1447" w14:textId="77777777" w:rsidR="00F95E83" w:rsidRPr="0000085C" w:rsidRDefault="00F95E83" w:rsidP="00ED4092">
      <w:pPr>
        <w:pStyle w:val="BodyText"/>
      </w:pPr>
    </w:p>
    <w:p w14:paraId="4ED133EF" w14:textId="77777777" w:rsidR="009A7CE4" w:rsidRPr="0000085C" w:rsidRDefault="009A7CE4">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rsidRPr="0000085C">
        <w:br w:type="page"/>
      </w:r>
    </w:p>
    <w:p w14:paraId="53685037" w14:textId="6354FF40" w:rsidR="00616B76" w:rsidRPr="00104F1D" w:rsidRDefault="003E3367" w:rsidP="00FC111E">
      <w:pPr>
        <w:pStyle w:val="Heading1"/>
      </w:pPr>
      <w:bookmarkStart w:id="27" w:name="_Toc198823108"/>
      <w:r w:rsidRPr="00104F1D">
        <w:lastRenderedPageBreak/>
        <w:t>Identifying and meeting</w:t>
      </w:r>
      <w:r w:rsidR="0076613C" w:rsidRPr="00104F1D">
        <w:t xml:space="preserve"> client needs</w:t>
      </w:r>
      <w:bookmarkEnd w:id="27"/>
    </w:p>
    <w:p w14:paraId="7A668D3E" w14:textId="34BA2A5C" w:rsidR="008E00E3" w:rsidRPr="0000085C" w:rsidRDefault="005C584D" w:rsidP="00E509D2">
      <w:r w:rsidRPr="0000085C">
        <w:t xml:space="preserve">Working with a </w:t>
      </w:r>
      <w:r w:rsidR="00577CAE">
        <w:t>Connections</w:t>
      </w:r>
      <w:r w:rsidRPr="0000085C">
        <w:t xml:space="preserve"> Coach, clients identify their needs, which can be multiple</w:t>
      </w:r>
      <w:r w:rsidR="00D527A8" w:rsidRPr="0000085C">
        <w:t xml:space="preserve">. Figure </w:t>
      </w:r>
      <w:r w:rsidR="00FC6CC8" w:rsidRPr="0000085C">
        <w:t>9</w:t>
      </w:r>
      <w:r w:rsidR="00D527A8" w:rsidRPr="0000085C">
        <w:t xml:space="preserve"> shows t</w:t>
      </w:r>
      <w:r w:rsidRPr="0000085C">
        <w:t xml:space="preserve">he most common needs of people seeking housing support were advice or information, basic assistance, long-term housing, advocacy, </w:t>
      </w:r>
      <w:r w:rsidR="0054112B" w:rsidRPr="0000085C">
        <w:t xml:space="preserve">medium-term and transitional housing, </w:t>
      </w:r>
      <w:r w:rsidRPr="0000085C">
        <w:t xml:space="preserve">and short-term or emergency accommodation. </w:t>
      </w:r>
      <w:r w:rsidR="00D527A8" w:rsidRPr="0000085C">
        <w:t>The blue part of each bar in the chart shows client needs that were met and the orange part of the bar indicates unmet needs.</w:t>
      </w:r>
    </w:p>
    <w:p w14:paraId="431E7F7E" w14:textId="1D553717" w:rsidR="003E3367" w:rsidRPr="0000085C" w:rsidRDefault="003E3367" w:rsidP="003E3367">
      <w:pPr>
        <w:rPr>
          <w:b/>
        </w:rPr>
      </w:pPr>
      <w:r w:rsidRPr="0000085C">
        <w:rPr>
          <w:b/>
        </w:rPr>
        <w:t xml:space="preserve">Figure </w:t>
      </w:r>
      <w:r w:rsidR="003F62EA" w:rsidRPr="0000085C">
        <w:rPr>
          <w:b/>
        </w:rPr>
        <w:t>9</w:t>
      </w:r>
      <w:r w:rsidRPr="0000085C">
        <w:rPr>
          <w:b/>
        </w:rPr>
        <w:t>. Key client needs identified, and support provided, January to March 2025</w:t>
      </w:r>
    </w:p>
    <w:p w14:paraId="040DDFAA" w14:textId="147AF645" w:rsidR="003E3367" w:rsidRPr="0000085C" w:rsidRDefault="003E3367" w:rsidP="003E3367">
      <w:pPr>
        <w:pStyle w:val="BodyText"/>
      </w:pPr>
      <w:r w:rsidRPr="00104F1D">
        <w:rPr>
          <w:noProof/>
          <w14:ligatures w14:val="standardContextual"/>
        </w:rPr>
        <w:drawing>
          <wp:inline distT="0" distB="0" distL="0" distR="0" wp14:anchorId="720F099C" wp14:editId="0764F797">
            <wp:extent cx="6270625" cy="3355975"/>
            <wp:effectExtent l="0" t="0" r="0" b="0"/>
            <wp:docPr id="1954245348" name="Chart 1" descr="Bar graph showing advice/information and other basic assistance as the longest blue bars. The next longest bar is long term housing, and it is mostly orange. The other bars are all much shorter. Medium term housing is mostly orange; short term accommodation is about half orange. ">
              <a:extLst xmlns:a="http://schemas.openxmlformats.org/drawingml/2006/main">
                <a:ext uri="{FF2B5EF4-FFF2-40B4-BE49-F238E27FC236}">
                  <a16:creationId xmlns:a16="http://schemas.microsoft.com/office/drawing/2014/main" id="{F306C9D2-F77E-4FF7-9955-7084AD144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3BE7039" w14:textId="03559B8A" w:rsidR="00A2751A" w:rsidRPr="0000085C" w:rsidRDefault="00591728" w:rsidP="00E509D2">
      <w:r w:rsidRPr="0000085C">
        <w:t xml:space="preserve">Although the </w:t>
      </w:r>
      <w:r w:rsidR="006304DC" w:rsidRPr="0000085C">
        <w:t xml:space="preserve">Housing Connect </w:t>
      </w:r>
      <w:r w:rsidR="007E21E4" w:rsidRPr="0000085C">
        <w:t xml:space="preserve">Front Door </w:t>
      </w:r>
      <w:r w:rsidR="00D527A8" w:rsidRPr="0000085C">
        <w:t>connects people with housing and with support services</w:t>
      </w:r>
      <w:r w:rsidRPr="0000085C">
        <w:t>,</w:t>
      </w:r>
      <w:r w:rsidR="00D527A8" w:rsidRPr="0000085C">
        <w:t xml:space="preserve"> it does not actually provide housing and specialist</w:t>
      </w:r>
      <w:r w:rsidR="006304DC" w:rsidRPr="0000085C">
        <w:t xml:space="preserve"> </w:t>
      </w:r>
      <w:r w:rsidR="007E21E4" w:rsidRPr="0000085C">
        <w:t>support services</w:t>
      </w:r>
      <w:r w:rsidR="001B1035" w:rsidRPr="00CB736F">
        <w:t xml:space="preserve"> (although some are </w:t>
      </w:r>
      <w:r w:rsidR="001B1035" w:rsidRPr="0000085C">
        <w:t>provided by Anglicare Tasmania)</w:t>
      </w:r>
      <w:r w:rsidR="00FD622E" w:rsidRPr="0000085C">
        <w:t>.</w:t>
      </w:r>
    </w:p>
    <w:p w14:paraId="0B965EED" w14:textId="77ED4C5A" w:rsidR="007E21E4" w:rsidRPr="0000085C" w:rsidRDefault="006304DC" w:rsidP="00E509D2">
      <w:r w:rsidRPr="0000085C">
        <w:t xml:space="preserve">However, </w:t>
      </w:r>
      <w:r w:rsidR="00591728" w:rsidRPr="0000085C">
        <w:t xml:space="preserve">Front Door service data on the </w:t>
      </w:r>
      <w:r w:rsidRPr="0000085C">
        <w:t xml:space="preserve">outcomes achieved </w:t>
      </w:r>
      <w:r w:rsidR="00591728" w:rsidRPr="0000085C">
        <w:t>by</w:t>
      </w:r>
      <w:r w:rsidRPr="0000085C">
        <w:t xml:space="preserve"> clients </w:t>
      </w:r>
      <w:r w:rsidR="00591728" w:rsidRPr="0000085C">
        <w:t xml:space="preserve">can </w:t>
      </w:r>
      <w:r w:rsidR="0076613C" w:rsidRPr="0000085C">
        <w:t>provide</w:t>
      </w:r>
      <w:r w:rsidRPr="0000085C">
        <w:t xml:space="preserve"> critical information about </w:t>
      </w:r>
      <w:r w:rsidR="00591728" w:rsidRPr="0000085C">
        <w:t>shortfalls or gaps in</w:t>
      </w:r>
      <w:r w:rsidRPr="0000085C">
        <w:t xml:space="preserve"> </w:t>
      </w:r>
      <w:r w:rsidR="00591728" w:rsidRPr="0000085C">
        <w:t xml:space="preserve">the </w:t>
      </w:r>
      <w:r w:rsidRPr="0000085C">
        <w:t>supply of housing and specialist support</w:t>
      </w:r>
      <w:r w:rsidR="001E1AE9" w:rsidRPr="0000085C">
        <w:t>s</w:t>
      </w:r>
      <w:r w:rsidR="00D527A8" w:rsidRPr="0000085C">
        <w:t>.</w:t>
      </w:r>
    </w:p>
    <w:p w14:paraId="47EFB474" w14:textId="77777777" w:rsidR="00591728" w:rsidRDefault="00591728" w:rsidP="00E509D2"/>
    <w:p w14:paraId="6FF1259D" w14:textId="37A95066" w:rsidR="00ED4092" w:rsidRDefault="00ED4092" w:rsidP="00ED4092">
      <w:pPr>
        <w:pStyle w:val="ListParagraph"/>
      </w:pPr>
      <w:r>
        <w:t xml:space="preserve">94% of client needs for </w:t>
      </w:r>
      <w:r w:rsidRPr="00ED4092">
        <w:rPr>
          <w:b/>
          <w:bCs/>
        </w:rPr>
        <w:t>support services</w:t>
      </w:r>
      <w:r>
        <w:t xml:space="preserve"> met, up from 90% last quarter</w:t>
      </w:r>
    </w:p>
    <w:p w14:paraId="037963A1" w14:textId="7AF49585" w:rsidR="00ED4092" w:rsidRDefault="00ED4092" w:rsidP="00ED4092">
      <w:pPr>
        <w:pStyle w:val="ListParagraph"/>
      </w:pPr>
      <w:r>
        <w:t xml:space="preserve">28% of client needs for </w:t>
      </w:r>
      <w:r w:rsidRPr="00ED4092">
        <w:rPr>
          <w:b/>
          <w:bCs/>
        </w:rPr>
        <w:t>housing</w:t>
      </w:r>
      <w:r>
        <w:t xml:space="preserve"> met, up from 30% last quarter</w:t>
      </w:r>
    </w:p>
    <w:p w14:paraId="14190B7A" w14:textId="77777777" w:rsidR="00ED4092" w:rsidRDefault="00ED4092">
      <w:pPr>
        <w:widowControl/>
        <w:autoSpaceDE/>
        <w:autoSpaceDN/>
        <w:spacing w:before="0" w:after="160" w:line="259" w:lineRule="auto"/>
      </w:pPr>
      <w:r>
        <w:br w:type="page"/>
      </w:r>
    </w:p>
    <w:p w14:paraId="5F36D729" w14:textId="2C8914E9" w:rsidR="003909EA" w:rsidRPr="0000085C" w:rsidRDefault="007E21E4" w:rsidP="00FC111E">
      <w:pPr>
        <w:pStyle w:val="Heading2"/>
      </w:pPr>
      <w:bookmarkStart w:id="28" w:name="_Toc198823109"/>
      <w:r w:rsidRPr="0000085C">
        <w:lastRenderedPageBreak/>
        <w:t>Support</w:t>
      </w:r>
      <w:r w:rsidR="006304DC" w:rsidRPr="0000085C">
        <w:t xml:space="preserve"> </w:t>
      </w:r>
      <w:r w:rsidR="006304DC" w:rsidRPr="009576AE">
        <w:t>services</w:t>
      </w:r>
      <w:bookmarkEnd w:id="28"/>
    </w:p>
    <w:p w14:paraId="077D2B98" w14:textId="5E3EB83F" w:rsidR="002C4402" w:rsidRPr="0000085C" w:rsidRDefault="003909EA" w:rsidP="00E509D2">
      <w:r w:rsidRPr="0000085C">
        <w:t xml:space="preserve">These </w:t>
      </w:r>
      <w:r w:rsidR="005C584D" w:rsidRPr="0000085C">
        <w:t xml:space="preserve">include services to enable or support social and community connectedness, health and wellbeing, education and employment, and living skills (see Figure </w:t>
      </w:r>
      <w:r w:rsidR="006D427E" w:rsidRPr="0000085C">
        <w:t>9</w:t>
      </w:r>
      <w:r w:rsidR="005C584D" w:rsidRPr="0000085C">
        <w:t xml:space="preserve">). </w:t>
      </w:r>
      <w:r w:rsidR="00EC01F8" w:rsidRPr="0000085C">
        <w:t>A comprehensive list of these client need</w:t>
      </w:r>
      <w:r w:rsidRPr="0000085C">
        <w:t>s</w:t>
      </w:r>
      <w:r w:rsidR="00EC01F8" w:rsidRPr="0000085C">
        <w:t xml:space="preserve"> </w:t>
      </w:r>
      <w:r w:rsidR="003F5C10" w:rsidRPr="0000085C">
        <w:t xml:space="preserve">and support services </w:t>
      </w:r>
      <w:r w:rsidR="00EC01F8" w:rsidRPr="0000085C">
        <w:t xml:space="preserve">is provided in </w:t>
      </w:r>
      <w:r w:rsidR="00EC01F8" w:rsidRPr="0000085C">
        <w:rPr>
          <w:i/>
          <w:iCs/>
        </w:rPr>
        <w:t xml:space="preserve">More Houses Needed </w:t>
      </w:r>
      <w:r w:rsidR="00EC01F8" w:rsidRPr="0000085C">
        <w:t xml:space="preserve">(Anglicare Tasmania 2024). </w:t>
      </w:r>
    </w:p>
    <w:p w14:paraId="1A4D07F0" w14:textId="36A0CBEA" w:rsidR="005C584D" w:rsidRPr="0000085C" w:rsidRDefault="002C4402" w:rsidP="00E509D2">
      <w:r w:rsidRPr="0000085C">
        <w:t xml:space="preserve">In the March quarter, </w:t>
      </w:r>
      <w:r w:rsidR="005C584D" w:rsidRPr="0000085C">
        <w:t>Housing Connect provided or referred clients to supports to meet 9</w:t>
      </w:r>
      <w:r w:rsidR="003E3367" w:rsidRPr="0000085C">
        <w:t>4</w:t>
      </w:r>
      <w:r w:rsidR="005C584D" w:rsidRPr="0000085C">
        <w:t>% of these needs</w:t>
      </w:r>
      <w:r w:rsidR="003E3367" w:rsidRPr="0000085C">
        <w:t xml:space="preserve"> (compared to 90% in the December quarter).</w:t>
      </w:r>
    </w:p>
    <w:p w14:paraId="6379E1FE" w14:textId="798BF47B" w:rsidR="00BD725D" w:rsidRPr="0000085C" w:rsidRDefault="00BD725D" w:rsidP="00EA0C35">
      <w:r w:rsidRPr="0000085C">
        <w:t>A</w:t>
      </w:r>
      <w:r w:rsidR="00EA0C35" w:rsidRPr="0000085C">
        <w:t>dvice/information, basic assistance</w:t>
      </w:r>
      <w:r w:rsidRPr="0000085C">
        <w:t xml:space="preserve">, </w:t>
      </w:r>
      <w:r w:rsidR="00EA0C35" w:rsidRPr="0000085C">
        <w:t xml:space="preserve">advocacy </w:t>
      </w:r>
      <w:r w:rsidRPr="0000085C">
        <w:t xml:space="preserve">and material aid </w:t>
      </w:r>
      <w:r w:rsidR="00113A5F" w:rsidRPr="0000085C">
        <w:t>were the four most common needs other than housing. 100% of these support needs were met, with 94% provided by the Front Door Service and 6% met through referral to other providers.</w:t>
      </w:r>
    </w:p>
    <w:p w14:paraId="1FE7F063" w14:textId="500C6110" w:rsidR="00093037" w:rsidRPr="0000085C" w:rsidRDefault="00113A5F" w:rsidP="00093037">
      <w:r w:rsidRPr="0000085C">
        <w:t xml:space="preserve">29 other supports were needed </w:t>
      </w:r>
      <w:r w:rsidR="00093037" w:rsidRPr="0000085C">
        <w:t>across</w:t>
      </w:r>
      <w:r w:rsidRPr="0000085C">
        <w:t xml:space="preserve"> </w:t>
      </w:r>
      <w:r w:rsidR="00093037" w:rsidRPr="0000085C">
        <w:t xml:space="preserve">a total of </w:t>
      </w:r>
      <w:r w:rsidRPr="0000085C">
        <w:t>256 clients</w:t>
      </w:r>
      <w:r w:rsidR="00093037" w:rsidRPr="0000085C">
        <w:t xml:space="preserve">. </w:t>
      </w:r>
      <w:r w:rsidR="00994992" w:rsidRPr="0000085C">
        <w:t xml:space="preserve">60% of these needs were met with </w:t>
      </w:r>
      <w:r w:rsidRPr="0000085C">
        <w:t>31% provided directly by the Front Door</w:t>
      </w:r>
      <w:r w:rsidR="00994992" w:rsidRPr="0000085C">
        <w:t xml:space="preserve"> and</w:t>
      </w:r>
      <w:r w:rsidRPr="0000085C">
        <w:t xml:space="preserve"> 28% provided through referrals. </w:t>
      </w:r>
      <w:r w:rsidR="00994992" w:rsidRPr="0000085C">
        <w:t>However,</w:t>
      </w:r>
      <w:r w:rsidRPr="0000085C">
        <w:t xml:space="preserve"> 40% of these support needs remain</w:t>
      </w:r>
      <w:r w:rsidR="00C56CB9">
        <w:t>ed</w:t>
      </w:r>
      <w:r w:rsidRPr="0000085C">
        <w:t xml:space="preserve"> unmet</w:t>
      </w:r>
      <w:r w:rsidR="00C56CB9">
        <w:t xml:space="preserve"> at the end of the support period</w:t>
      </w:r>
      <w:r w:rsidRPr="0000085C">
        <w:t>.</w:t>
      </w:r>
      <w:r w:rsidR="00994992" w:rsidRPr="0000085C">
        <w:rPr>
          <w:rStyle w:val="FootnoteReference"/>
        </w:rPr>
        <w:footnoteReference w:id="4"/>
      </w:r>
      <w:r w:rsidR="00093037" w:rsidRPr="0000085C">
        <w:t xml:space="preserve"> </w:t>
      </w:r>
    </w:p>
    <w:p w14:paraId="0FF17DA8" w14:textId="7ECC37D5" w:rsidR="00455556" w:rsidRPr="0000085C" w:rsidRDefault="00195D27" w:rsidP="00093037">
      <w:bookmarkStart w:id="29" w:name="_Hlk197526598"/>
      <w:r>
        <w:t>Support</w:t>
      </w:r>
      <w:r w:rsidR="001E1AE9" w:rsidRPr="0000085C">
        <w:t xml:space="preserve"> gaps resulted in</w:t>
      </w:r>
      <w:r w:rsidR="003F5C10" w:rsidRPr="0000085C">
        <w:t xml:space="preserve"> significant unmet client need in the following areas</w:t>
      </w:r>
      <w:r w:rsidR="00455556" w:rsidRPr="0000085C">
        <w:t>:</w:t>
      </w:r>
    </w:p>
    <w:p w14:paraId="75503BD0" w14:textId="7CD39C19" w:rsidR="00093037" w:rsidRPr="0000085C" w:rsidRDefault="00F926BE" w:rsidP="00ED4092">
      <w:pPr>
        <w:pStyle w:val="ListParagraph"/>
      </w:pPr>
      <w:r w:rsidRPr="0000085C">
        <w:t>P</w:t>
      </w:r>
      <w:r w:rsidR="00455556" w:rsidRPr="0000085C">
        <w:t xml:space="preserve">sychological services </w:t>
      </w:r>
      <w:r w:rsidR="003F5C10" w:rsidRPr="0000085C">
        <w:t>(0% needs met)</w:t>
      </w:r>
      <w:r w:rsidR="00455556" w:rsidRPr="0000085C">
        <w:tab/>
      </w:r>
      <w:r w:rsidR="00455556" w:rsidRPr="0000085C">
        <w:tab/>
      </w:r>
      <w:r w:rsidR="00455556" w:rsidRPr="0000085C">
        <w:tab/>
      </w:r>
      <w:r w:rsidR="00455556" w:rsidRPr="0000085C">
        <w:tab/>
      </w:r>
    </w:p>
    <w:p w14:paraId="17D7322A" w14:textId="294C40B3" w:rsidR="00455556" w:rsidRPr="0000085C" w:rsidRDefault="00F926BE" w:rsidP="00ED4092">
      <w:pPr>
        <w:pStyle w:val="ListParagraph"/>
      </w:pPr>
      <w:r w:rsidRPr="0000085C">
        <w:t>P</w:t>
      </w:r>
      <w:r w:rsidR="00455556" w:rsidRPr="0000085C">
        <w:t xml:space="preserve">sychiatric services </w:t>
      </w:r>
      <w:r w:rsidR="003F5C10" w:rsidRPr="0000085C">
        <w:t>(0% needs met)</w:t>
      </w:r>
      <w:r w:rsidR="00455556" w:rsidRPr="0000085C">
        <w:tab/>
      </w:r>
      <w:r w:rsidR="00455556" w:rsidRPr="0000085C">
        <w:tab/>
      </w:r>
      <w:r w:rsidR="00455556" w:rsidRPr="0000085C">
        <w:tab/>
      </w:r>
      <w:r w:rsidR="00455556" w:rsidRPr="0000085C">
        <w:tab/>
      </w:r>
    </w:p>
    <w:p w14:paraId="5E661608" w14:textId="47DBBA12" w:rsidR="00455556" w:rsidRPr="0000085C" w:rsidRDefault="00455556" w:rsidP="00ED4092">
      <w:pPr>
        <w:pStyle w:val="ListParagraph"/>
      </w:pPr>
      <w:r w:rsidRPr="0000085C">
        <w:t xml:space="preserve">Assistance for domestic and family violence – perpetrator support services </w:t>
      </w:r>
      <w:r w:rsidR="003F5C10" w:rsidRPr="0000085C">
        <w:t>(0% needs met)</w:t>
      </w:r>
    </w:p>
    <w:p w14:paraId="0B836D05" w14:textId="1A7001DF" w:rsidR="00455556" w:rsidRPr="0000085C" w:rsidRDefault="00455556" w:rsidP="00ED4092">
      <w:pPr>
        <w:pStyle w:val="ListParagraph"/>
      </w:pPr>
      <w:r w:rsidRPr="0000085C">
        <w:t>Intellectual disability services</w:t>
      </w:r>
      <w:r w:rsidR="003F5C10" w:rsidRPr="0000085C">
        <w:t xml:space="preserve"> (0% needs met)</w:t>
      </w:r>
    </w:p>
    <w:p w14:paraId="1714401E" w14:textId="5277105B" w:rsidR="00455556" w:rsidRPr="0000085C" w:rsidRDefault="00455556" w:rsidP="00ED4092">
      <w:pPr>
        <w:pStyle w:val="ListParagraph"/>
      </w:pPr>
      <w:r w:rsidRPr="0000085C">
        <w:t>Legal information/advice</w:t>
      </w:r>
      <w:r w:rsidR="003F5C10" w:rsidRPr="0000085C">
        <w:t xml:space="preserve"> </w:t>
      </w:r>
      <w:r w:rsidR="001E1AE9" w:rsidRPr="0000085C">
        <w:t>(</w:t>
      </w:r>
      <w:r w:rsidR="003F5C10" w:rsidRPr="0000085C">
        <w:t>&lt;</w:t>
      </w:r>
      <w:r w:rsidR="001E1AE9" w:rsidRPr="0000085C">
        <w:t>15% needs met)</w:t>
      </w:r>
    </w:p>
    <w:p w14:paraId="0B69DE69" w14:textId="265735D8" w:rsidR="003F5C10" w:rsidRPr="0000085C" w:rsidRDefault="003F5C10" w:rsidP="00ED4092">
      <w:pPr>
        <w:pStyle w:val="ListParagraph"/>
      </w:pPr>
      <w:r w:rsidRPr="0000085C">
        <w:t>Training and employment assistance</w:t>
      </w:r>
      <w:r w:rsidR="001E1AE9" w:rsidRPr="0000085C">
        <w:t xml:space="preserve"> (&lt;15% needs met)</w:t>
      </w:r>
    </w:p>
    <w:p w14:paraId="4638EEEF" w14:textId="336AF52B" w:rsidR="00F926BE" w:rsidRPr="0000085C" w:rsidRDefault="00F926BE" w:rsidP="00ED4092">
      <w:pPr>
        <w:pStyle w:val="ListParagraph"/>
      </w:pPr>
      <w:r w:rsidRPr="0000085C">
        <w:t>Alcohol and drug counselling</w:t>
      </w:r>
      <w:r w:rsidR="001E1AE9" w:rsidRPr="0000085C">
        <w:t xml:space="preserve"> (&lt;30% needs met)</w:t>
      </w:r>
    </w:p>
    <w:p w14:paraId="5588BD48" w14:textId="77777777" w:rsidR="00923C04" w:rsidRPr="0000085C" w:rsidRDefault="00923C04" w:rsidP="00923C04"/>
    <w:bookmarkEnd w:id="29"/>
    <w:p w14:paraId="79907E4B" w14:textId="15624A2B" w:rsidR="005C584D" w:rsidRPr="0000085C" w:rsidRDefault="005C584D" w:rsidP="00E509D2">
      <w:pPr>
        <w:spacing w:before="0" w:after="0"/>
        <w:rPr>
          <w:b/>
        </w:rPr>
      </w:pPr>
      <w:r w:rsidRPr="00133398">
        <w:rPr>
          <w:noProof/>
          <w:color w:val="auto"/>
          <w:spacing w:val="-2"/>
          <w:sz w:val="36"/>
          <w:szCs w:val="36"/>
        </w:rPr>
        <w:lastRenderedPageBreak/>
        <w:drawing>
          <wp:anchor distT="0" distB="0" distL="114300" distR="114300" simplePos="0" relativeHeight="251658248" behindDoc="1" locked="0" layoutInCell="1" allowOverlap="1" wp14:anchorId="0CBE5AF4" wp14:editId="75BC82C0">
            <wp:simplePos x="0" y="0"/>
            <wp:positionH relativeFrom="margin">
              <wp:align>right</wp:align>
            </wp:positionH>
            <wp:positionV relativeFrom="paragraph">
              <wp:posOffset>189230</wp:posOffset>
            </wp:positionV>
            <wp:extent cx="6048375" cy="4205382"/>
            <wp:effectExtent l="0" t="0" r="0" b="5080"/>
            <wp:wrapTight wrapText="bothSides">
              <wp:wrapPolygon edited="0">
                <wp:start x="0" y="0"/>
                <wp:lineTo x="0" y="21528"/>
                <wp:lineTo x="21498" y="21528"/>
                <wp:lineTo x="21498" y="0"/>
                <wp:lineTo x="0" y="0"/>
              </wp:wrapPolygon>
            </wp:wrapTight>
            <wp:docPr id="61" name="Picture 61" descr="Infographic showing coaching, advice and advocacy provided under the domains of social and community connections, health and wellbeing, education and training, employment and income and housing and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6048375" cy="4205382"/>
                    </a:xfrm>
                    <a:prstGeom prst="rect">
                      <a:avLst/>
                    </a:prstGeom>
                  </pic:spPr>
                </pic:pic>
              </a:graphicData>
            </a:graphic>
          </wp:anchor>
        </w:drawing>
      </w:r>
      <w:r w:rsidRPr="0000085C">
        <w:rPr>
          <w:b/>
        </w:rPr>
        <w:t xml:space="preserve">Figure </w:t>
      </w:r>
      <w:r w:rsidR="003F62EA" w:rsidRPr="0000085C">
        <w:rPr>
          <w:b/>
        </w:rPr>
        <w:t>9</w:t>
      </w:r>
      <w:r w:rsidRPr="0000085C">
        <w:rPr>
          <w:b/>
        </w:rPr>
        <w:t xml:space="preserve">. Supports provided to clients working with </w:t>
      </w:r>
      <w:r w:rsidR="00577CAE">
        <w:rPr>
          <w:b/>
        </w:rPr>
        <w:t>Connections</w:t>
      </w:r>
      <w:r w:rsidRPr="0000085C">
        <w:rPr>
          <w:b/>
        </w:rPr>
        <w:t xml:space="preserve"> Coaches</w:t>
      </w:r>
    </w:p>
    <w:p w14:paraId="3749FA02" w14:textId="7A890F85" w:rsidR="004A56E0" w:rsidRPr="0000085C" w:rsidRDefault="004A56E0">
      <w:pPr>
        <w:widowControl/>
        <w:autoSpaceDE/>
        <w:autoSpaceDN/>
        <w:spacing w:before="0" w:after="160" w:line="259" w:lineRule="auto"/>
        <w:rPr>
          <w:b/>
          <w:bCs/>
          <w:color w:val="auto"/>
          <w:spacing w:val="-2"/>
          <w:sz w:val="36"/>
          <w:szCs w:val="36"/>
        </w:rPr>
      </w:pPr>
      <w:bookmarkStart w:id="30" w:name="_Hlk178861101"/>
      <w:bookmarkEnd w:id="6"/>
      <w:r w:rsidRPr="0000085C">
        <w:rPr>
          <w:b/>
          <w:bCs/>
          <w:color w:val="auto"/>
          <w:spacing w:val="-2"/>
          <w:sz w:val="36"/>
          <w:szCs w:val="36"/>
        </w:rPr>
        <w:br w:type="page"/>
      </w:r>
    </w:p>
    <w:p w14:paraId="7725498A" w14:textId="7E66D23B" w:rsidR="005C584D" w:rsidRPr="0000085C" w:rsidRDefault="004A56E0">
      <w:pPr>
        <w:spacing w:before="0" w:after="0"/>
        <w:rPr>
          <w:b/>
          <w:bCs/>
          <w:color w:val="auto"/>
          <w:spacing w:val="-2"/>
          <w:sz w:val="36"/>
          <w:szCs w:val="36"/>
        </w:rPr>
      </w:pPr>
      <w:r w:rsidRPr="00133398">
        <w:rPr>
          <w:b/>
          <w:bCs/>
          <w:noProof/>
          <w:color w:val="auto"/>
          <w:spacing w:val="-2"/>
          <w:sz w:val="36"/>
          <w:szCs w:val="36"/>
          <w14:ligatures w14:val="standardContextual"/>
        </w:rPr>
        <w:lastRenderedPageBreak/>
        <mc:AlternateContent>
          <mc:Choice Requires="wps">
            <w:drawing>
              <wp:anchor distT="0" distB="0" distL="114300" distR="114300" simplePos="0" relativeHeight="251658261" behindDoc="0" locked="0" layoutInCell="1" allowOverlap="1" wp14:anchorId="499C1426" wp14:editId="1460F1B2">
                <wp:simplePos x="0" y="0"/>
                <wp:positionH relativeFrom="column">
                  <wp:posOffset>58420</wp:posOffset>
                </wp:positionH>
                <wp:positionV relativeFrom="paragraph">
                  <wp:posOffset>17780</wp:posOffset>
                </wp:positionV>
                <wp:extent cx="6502400" cy="5210175"/>
                <wp:effectExtent l="0" t="0" r="0" b="9525"/>
                <wp:wrapNone/>
                <wp:docPr id="1255828533" name="Rectangle 25"/>
                <wp:cNvGraphicFramePr/>
                <a:graphic xmlns:a="http://schemas.openxmlformats.org/drawingml/2006/main">
                  <a:graphicData uri="http://schemas.microsoft.com/office/word/2010/wordprocessingShape">
                    <wps:wsp>
                      <wps:cNvSpPr/>
                      <wps:spPr>
                        <a:xfrm>
                          <a:off x="0" y="0"/>
                          <a:ext cx="6502400" cy="521017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764902" w14:textId="5C2EA7CA" w:rsidR="0092120B" w:rsidRPr="0000085C" w:rsidRDefault="0092120B" w:rsidP="00D87945">
                            <w:pPr>
                              <w:pStyle w:val="Breakout"/>
                            </w:pPr>
                            <w:r w:rsidRPr="0000085C">
                              <w:t>John maps his pathway for the future</w:t>
                            </w:r>
                          </w:p>
                          <w:p w14:paraId="4995F682" w14:textId="1EB6BC39" w:rsidR="004A56E0" w:rsidRPr="0000085C" w:rsidRDefault="004A56E0" w:rsidP="000846B2">
                            <w:pPr>
                              <w:spacing w:line="259" w:lineRule="auto"/>
                            </w:pPr>
                            <w:r w:rsidRPr="0000085C">
                              <w:t xml:space="preserve">Late one Friday afternoon, John walked into the Housing Connect Front Door. He had never contacted Housing Connect before and was able to see a </w:t>
                            </w:r>
                            <w:r w:rsidR="00577CAE">
                              <w:t>Connections</w:t>
                            </w:r>
                            <w:r w:rsidRPr="0000085C">
                              <w:t xml:space="preserve"> Coach straight away.</w:t>
                            </w:r>
                          </w:p>
                          <w:p w14:paraId="191EA61B" w14:textId="787CE56E" w:rsidR="004A56E0" w:rsidRPr="0000085C" w:rsidRDefault="004A56E0" w:rsidP="004A56E0">
                            <w:pPr>
                              <w:spacing w:line="259" w:lineRule="auto"/>
                            </w:pPr>
                            <w:r w:rsidRPr="0000085C">
                              <w:t xml:space="preserve">John told </w:t>
                            </w:r>
                            <w:r w:rsidR="00976264" w:rsidRPr="0000085C">
                              <w:t xml:space="preserve">the </w:t>
                            </w:r>
                            <w:r w:rsidR="00577CAE">
                              <w:t>Connections</w:t>
                            </w:r>
                            <w:r w:rsidR="00976264" w:rsidRPr="0000085C">
                              <w:t xml:space="preserve"> Coach</w:t>
                            </w:r>
                            <w:r w:rsidR="0095072C" w:rsidRPr="0000085C">
                              <w:t xml:space="preserve"> that</w:t>
                            </w:r>
                            <w:r w:rsidRPr="0000085C">
                              <w:t xml:space="preserve"> he had recently split up with his fiancé</w:t>
                            </w:r>
                            <w:r w:rsidR="00CF2357">
                              <w:t>e</w:t>
                            </w:r>
                            <w:r w:rsidRPr="0000085C">
                              <w:t>, Bria. He d</w:t>
                            </w:r>
                            <w:r w:rsidR="004B1D2A" w:rsidRPr="0000085C">
                              <w:t>id</w:t>
                            </w:r>
                            <w:r w:rsidRPr="0000085C">
                              <w:t xml:space="preserve">n’t have anywhere to live and </w:t>
                            </w:r>
                            <w:r w:rsidR="00FE3D56" w:rsidRPr="0000085C">
                              <w:t>wa</w:t>
                            </w:r>
                            <w:r w:rsidRPr="0000085C">
                              <w:t>s couch surfing, apart from the occasional night when he stays at Bria’s place to look after their two young children. John opened up about his ongoing mental health issues and how he had previously worked as an apprentice chef, but struggled in the fast</w:t>
                            </w:r>
                            <w:r w:rsidR="00F971DD">
                              <w:t>-</w:t>
                            </w:r>
                            <w:r w:rsidRPr="0000085C">
                              <w:t>paced, high demand environment.</w:t>
                            </w:r>
                          </w:p>
                          <w:p w14:paraId="47D71B39" w14:textId="7CF9311B" w:rsidR="004A56E0" w:rsidRPr="0000085C" w:rsidRDefault="00C35FFF" w:rsidP="004A56E0">
                            <w:pPr>
                              <w:spacing w:line="259" w:lineRule="auto"/>
                            </w:pPr>
                            <w:r w:rsidRPr="0000085C">
                              <w:t>However, John</w:t>
                            </w:r>
                            <w:r w:rsidR="004A56E0" w:rsidRPr="0000085C">
                              <w:t xml:space="preserve"> was optimistic </w:t>
                            </w:r>
                            <w:r w:rsidRPr="0000085C">
                              <w:t>about</w:t>
                            </w:r>
                            <w:r w:rsidR="004A56E0" w:rsidRPr="0000085C">
                              <w:t xml:space="preserve"> the future. He told </w:t>
                            </w:r>
                            <w:r w:rsidR="000B0FCF" w:rsidRPr="0000085C">
                              <w:t xml:space="preserve">the </w:t>
                            </w:r>
                            <w:r w:rsidR="00577CAE">
                              <w:t>Connections</w:t>
                            </w:r>
                            <w:r w:rsidR="000B0FCF" w:rsidRPr="0000085C">
                              <w:t xml:space="preserve"> </w:t>
                            </w:r>
                            <w:r w:rsidR="00146F06" w:rsidRPr="0000085C">
                              <w:t>Coach</w:t>
                            </w:r>
                            <w:r w:rsidR="000B0FCF" w:rsidRPr="0000085C">
                              <w:t xml:space="preserve"> </w:t>
                            </w:r>
                            <w:r w:rsidR="004A56E0" w:rsidRPr="0000085C">
                              <w:t xml:space="preserve">about a documentary he had seen </w:t>
                            </w:r>
                            <w:r w:rsidR="000B0FCF" w:rsidRPr="0000085C">
                              <w:t>about an athlete</w:t>
                            </w:r>
                            <w:r w:rsidR="004A56E0" w:rsidRPr="0000085C">
                              <w:t xml:space="preserve"> who </w:t>
                            </w:r>
                            <w:r w:rsidRPr="0000085C">
                              <w:t>‘</w:t>
                            </w:r>
                            <w:r w:rsidR="004A56E0" w:rsidRPr="0000085C">
                              <w:t>came from nothing</w:t>
                            </w:r>
                            <w:r w:rsidRPr="0000085C">
                              <w:t>’</w:t>
                            </w:r>
                            <w:r w:rsidR="004A56E0" w:rsidRPr="0000085C">
                              <w:t xml:space="preserve"> and became quite successful. </w:t>
                            </w:r>
                            <w:r w:rsidR="00045DE1" w:rsidRPr="0000085C">
                              <w:t xml:space="preserve">It inspired </w:t>
                            </w:r>
                            <w:r w:rsidR="004A56E0" w:rsidRPr="0000085C">
                              <w:t xml:space="preserve">John to set some health and fitness goals. </w:t>
                            </w:r>
                          </w:p>
                          <w:p w14:paraId="223C2324" w14:textId="1EB8C6FA" w:rsidR="004A56E0" w:rsidRPr="0000085C" w:rsidRDefault="00C35FFF" w:rsidP="004A56E0">
                            <w:pPr>
                              <w:spacing w:line="259" w:lineRule="auto"/>
                            </w:pPr>
                            <w:r w:rsidRPr="0000085C">
                              <w:t xml:space="preserve">On Monday, </w:t>
                            </w:r>
                            <w:r w:rsidR="004A56E0" w:rsidRPr="0000085C">
                              <w:t xml:space="preserve">he and </w:t>
                            </w:r>
                            <w:r w:rsidR="008767A7" w:rsidRPr="0000085C">
                              <w:t xml:space="preserve">the </w:t>
                            </w:r>
                            <w:r w:rsidR="00577CAE">
                              <w:t>Connections</w:t>
                            </w:r>
                            <w:r w:rsidR="008767A7" w:rsidRPr="0000085C">
                              <w:t xml:space="preserve"> Coach</w:t>
                            </w:r>
                            <w:r w:rsidR="004A56E0" w:rsidRPr="0000085C">
                              <w:t xml:space="preserve"> looked up gyms in Hobart. They found one with an intro to boxing class and Housing Connect was able to fund a four-week trial for $100. They also researched some training and nutrition plans </w:t>
                            </w:r>
                            <w:r w:rsidR="006E5094" w:rsidRPr="0000085C">
                              <w:t xml:space="preserve">together </w:t>
                            </w:r>
                            <w:r w:rsidR="004A56E0" w:rsidRPr="0000085C">
                              <w:t xml:space="preserve">on the Australian Institute of Sport website. </w:t>
                            </w:r>
                          </w:p>
                          <w:p w14:paraId="1BBF8BE2" w14:textId="32F9DFD5" w:rsidR="0092120B" w:rsidRPr="0000085C" w:rsidRDefault="006E5094" w:rsidP="004A56E0">
                            <w:pPr>
                              <w:spacing w:line="259" w:lineRule="auto"/>
                            </w:pPr>
                            <w:r w:rsidRPr="0000085C">
                              <w:t xml:space="preserve">With his </w:t>
                            </w:r>
                            <w:r w:rsidR="00577CAE">
                              <w:t>Connections</w:t>
                            </w:r>
                            <w:r w:rsidRPr="0000085C">
                              <w:t xml:space="preserve"> Coach,</w:t>
                            </w:r>
                            <w:r w:rsidR="004A56E0" w:rsidRPr="0000085C">
                              <w:t xml:space="preserve"> John </w:t>
                            </w:r>
                            <w:r w:rsidR="003A3FFC" w:rsidRPr="0000085C">
                              <w:t>looked at</w:t>
                            </w:r>
                            <w:r w:rsidR="004A56E0" w:rsidRPr="0000085C">
                              <w:t xml:space="preserve"> share house options, </w:t>
                            </w:r>
                            <w:r w:rsidR="003A3FFC" w:rsidRPr="0000085C">
                              <w:t>to give</w:t>
                            </w:r>
                            <w:r w:rsidR="004A56E0" w:rsidRPr="0000085C">
                              <w:t xml:space="preserve"> </w:t>
                            </w:r>
                            <w:r w:rsidRPr="0000085C">
                              <w:t xml:space="preserve">him </w:t>
                            </w:r>
                            <w:r w:rsidR="004A56E0" w:rsidRPr="0000085C">
                              <w:t xml:space="preserve">a stable base before looking for a private rental where he could have split custody of his children. Private rental options, however, </w:t>
                            </w:r>
                            <w:r w:rsidR="003A3FFC" w:rsidRPr="0000085C">
                              <w:t>we</w:t>
                            </w:r>
                            <w:r w:rsidR="004A56E0" w:rsidRPr="0000085C">
                              <w:t xml:space="preserve">re out of reach </w:t>
                            </w:r>
                            <w:r w:rsidR="003A3FFC" w:rsidRPr="0000085C">
                              <w:t xml:space="preserve">for him </w:t>
                            </w:r>
                            <w:r w:rsidR="004A56E0" w:rsidRPr="0000085C">
                              <w:t>on Job</w:t>
                            </w:r>
                            <w:r w:rsidRPr="0000085C">
                              <w:t>S</w:t>
                            </w:r>
                            <w:r w:rsidR="004A56E0" w:rsidRPr="0000085C">
                              <w:t xml:space="preserve">eeker payment. </w:t>
                            </w:r>
                          </w:p>
                          <w:p w14:paraId="781CCFDA" w14:textId="7F5BAA2B" w:rsidR="004A56E0" w:rsidRPr="0000085C" w:rsidRDefault="00906C4F" w:rsidP="004A56E0">
                            <w:pPr>
                              <w:spacing w:line="259" w:lineRule="auto"/>
                            </w:pPr>
                            <w:r w:rsidRPr="0000085C">
                              <w:t xml:space="preserve">With support from the </w:t>
                            </w:r>
                            <w:r w:rsidR="00577CAE">
                              <w:t>Connections</w:t>
                            </w:r>
                            <w:r w:rsidRPr="0000085C">
                              <w:t xml:space="preserve"> Coach, John</w:t>
                            </w:r>
                            <w:r w:rsidR="005E52B4" w:rsidRPr="0000085C">
                              <w:t xml:space="preserve"> was successful in fin</w:t>
                            </w:r>
                            <w:r w:rsidR="00B67517" w:rsidRPr="0000085C">
                              <w:t>ding a casual job</w:t>
                            </w:r>
                            <w:r w:rsidR="0092120B" w:rsidRPr="0000085C">
                              <w:t xml:space="preserve"> </w:t>
                            </w:r>
                            <w:r w:rsidR="004A56E0" w:rsidRPr="0000085C">
                              <w:t xml:space="preserve">and </w:t>
                            </w:r>
                            <w:r w:rsidR="0092120B" w:rsidRPr="0000085C">
                              <w:t xml:space="preserve">worked his first </w:t>
                            </w:r>
                            <w:r w:rsidR="004A56E0" w:rsidRPr="0000085C">
                              <w:t xml:space="preserve">shift the following week. </w:t>
                            </w:r>
                          </w:p>
                          <w:p w14:paraId="045ECBBF" w14:textId="4FAA9BD6" w:rsidR="004A56E0" w:rsidRPr="0000085C" w:rsidRDefault="00C23E36" w:rsidP="004A56E0">
                            <w:pPr>
                              <w:spacing w:line="259" w:lineRule="auto"/>
                            </w:pPr>
                            <w:r w:rsidRPr="0000085C">
                              <w:t>He does not have housing yet</w:t>
                            </w:r>
                            <w:r w:rsidR="004A56E0" w:rsidRPr="0000085C">
                              <w:t xml:space="preserve">, but with support, John </w:t>
                            </w:r>
                            <w:r w:rsidR="003C1F91" w:rsidRPr="0000085C">
                              <w:t xml:space="preserve">is building </w:t>
                            </w:r>
                            <w:r w:rsidR="004A56E0" w:rsidRPr="0000085C">
                              <w:t xml:space="preserve">the foundations to get his life back on track. </w:t>
                            </w:r>
                          </w:p>
                          <w:p w14:paraId="75405341" w14:textId="77777777" w:rsidR="004A56E0" w:rsidRPr="0000085C" w:rsidRDefault="004A56E0" w:rsidP="004A56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C1426" id="Rectangle 25" o:spid="_x0000_s1040" style="position:absolute;margin-left:4.6pt;margin-top:1.4pt;width:512pt;height:410.2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" fillcolor="#e7e6e6 [3214]" stroked="f" strokeweight="1pt">
                <v:textbox>
                  <w:txbxContent>
                    <w:p w14:paraId="3F764902" w14:textId="5C2EA7CA" w:rsidR="0092120B" w:rsidRPr="0000085C" w:rsidRDefault="0092120B" w:rsidP="00D87945">
                      <w:pPr>
                        <w:pStyle w:val="Breakout"/>
                      </w:pPr>
                      <w:r w:rsidRPr="0000085C">
                        <w:t>John maps his pathway for the future</w:t>
                      </w:r>
                    </w:p>
                    <w:p w14:paraId="4995F682" w14:textId="1EB6BC39" w:rsidR="004A56E0" w:rsidRPr="0000085C" w:rsidRDefault="004A56E0" w:rsidP="000846B2">
                      <w:pPr>
                        <w:spacing w:line="259" w:lineRule="auto"/>
                      </w:pPr>
                      <w:r w:rsidRPr="0000085C">
                        <w:t xml:space="preserve">Late one Friday afternoon, John walked into the Housing Connect Front Door. He had never contacted Housing Connect before and was able to see a </w:t>
                      </w:r>
                      <w:r w:rsidR="00577CAE">
                        <w:t>Connections</w:t>
                      </w:r>
                      <w:r w:rsidRPr="0000085C">
                        <w:t xml:space="preserve"> Coach straight away.</w:t>
                      </w:r>
                    </w:p>
                    <w:p w14:paraId="191EA61B" w14:textId="787CE56E" w:rsidR="004A56E0" w:rsidRPr="0000085C" w:rsidRDefault="004A56E0" w:rsidP="004A56E0">
                      <w:pPr>
                        <w:spacing w:line="259" w:lineRule="auto"/>
                      </w:pPr>
                      <w:r w:rsidRPr="0000085C">
                        <w:t xml:space="preserve">John told </w:t>
                      </w:r>
                      <w:r w:rsidR="00976264" w:rsidRPr="0000085C">
                        <w:t xml:space="preserve">the </w:t>
                      </w:r>
                      <w:r w:rsidR="00577CAE">
                        <w:t>Connections</w:t>
                      </w:r>
                      <w:r w:rsidR="00976264" w:rsidRPr="0000085C">
                        <w:t xml:space="preserve"> Coach</w:t>
                      </w:r>
                      <w:r w:rsidR="0095072C" w:rsidRPr="0000085C">
                        <w:t xml:space="preserve"> that</w:t>
                      </w:r>
                      <w:r w:rsidRPr="0000085C">
                        <w:t xml:space="preserve"> he had recently split up with his fiancé</w:t>
                      </w:r>
                      <w:r w:rsidR="00CF2357">
                        <w:t>e</w:t>
                      </w:r>
                      <w:r w:rsidRPr="0000085C">
                        <w:t>, Bria. He d</w:t>
                      </w:r>
                      <w:r w:rsidR="004B1D2A" w:rsidRPr="0000085C">
                        <w:t>id</w:t>
                      </w:r>
                      <w:r w:rsidRPr="0000085C">
                        <w:t xml:space="preserve">n’t have anywhere to live and </w:t>
                      </w:r>
                      <w:r w:rsidR="00FE3D56" w:rsidRPr="0000085C">
                        <w:t>wa</w:t>
                      </w:r>
                      <w:r w:rsidRPr="0000085C">
                        <w:t>s couch surfing, apart from the occasional night when he stays at Bria’s place to look after their two young children. John opened up about his ongoing mental health issues and how he had previously worked as an apprentice chef, but struggled in the fast</w:t>
                      </w:r>
                      <w:r w:rsidR="00F971DD">
                        <w:t>-</w:t>
                      </w:r>
                      <w:r w:rsidRPr="0000085C">
                        <w:t>paced, high demand environment.</w:t>
                      </w:r>
                    </w:p>
                    <w:p w14:paraId="47D71B39" w14:textId="7CF9311B" w:rsidR="004A56E0" w:rsidRPr="0000085C" w:rsidRDefault="00C35FFF" w:rsidP="004A56E0">
                      <w:pPr>
                        <w:spacing w:line="259" w:lineRule="auto"/>
                      </w:pPr>
                      <w:r w:rsidRPr="0000085C">
                        <w:t>However, John</w:t>
                      </w:r>
                      <w:r w:rsidR="004A56E0" w:rsidRPr="0000085C">
                        <w:t xml:space="preserve"> was optimistic </w:t>
                      </w:r>
                      <w:r w:rsidRPr="0000085C">
                        <w:t>about</w:t>
                      </w:r>
                      <w:r w:rsidR="004A56E0" w:rsidRPr="0000085C">
                        <w:t xml:space="preserve"> the future. He told </w:t>
                      </w:r>
                      <w:r w:rsidR="000B0FCF" w:rsidRPr="0000085C">
                        <w:t xml:space="preserve">the </w:t>
                      </w:r>
                      <w:r w:rsidR="00577CAE">
                        <w:t>Connections</w:t>
                      </w:r>
                      <w:r w:rsidR="000B0FCF" w:rsidRPr="0000085C">
                        <w:t xml:space="preserve"> </w:t>
                      </w:r>
                      <w:r w:rsidR="00146F06" w:rsidRPr="0000085C">
                        <w:t>Coach</w:t>
                      </w:r>
                      <w:r w:rsidR="000B0FCF" w:rsidRPr="0000085C">
                        <w:t xml:space="preserve"> </w:t>
                      </w:r>
                      <w:r w:rsidR="004A56E0" w:rsidRPr="0000085C">
                        <w:t xml:space="preserve">about a documentary he had seen </w:t>
                      </w:r>
                      <w:r w:rsidR="000B0FCF" w:rsidRPr="0000085C">
                        <w:t>about an athlete</w:t>
                      </w:r>
                      <w:r w:rsidR="004A56E0" w:rsidRPr="0000085C">
                        <w:t xml:space="preserve"> who </w:t>
                      </w:r>
                      <w:r w:rsidRPr="0000085C">
                        <w:t>‘</w:t>
                      </w:r>
                      <w:r w:rsidR="004A56E0" w:rsidRPr="0000085C">
                        <w:t>came from nothing</w:t>
                      </w:r>
                      <w:r w:rsidRPr="0000085C">
                        <w:t>’</w:t>
                      </w:r>
                      <w:r w:rsidR="004A56E0" w:rsidRPr="0000085C">
                        <w:t xml:space="preserve"> and became quite successful. </w:t>
                      </w:r>
                      <w:r w:rsidR="00045DE1" w:rsidRPr="0000085C">
                        <w:t xml:space="preserve">It inspired </w:t>
                      </w:r>
                      <w:r w:rsidR="004A56E0" w:rsidRPr="0000085C">
                        <w:t xml:space="preserve">John to set some health and fitness goals. </w:t>
                      </w:r>
                    </w:p>
                    <w:p w14:paraId="223C2324" w14:textId="1EB8C6FA" w:rsidR="004A56E0" w:rsidRPr="0000085C" w:rsidRDefault="00C35FFF" w:rsidP="004A56E0">
                      <w:pPr>
                        <w:spacing w:line="259" w:lineRule="auto"/>
                      </w:pPr>
                      <w:r w:rsidRPr="0000085C">
                        <w:t xml:space="preserve">On Monday, </w:t>
                      </w:r>
                      <w:r w:rsidR="004A56E0" w:rsidRPr="0000085C">
                        <w:t xml:space="preserve">he and </w:t>
                      </w:r>
                      <w:r w:rsidR="008767A7" w:rsidRPr="0000085C">
                        <w:t xml:space="preserve">the </w:t>
                      </w:r>
                      <w:r w:rsidR="00577CAE">
                        <w:t>Connections</w:t>
                      </w:r>
                      <w:r w:rsidR="008767A7" w:rsidRPr="0000085C">
                        <w:t xml:space="preserve"> Coach</w:t>
                      </w:r>
                      <w:r w:rsidR="004A56E0" w:rsidRPr="0000085C">
                        <w:t xml:space="preserve"> looked up gyms in Hobart. They found one with an intro to boxing class and Housing Connect was able to fund a four-week trial for $100. They also researched some training and nutrition plans </w:t>
                      </w:r>
                      <w:r w:rsidR="006E5094" w:rsidRPr="0000085C">
                        <w:t xml:space="preserve">together </w:t>
                      </w:r>
                      <w:r w:rsidR="004A56E0" w:rsidRPr="0000085C">
                        <w:t xml:space="preserve">on the Australian Institute of Sport website. </w:t>
                      </w:r>
                    </w:p>
                    <w:p w14:paraId="1BBF8BE2" w14:textId="32F9DFD5" w:rsidR="0092120B" w:rsidRPr="0000085C" w:rsidRDefault="006E5094" w:rsidP="004A56E0">
                      <w:pPr>
                        <w:spacing w:line="259" w:lineRule="auto"/>
                      </w:pPr>
                      <w:r w:rsidRPr="0000085C">
                        <w:t xml:space="preserve">With his </w:t>
                      </w:r>
                      <w:r w:rsidR="00577CAE">
                        <w:t>Connections</w:t>
                      </w:r>
                      <w:r w:rsidRPr="0000085C">
                        <w:t xml:space="preserve"> Coach,</w:t>
                      </w:r>
                      <w:r w:rsidR="004A56E0" w:rsidRPr="0000085C">
                        <w:t xml:space="preserve"> John </w:t>
                      </w:r>
                      <w:r w:rsidR="003A3FFC" w:rsidRPr="0000085C">
                        <w:t>looked at</w:t>
                      </w:r>
                      <w:r w:rsidR="004A56E0" w:rsidRPr="0000085C">
                        <w:t xml:space="preserve"> share house options, </w:t>
                      </w:r>
                      <w:r w:rsidR="003A3FFC" w:rsidRPr="0000085C">
                        <w:t>to give</w:t>
                      </w:r>
                      <w:r w:rsidR="004A56E0" w:rsidRPr="0000085C">
                        <w:t xml:space="preserve"> </w:t>
                      </w:r>
                      <w:r w:rsidRPr="0000085C">
                        <w:t xml:space="preserve">him </w:t>
                      </w:r>
                      <w:r w:rsidR="004A56E0" w:rsidRPr="0000085C">
                        <w:t xml:space="preserve">a stable base before looking for a private rental where he could have split custody of his children. Private rental options, however, </w:t>
                      </w:r>
                      <w:r w:rsidR="003A3FFC" w:rsidRPr="0000085C">
                        <w:t>we</w:t>
                      </w:r>
                      <w:r w:rsidR="004A56E0" w:rsidRPr="0000085C">
                        <w:t xml:space="preserve">re out of reach </w:t>
                      </w:r>
                      <w:r w:rsidR="003A3FFC" w:rsidRPr="0000085C">
                        <w:t xml:space="preserve">for him </w:t>
                      </w:r>
                      <w:r w:rsidR="004A56E0" w:rsidRPr="0000085C">
                        <w:t>on Job</w:t>
                      </w:r>
                      <w:r w:rsidRPr="0000085C">
                        <w:t>S</w:t>
                      </w:r>
                      <w:r w:rsidR="004A56E0" w:rsidRPr="0000085C">
                        <w:t xml:space="preserve">eeker payment. </w:t>
                      </w:r>
                    </w:p>
                    <w:p w14:paraId="781CCFDA" w14:textId="7F5BAA2B" w:rsidR="004A56E0" w:rsidRPr="0000085C" w:rsidRDefault="00906C4F" w:rsidP="004A56E0">
                      <w:pPr>
                        <w:spacing w:line="259" w:lineRule="auto"/>
                      </w:pPr>
                      <w:r w:rsidRPr="0000085C">
                        <w:t xml:space="preserve">With support from the </w:t>
                      </w:r>
                      <w:r w:rsidR="00577CAE">
                        <w:t>Connections</w:t>
                      </w:r>
                      <w:r w:rsidRPr="0000085C">
                        <w:t xml:space="preserve"> Coach, John</w:t>
                      </w:r>
                      <w:r w:rsidR="005E52B4" w:rsidRPr="0000085C">
                        <w:t xml:space="preserve"> was successful in fin</w:t>
                      </w:r>
                      <w:r w:rsidR="00B67517" w:rsidRPr="0000085C">
                        <w:t>ding a casual job</w:t>
                      </w:r>
                      <w:r w:rsidR="0092120B" w:rsidRPr="0000085C">
                        <w:t xml:space="preserve"> </w:t>
                      </w:r>
                      <w:r w:rsidR="004A56E0" w:rsidRPr="0000085C">
                        <w:t xml:space="preserve">and </w:t>
                      </w:r>
                      <w:r w:rsidR="0092120B" w:rsidRPr="0000085C">
                        <w:t xml:space="preserve">worked his first </w:t>
                      </w:r>
                      <w:r w:rsidR="004A56E0" w:rsidRPr="0000085C">
                        <w:t xml:space="preserve">shift the following week. </w:t>
                      </w:r>
                    </w:p>
                    <w:p w14:paraId="045ECBBF" w14:textId="4FAA9BD6" w:rsidR="004A56E0" w:rsidRPr="0000085C" w:rsidRDefault="00C23E36" w:rsidP="004A56E0">
                      <w:pPr>
                        <w:spacing w:line="259" w:lineRule="auto"/>
                      </w:pPr>
                      <w:r w:rsidRPr="0000085C">
                        <w:t>He does not have housing yet</w:t>
                      </w:r>
                      <w:r w:rsidR="004A56E0" w:rsidRPr="0000085C">
                        <w:t xml:space="preserve">, but with support, John </w:t>
                      </w:r>
                      <w:r w:rsidR="003C1F91" w:rsidRPr="0000085C">
                        <w:t xml:space="preserve">is building </w:t>
                      </w:r>
                      <w:r w:rsidR="004A56E0" w:rsidRPr="0000085C">
                        <w:t xml:space="preserve">the foundations to get his life back on track. </w:t>
                      </w:r>
                    </w:p>
                    <w:p w14:paraId="75405341" w14:textId="77777777" w:rsidR="004A56E0" w:rsidRPr="0000085C" w:rsidRDefault="004A56E0" w:rsidP="004A56E0">
                      <w:pPr>
                        <w:jc w:val="center"/>
                      </w:pPr>
                    </w:p>
                  </w:txbxContent>
                </v:textbox>
              </v:rect>
            </w:pict>
          </mc:Fallback>
        </mc:AlternateContent>
      </w:r>
    </w:p>
    <w:p w14:paraId="2C08F4D2" w14:textId="77777777" w:rsidR="005C584D" w:rsidRPr="0000085C" w:rsidRDefault="005C584D">
      <w:pPr>
        <w:spacing w:before="0" w:after="0"/>
        <w:rPr>
          <w:color w:val="auto"/>
          <w:spacing w:val="-2"/>
          <w:sz w:val="16"/>
          <w:szCs w:val="16"/>
        </w:rPr>
      </w:pPr>
    </w:p>
    <w:p w14:paraId="6EA4EAD0" w14:textId="77777777" w:rsidR="005C584D" w:rsidRPr="0000085C" w:rsidRDefault="005C584D" w:rsidP="00E509D2">
      <w:pPr>
        <w:rPr>
          <w:sz w:val="16"/>
          <w:szCs w:val="16"/>
        </w:rPr>
        <w:sectPr w:rsidR="005C584D" w:rsidRPr="0000085C" w:rsidSect="005C584D">
          <w:footnotePr>
            <w:numRestart w:val="eachPage"/>
          </w:footnotePr>
          <w:type w:val="continuous"/>
          <w:pgSz w:w="11910" w:h="16840"/>
          <w:pgMar w:top="1922" w:right="1077" w:bottom="0" w:left="958" w:header="720" w:footer="720" w:gutter="0"/>
          <w:cols w:space="720"/>
          <w:titlePg/>
          <w:docGrid w:linePitch="326"/>
        </w:sectPr>
      </w:pPr>
    </w:p>
    <w:p w14:paraId="47D11530" w14:textId="1882FE8D" w:rsidR="005C584D" w:rsidRPr="00133398" w:rsidRDefault="001E1AE9" w:rsidP="00FC111E">
      <w:pPr>
        <w:pStyle w:val="Heading2"/>
      </w:pPr>
      <w:bookmarkStart w:id="31" w:name="_Toc198823110"/>
      <w:bookmarkEnd w:id="30"/>
      <w:r w:rsidRPr="00FC111E">
        <w:lastRenderedPageBreak/>
        <w:t>Housing</w:t>
      </w:r>
      <w:bookmarkEnd w:id="31"/>
    </w:p>
    <w:p w14:paraId="67786009" w14:textId="77777777" w:rsidR="00591728" w:rsidRPr="00133398" w:rsidRDefault="00591728" w:rsidP="00591728">
      <w:pPr>
        <w:pStyle w:val="TOCHeading"/>
        <w:rPr>
          <w:rStyle w:val="Strong"/>
          <w:b/>
          <w:bCs/>
          <w:lang w:val="en-GB"/>
        </w:rPr>
      </w:pPr>
      <w:r w:rsidRPr="00133398">
        <w:rPr>
          <w:rStyle w:val="Strong"/>
          <w:lang w:val="en-GB"/>
        </w:rPr>
        <w:t>In the March quarter, long-term housing remains the primary need of most Front Door clients and in 78% of cases this need remained unmet.</w:t>
      </w:r>
    </w:p>
    <w:p w14:paraId="67A2723B" w14:textId="292782F9" w:rsidR="005D5870" w:rsidRPr="0000085C" w:rsidRDefault="001B1132" w:rsidP="00E509D2">
      <w:r w:rsidRPr="0000085C">
        <w:t>Compared to the December quarter, the number of clients needing long-term housing increased and the capacity to meet those needs did not.</w:t>
      </w:r>
    </w:p>
    <w:p w14:paraId="39388F18" w14:textId="710EC49F" w:rsidR="00E41329" w:rsidRPr="0000085C" w:rsidRDefault="009A79A8" w:rsidP="00ED4092">
      <w:pPr>
        <w:pStyle w:val="ListParagraph"/>
      </w:pPr>
      <w:r w:rsidRPr="0000085C">
        <w:t xml:space="preserve">874 clients needed long-term housing, </w:t>
      </w:r>
      <w:r w:rsidR="00ED4092">
        <w:t xml:space="preserve">up </w:t>
      </w:r>
      <w:r w:rsidRPr="0000085C">
        <w:t>7%</w:t>
      </w:r>
    </w:p>
    <w:p w14:paraId="7BED5905" w14:textId="67C6263A" w:rsidR="001B1132" w:rsidRPr="0000085C" w:rsidRDefault="001B1132" w:rsidP="00ED4092">
      <w:pPr>
        <w:pStyle w:val="ListParagraph"/>
      </w:pPr>
      <w:r w:rsidRPr="0000085C">
        <w:t xml:space="preserve">682 clients had unmet needs for long-term housing at the end of their support period, </w:t>
      </w:r>
      <w:r w:rsidR="00ED4092">
        <w:t xml:space="preserve">up </w:t>
      </w:r>
      <w:r w:rsidRPr="0000085C">
        <w:t>10%</w:t>
      </w:r>
    </w:p>
    <w:p w14:paraId="1CD7E7B0" w14:textId="1F4ED1F0" w:rsidR="00527F53" w:rsidRPr="0000085C" w:rsidRDefault="00527F53" w:rsidP="00E509D2">
      <w:r w:rsidRPr="0000085C">
        <w:t>More social and affordable housing is needed to achieve better outcomes and a secure housing future for all Tasmanians.</w:t>
      </w:r>
      <w:r w:rsidR="00115E85" w:rsidRPr="0000085C">
        <w:t xml:space="preserve"> </w:t>
      </w:r>
    </w:p>
    <w:p w14:paraId="18F2B60F" w14:textId="463AFF27" w:rsidR="005C584D" w:rsidRPr="0000085C" w:rsidRDefault="00115E85" w:rsidP="00E509D2">
      <w:r w:rsidRPr="0000085C">
        <w:t>The</w:t>
      </w:r>
      <w:r w:rsidR="00527F53" w:rsidRPr="0000085C">
        <w:t xml:space="preserve"> Housing Connect Front Door </w:t>
      </w:r>
      <w:r w:rsidRPr="0000085C">
        <w:t xml:space="preserve">team </w:t>
      </w:r>
      <w:r w:rsidR="00F31D57" w:rsidRPr="0000085C">
        <w:t>work to achieve the best outcomes for clients that they can despite the continued lack of affordable housing and decreasing private rental affordability.</w:t>
      </w:r>
    </w:p>
    <w:p w14:paraId="483F6051" w14:textId="64A80384" w:rsidR="004E1F4D" w:rsidRPr="0000085C" w:rsidRDefault="00E579FA" w:rsidP="00E579FA">
      <w:r w:rsidRPr="0000085C">
        <w:t xml:space="preserve">Virtually all clients ended their support period with their housing tenure and type of dwelling at least ‘as good’ or ‘better than’ on presentation. </w:t>
      </w:r>
    </w:p>
    <w:p w14:paraId="7975A460" w14:textId="77777777" w:rsidR="00183C8C" w:rsidRPr="0000085C" w:rsidRDefault="00183C8C" w:rsidP="00183C8C">
      <w:r w:rsidRPr="0000085C">
        <w:t>Key outcomes achieved over client support periods include:</w:t>
      </w:r>
    </w:p>
    <w:p w14:paraId="312FEE16" w14:textId="6BDA8DE6" w:rsidR="00183C8C" w:rsidRPr="0000085C" w:rsidRDefault="00ED4092" w:rsidP="00ED4092">
      <w:pPr>
        <w:pStyle w:val="ListParagraph"/>
      </w:pPr>
      <w:r>
        <w:t>increase</w:t>
      </w:r>
      <w:r w:rsidR="00183C8C" w:rsidRPr="0000085C">
        <w:t xml:space="preserve"> in renters nominated on lease from 34% to 41%</w:t>
      </w:r>
      <w:r w:rsidR="00183C8C" w:rsidRPr="0000085C">
        <w:rPr>
          <w:rStyle w:val="FootnoteReference"/>
        </w:rPr>
        <w:footnoteReference w:id="5"/>
      </w:r>
    </w:p>
    <w:p w14:paraId="16CD9B89" w14:textId="5BFA445E" w:rsidR="00183C8C" w:rsidRPr="0000085C" w:rsidRDefault="00ED4092" w:rsidP="00ED4092">
      <w:pPr>
        <w:pStyle w:val="ListParagraph"/>
      </w:pPr>
      <w:r>
        <w:t>decrease</w:t>
      </w:r>
      <w:r w:rsidR="00183C8C" w:rsidRPr="0000085C">
        <w:t xml:space="preserve"> in people sleeping rough from 12% to 6% </w:t>
      </w:r>
    </w:p>
    <w:p w14:paraId="6C75ACDE" w14:textId="2D3F54B3" w:rsidR="00183C8C" w:rsidRPr="0000085C" w:rsidRDefault="00ED4092" w:rsidP="00ED4092">
      <w:pPr>
        <w:pStyle w:val="ListParagraph"/>
      </w:pPr>
      <w:r>
        <w:t>increase</w:t>
      </w:r>
      <w:r w:rsidR="00183C8C" w:rsidRPr="0000085C">
        <w:t xml:space="preserve"> in people accommodated in a house/townhouse/flat from 68% to 71%</w:t>
      </w:r>
    </w:p>
    <w:p w14:paraId="2C695633" w14:textId="2AD47D9F" w:rsidR="00183C8C" w:rsidRPr="0000085C" w:rsidRDefault="005F510E" w:rsidP="00FC111E">
      <w:pPr>
        <w:pStyle w:val="Heading3"/>
      </w:pPr>
      <w:r w:rsidRPr="0000085C">
        <w:t xml:space="preserve">Housing </w:t>
      </w:r>
      <w:r w:rsidRPr="00FC111E">
        <w:t>security</w:t>
      </w:r>
      <w:r w:rsidRPr="0000085C">
        <w:t xml:space="preserve"> and tenure</w:t>
      </w:r>
    </w:p>
    <w:p w14:paraId="4D541683" w14:textId="0DAC3D87" w:rsidR="00115E85" w:rsidRPr="0000085C" w:rsidRDefault="00F16857" w:rsidP="00E579FA">
      <w:r w:rsidRPr="0000085C">
        <w:t xml:space="preserve">Figure </w:t>
      </w:r>
      <w:r w:rsidR="005858B9" w:rsidRPr="0000085C">
        <w:t>10</w:t>
      </w:r>
      <w:r w:rsidRPr="0000085C">
        <w:t xml:space="preserve"> shows h</w:t>
      </w:r>
      <w:r w:rsidR="00115E85" w:rsidRPr="0000085C">
        <w:t xml:space="preserve">ousing tenure </w:t>
      </w:r>
      <w:r w:rsidRPr="0000085C">
        <w:t>at the start and end of the support period, which provides</w:t>
      </w:r>
      <w:r w:rsidR="00115E85" w:rsidRPr="0000085C">
        <w:t xml:space="preserve"> an indication of </w:t>
      </w:r>
      <w:r w:rsidRPr="0000085C">
        <w:t>the changes in</w:t>
      </w:r>
      <w:r w:rsidR="00115E85" w:rsidRPr="0000085C">
        <w:t xml:space="preserve"> housing security</w:t>
      </w:r>
      <w:r w:rsidRPr="0000085C">
        <w:t xml:space="preserve"> over the support period</w:t>
      </w:r>
      <w:r w:rsidR="00115E85" w:rsidRPr="0000085C">
        <w:t xml:space="preserve">. The chart shows </w:t>
      </w:r>
      <w:r w:rsidR="00C17111" w:rsidRPr="0000085C">
        <w:t xml:space="preserve">an increase </w:t>
      </w:r>
      <w:r w:rsidR="002A00C6">
        <w:t xml:space="preserve">in </w:t>
      </w:r>
      <w:r w:rsidR="00C17111" w:rsidRPr="0000085C">
        <w:t>a secure form of housing tenure (leased tenure – nominated on lease) and a decrease in the other forms of housing tenure</w:t>
      </w:r>
      <w:r w:rsidR="00183C8C" w:rsidRPr="0000085C">
        <w:t xml:space="preserve">, which </w:t>
      </w:r>
      <w:r w:rsidR="00C17111" w:rsidRPr="0000085C">
        <w:t>are generally less secure.</w:t>
      </w:r>
      <w:r w:rsidR="00946BA4">
        <w:t xml:space="preserve"> </w:t>
      </w:r>
      <w:r w:rsidR="00FB7F88">
        <w:t>Overall, a</w:t>
      </w:r>
      <w:r w:rsidR="00946BA4">
        <w:t xml:space="preserve">t the end of their support period, clients’ housing security was as good or better than </w:t>
      </w:r>
      <w:r w:rsidR="00FB7F88">
        <w:t>at the start.</w:t>
      </w:r>
      <w:r w:rsidR="00946BA4">
        <w:t xml:space="preserve"> </w:t>
      </w:r>
    </w:p>
    <w:p w14:paraId="40A6A590" w14:textId="77777777" w:rsidR="00E42A7D" w:rsidRDefault="00E42A7D">
      <w:pPr>
        <w:widowControl/>
        <w:autoSpaceDE/>
        <w:autoSpaceDN/>
        <w:spacing w:before="0" w:after="160" w:line="259" w:lineRule="auto"/>
        <w:rPr>
          <w:b/>
          <w:bCs/>
        </w:rPr>
      </w:pPr>
      <w:r>
        <w:rPr>
          <w:b/>
          <w:bCs/>
        </w:rPr>
        <w:br w:type="page"/>
      </w:r>
    </w:p>
    <w:p w14:paraId="45CEEB52" w14:textId="5A75BEE3" w:rsidR="00183C8C" w:rsidRPr="0000085C" w:rsidRDefault="00183C8C" w:rsidP="00E579FA">
      <w:pPr>
        <w:rPr>
          <w:b/>
          <w:bCs/>
        </w:rPr>
      </w:pPr>
      <w:r w:rsidRPr="0000085C">
        <w:rPr>
          <w:b/>
          <w:bCs/>
        </w:rPr>
        <w:lastRenderedPageBreak/>
        <w:t xml:space="preserve">Figure </w:t>
      </w:r>
      <w:r w:rsidR="00E3231E" w:rsidRPr="0000085C">
        <w:rPr>
          <w:b/>
          <w:bCs/>
        </w:rPr>
        <w:t>10</w:t>
      </w:r>
      <w:r w:rsidRPr="0000085C">
        <w:rPr>
          <w:b/>
          <w:bCs/>
        </w:rPr>
        <w:t xml:space="preserve">. Housing tenure at start and end of support periods, % of clients </w:t>
      </w:r>
      <w:r w:rsidR="002163B0">
        <w:rPr>
          <w:b/>
          <w:bCs/>
        </w:rPr>
        <w:t xml:space="preserve">January - </w:t>
      </w:r>
      <w:r w:rsidRPr="0000085C">
        <w:rPr>
          <w:b/>
          <w:bCs/>
        </w:rPr>
        <w:t>March 2025</w:t>
      </w:r>
    </w:p>
    <w:p w14:paraId="5388E73C" w14:textId="6C39F38C" w:rsidR="00183C8C" w:rsidRPr="0000085C" w:rsidRDefault="00FC712F" w:rsidP="00E579FA">
      <w:r>
        <w:rPr>
          <w:noProof/>
          <w14:ligatures w14:val="standardContextual"/>
        </w:rPr>
        <w:drawing>
          <wp:inline distT="0" distB="0" distL="0" distR="0" wp14:anchorId="06413913" wp14:editId="25032CE3">
            <wp:extent cx="6279515" cy="2881222"/>
            <wp:effectExtent l="0" t="0" r="6985" b="0"/>
            <wp:docPr id="1469422889" name="Chart 1" descr="Column graph start and end of support period for different tenure types. 34% started with leased tenure 40% and ended.  5% started not nominated on lease, and 3.6% ended.  16.2% started couch-surfing and 15.5% ended. 8.2% started boarding and 7.6% ended. 5.8% started living with relatives and 5.6% ended.">
              <a:extLst xmlns:a="http://schemas.openxmlformats.org/drawingml/2006/main">
                <a:ext uri="{FF2B5EF4-FFF2-40B4-BE49-F238E27FC236}">
                  <a16:creationId xmlns:a16="http://schemas.microsoft.com/office/drawing/2014/main" id="{9C04C8E0-22D4-5778-2FB6-5157373BA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E2C0A3B" w14:textId="580A0061" w:rsidR="00C17111" w:rsidRPr="0000085C" w:rsidRDefault="00F16857" w:rsidP="00E579FA">
      <w:r w:rsidRPr="0000085C">
        <w:t xml:space="preserve">Figure </w:t>
      </w:r>
      <w:r w:rsidR="005858B9" w:rsidRPr="0000085C">
        <w:t>11</w:t>
      </w:r>
      <w:r w:rsidRPr="0000085C">
        <w:t xml:space="preserve"> shows the </w:t>
      </w:r>
      <w:r w:rsidR="005F510E" w:rsidRPr="0000085C">
        <w:t>percentage of clients in different types of dwelling at the start and end of their support period.</w:t>
      </w:r>
      <w:r w:rsidR="005E0EBE" w:rsidRPr="0000085C">
        <w:t xml:space="preserve"> </w:t>
      </w:r>
      <w:r w:rsidR="005F510E" w:rsidRPr="0000085C">
        <w:t>The share of client</w:t>
      </w:r>
      <w:r w:rsidR="00D2782A">
        <w:t>s</w:t>
      </w:r>
      <w:r w:rsidR="005F510E" w:rsidRPr="0000085C">
        <w:t xml:space="preserve"> sleeping rough almost halved during their support period. The share of clients living in boarding houses also decreased. Over the course of support, the share of clients living in houses, caravans and emergency accommodation increased slightly. Taken together, these changes reflect an overall improvement in the housing situation of clients receiving support.</w:t>
      </w:r>
    </w:p>
    <w:p w14:paraId="6CC94B12" w14:textId="77777777" w:rsidR="005F510E" w:rsidRPr="0000085C" w:rsidRDefault="005F510E" w:rsidP="00E509D2">
      <w:pPr>
        <w:rPr>
          <w:b/>
        </w:rPr>
      </w:pPr>
    </w:p>
    <w:p w14:paraId="3BF96DA1" w14:textId="0A197133" w:rsidR="005C584D" w:rsidRPr="0000085C" w:rsidRDefault="005C584D" w:rsidP="00E509D2">
      <w:pPr>
        <w:rPr>
          <w:b/>
        </w:rPr>
      </w:pPr>
      <w:r w:rsidRPr="0000085C">
        <w:rPr>
          <w:b/>
        </w:rPr>
        <w:t xml:space="preserve">Figure </w:t>
      </w:r>
      <w:r w:rsidR="00E3231E" w:rsidRPr="0000085C">
        <w:rPr>
          <w:b/>
        </w:rPr>
        <w:t>11</w:t>
      </w:r>
      <w:r w:rsidRPr="0000085C">
        <w:rPr>
          <w:b/>
        </w:rPr>
        <w:t>. Type of dwelling at start and end of support</w:t>
      </w:r>
      <w:r w:rsidRPr="0000085C">
        <w:t xml:space="preserve"> </w:t>
      </w:r>
      <w:r w:rsidRPr="0000085C">
        <w:rPr>
          <w:b/>
        </w:rPr>
        <w:t>period</w:t>
      </w:r>
      <w:r w:rsidR="00616B76" w:rsidRPr="0000085C">
        <w:rPr>
          <w:b/>
        </w:rPr>
        <w:t>,</w:t>
      </w:r>
      <w:r w:rsidR="00CC1763" w:rsidRPr="0000085C">
        <w:rPr>
          <w:b/>
        </w:rPr>
        <w:t xml:space="preserve"> % of clients </w:t>
      </w:r>
      <w:r w:rsidR="002163B0">
        <w:rPr>
          <w:b/>
          <w:bCs/>
        </w:rPr>
        <w:t xml:space="preserve">January - </w:t>
      </w:r>
      <w:r w:rsidR="002163B0" w:rsidRPr="0000085C">
        <w:rPr>
          <w:b/>
          <w:bCs/>
        </w:rPr>
        <w:t>March 2025</w:t>
      </w:r>
    </w:p>
    <w:p w14:paraId="3D1BD592" w14:textId="64FFA018" w:rsidR="005F510E" w:rsidRPr="0000085C" w:rsidRDefault="00C31479" w:rsidP="000846B2">
      <w:pPr>
        <w:rPr>
          <w:rFonts w:ascii="Avenir Next Demi Bold" w:eastAsia="AvenirNextLTPro-Demi" w:hAnsi="Avenir Next Demi Bold" w:cs="AvenirNextLTPro-Demi"/>
          <w:b/>
          <w:color w:val="248EB9"/>
          <w:spacing w:val="-6"/>
          <w:sz w:val="36"/>
          <w:szCs w:val="36"/>
        </w:rPr>
      </w:pPr>
      <w:r>
        <w:rPr>
          <w:noProof/>
          <w14:ligatures w14:val="standardContextual"/>
        </w:rPr>
        <w:drawing>
          <wp:inline distT="0" distB="0" distL="0" distR="0" wp14:anchorId="3DAD9C86" wp14:editId="756B7420">
            <wp:extent cx="6318250" cy="3899139"/>
            <wp:effectExtent l="0" t="0" r="6350" b="6350"/>
            <wp:docPr id="501172702" name="Chart 1" descr="Column graph showing start and end of support period for different dwelling types. 68.4% started and 70.9% ended in a house or flat. 1.9% started and 3.2% ended in a caravan or boat. 8% started and 5.7% ended in a boarding house. 11.1% started and 12.1% ended in emergency accommodation. 11.8% started and 6% ended sleeping rough.">
              <a:extLst xmlns:a="http://schemas.openxmlformats.org/drawingml/2006/main">
                <a:ext uri="{FF2B5EF4-FFF2-40B4-BE49-F238E27FC236}">
                  <a16:creationId xmlns:a16="http://schemas.microsoft.com/office/drawing/2014/main" id="{9C2105A1-809A-792B-FA5E-491E3D68F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5F510E" w:rsidRPr="0000085C">
        <w:br w:type="page"/>
      </w:r>
    </w:p>
    <w:p w14:paraId="67E9B471" w14:textId="2A41BC54" w:rsidR="00491287" w:rsidRPr="0000085C" w:rsidRDefault="00491287">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r w:rsidRPr="00133398">
        <w:rPr>
          <w:noProof/>
          <w14:ligatures w14:val="standardContextual"/>
        </w:rPr>
        <w:lastRenderedPageBreak/>
        <mc:AlternateContent>
          <mc:Choice Requires="wps">
            <w:drawing>
              <wp:anchor distT="0" distB="0" distL="114300" distR="114300" simplePos="0" relativeHeight="251658262" behindDoc="0" locked="0" layoutInCell="1" allowOverlap="1" wp14:anchorId="36E299F7" wp14:editId="3E344150">
                <wp:simplePos x="0" y="0"/>
                <wp:positionH relativeFrom="margin">
                  <wp:align>left</wp:align>
                </wp:positionH>
                <wp:positionV relativeFrom="paragraph">
                  <wp:posOffset>0</wp:posOffset>
                </wp:positionV>
                <wp:extent cx="6445250" cy="4908430"/>
                <wp:effectExtent l="0" t="0" r="0" b="6985"/>
                <wp:wrapNone/>
                <wp:docPr id="1265614760" name="Rectangle 26"/>
                <wp:cNvGraphicFramePr/>
                <a:graphic xmlns:a="http://schemas.openxmlformats.org/drawingml/2006/main">
                  <a:graphicData uri="http://schemas.microsoft.com/office/word/2010/wordprocessingShape">
                    <wps:wsp>
                      <wps:cNvSpPr/>
                      <wps:spPr>
                        <a:xfrm>
                          <a:off x="0" y="0"/>
                          <a:ext cx="6445250" cy="490843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40A98A" w14:textId="21613DE0" w:rsidR="00D61B1E" w:rsidRPr="0000085C" w:rsidRDefault="0072050C" w:rsidP="00D87945">
                            <w:pPr>
                              <w:pStyle w:val="Breakout"/>
                            </w:pPr>
                            <w:r w:rsidRPr="0000085C">
                              <w:t>There is no such thing as ‘just leaving’</w:t>
                            </w:r>
                          </w:p>
                          <w:p w14:paraId="6186DF12" w14:textId="1496C8F3" w:rsidR="00D61B1E" w:rsidRPr="0000085C" w:rsidRDefault="00D61B1E" w:rsidP="00491287">
                            <w:r w:rsidRPr="0000085C">
                              <w:t xml:space="preserve">Since leaving her husband to escape domestic violence, Michelle </w:t>
                            </w:r>
                            <w:r w:rsidR="00491287" w:rsidRPr="0000085C">
                              <w:t xml:space="preserve">has faced obstacle after obstacle </w:t>
                            </w:r>
                            <w:r w:rsidRPr="0000085C">
                              <w:t xml:space="preserve">for over a year now and she and her </w:t>
                            </w:r>
                            <w:r w:rsidR="003722B4" w:rsidRPr="0000085C">
                              <w:t xml:space="preserve">five children </w:t>
                            </w:r>
                            <w:r w:rsidRPr="0000085C">
                              <w:t>still don’t have a safe, secure place to live as a family.</w:t>
                            </w:r>
                          </w:p>
                          <w:p w14:paraId="7BEA736B" w14:textId="709C09E2" w:rsidR="00D61B1E" w:rsidRPr="0000085C" w:rsidRDefault="00D61B1E" w:rsidP="00491287">
                            <w:r w:rsidRPr="0000085C">
                              <w:t xml:space="preserve">Her ex-husband has continued to threaten her safety and security. She </w:t>
                            </w:r>
                            <w:r w:rsidR="006B3419" w:rsidRPr="0000085C">
                              <w:t>battled</w:t>
                            </w:r>
                            <w:r w:rsidRPr="0000085C">
                              <w:t xml:space="preserve"> him through the courts: first in relation to domestic violence, then for custody of the kids, and now for child support. He has stalked her</w:t>
                            </w:r>
                            <w:r w:rsidR="006B3419" w:rsidRPr="0000085C">
                              <w:t xml:space="preserve"> and</w:t>
                            </w:r>
                            <w:r w:rsidRPr="0000085C">
                              <w:t xml:space="preserve"> damaged her car</w:t>
                            </w:r>
                            <w:r w:rsidR="006B3419" w:rsidRPr="0000085C">
                              <w:t xml:space="preserve">. He </w:t>
                            </w:r>
                            <w:r w:rsidR="0072050C" w:rsidRPr="0000085C">
                              <w:t>jeopardised</w:t>
                            </w:r>
                            <w:r w:rsidR="006B3419" w:rsidRPr="0000085C">
                              <w:t xml:space="preserve"> her employment by </w:t>
                            </w:r>
                            <w:r w:rsidR="0072050C" w:rsidRPr="0000085C">
                              <w:t>coming to her workplace where he engaged in</w:t>
                            </w:r>
                            <w:r w:rsidR="006B3419" w:rsidRPr="0000085C">
                              <w:t xml:space="preserve"> conflict. Michelle </w:t>
                            </w:r>
                            <w:r w:rsidR="0072050C" w:rsidRPr="0000085C">
                              <w:t xml:space="preserve">has now </w:t>
                            </w:r>
                            <w:r w:rsidR="006B3419" w:rsidRPr="0000085C">
                              <w:t>lost her job</w:t>
                            </w:r>
                            <w:r w:rsidR="0072050C" w:rsidRPr="0000085C">
                              <w:t>, lives in constant fear for her safety and has experienced a decline in her mental health.</w:t>
                            </w:r>
                          </w:p>
                          <w:p w14:paraId="26BB1FD2" w14:textId="1991CAB4" w:rsidR="00491287" w:rsidRPr="0000085C" w:rsidRDefault="006B3419" w:rsidP="00491287">
                            <w:r w:rsidRPr="0000085C">
                              <w:t xml:space="preserve">Michelle is not going back but she hasn’t been able to find anywhere for her family to live together. She and the younger children eventually secured accommodation at a women’s shelter. However, her sons who are over 16 are not </w:t>
                            </w:r>
                            <w:r w:rsidR="00491287" w:rsidRPr="0000085C">
                              <w:t xml:space="preserve">allowed to stay at </w:t>
                            </w:r>
                            <w:r w:rsidRPr="0000085C">
                              <w:t xml:space="preserve">the shelter with Michelle and </w:t>
                            </w:r>
                            <w:r w:rsidR="0072050C" w:rsidRPr="0000085C">
                              <w:t>are</w:t>
                            </w:r>
                            <w:r w:rsidRPr="0000085C">
                              <w:t xml:space="preserve"> couch-surf</w:t>
                            </w:r>
                            <w:r w:rsidR="0072050C" w:rsidRPr="0000085C">
                              <w:t>ing</w:t>
                            </w:r>
                            <w:r w:rsidRPr="0000085C">
                              <w:t>.</w:t>
                            </w:r>
                            <w:r w:rsidR="00E6440B" w:rsidRPr="0000085C">
                              <w:t xml:space="preserve"> The situation </w:t>
                            </w:r>
                            <w:r w:rsidRPr="0000085C">
                              <w:t xml:space="preserve">is not ideal for her three younger children </w:t>
                            </w:r>
                            <w:r w:rsidR="00E6440B" w:rsidRPr="0000085C">
                              <w:t xml:space="preserve">either because the family is </w:t>
                            </w:r>
                            <w:r w:rsidR="0067735A" w:rsidRPr="0000085C">
                              <w:t>separated,</w:t>
                            </w:r>
                            <w:r w:rsidR="00E6440B" w:rsidRPr="0000085C">
                              <w:t xml:space="preserve"> they are unable to have friends to </w:t>
                            </w:r>
                            <w:r w:rsidR="00EF79BB" w:rsidRPr="0000085C">
                              <w:t>stay,</w:t>
                            </w:r>
                            <w:r w:rsidR="0072050C" w:rsidRPr="0000085C">
                              <w:t xml:space="preserve"> and they are not sure how long they will be going to their current school</w:t>
                            </w:r>
                            <w:r w:rsidR="00E6440B" w:rsidRPr="0000085C">
                              <w:t>.</w:t>
                            </w:r>
                          </w:p>
                          <w:p w14:paraId="7A184BDC" w14:textId="475D4D7C" w:rsidR="00E6440B" w:rsidRPr="0000085C" w:rsidRDefault="00491287" w:rsidP="00E6440B">
                            <w:r w:rsidRPr="0000085C">
                              <w:t xml:space="preserve">Michelle says the staff </w:t>
                            </w:r>
                            <w:r w:rsidR="0067735A" w:rsidRPr="0000085C">
                              <w:t>a</w:t>
                            </w:r>
                            <w:r w:rsidRPr="0000085C">
                              <w:t>re amazing</w:t>
                            </w:r>
                            <w:r w:rsidR="0067735A" w:rsidRPr="0000085C">
                              <w:t xml:space="preserve"> and supportive</w:t>
                            </w:r>
                            <w:r w:rsidR="00E6440B" w:rsidRPr="0000085C">
                              <w:t xml:space="preserve"> but </w:t>
                            </w:r>
                            <w:r w:rsidR="0072050C" w:rsidRPr="0000085C">
                              <w:t>living in the shelter</w:t>
                            </w:r>
                            <w:r w:rsidR="0067735A" w:rsidRPr="0000085C">
                              <w:t xml:space="preserve"> is not without its</w:t>
                            </w:r>
                            <w:r w:rsidR="00E6440B" w:rsidRPr="0000085C">
                              <w:t xml:space="preserve"> challenges.</w:t>
                            </w:r>
                            <w:r w:rsidRPr="0000085C">
                              <w:t xml:space="preserve"> She spent most of her crisis payment on kitchen things so she can cook </w:t>
                            </w:r>
                            <w:r w:rsidR="00E6440B" w:rsidRPr="0000085C">
                              <w:t>meals for the family rather than heating pre-prepared meals.</w:t>
                            </w:r>
                            <w:r w:rsidRPr="0000085C">
                              <w:t xml:space="preserve"> </w:t>
                            </w:r>
                          </w:p>
                          <w:p w14:paraId="73C0707C" w14:textId="7F1DD0B0" w:rsidR="00491287" w:rsidRPr="0000085C" w:rsidRDefault="00E6440B" w:rsidP="00E6440B">
                            <w:r w:rsidRPr="0000085C">
                              <w:t xml:space="preserve">Security is a key consideration for Michelle and the shelter provides excellent </w:t>
                            </w:r>
                            <w:r w:rsidR="00491287" w:rsidRPr="0000085C">
                              <w:t>security</w:t>
                            </w:r>
                            <w:r w:rsidRPr="0000085C">
                              <w:t xml:space="preserve">. </w:t>
                            </w:r>
                            <w:r w:rsidR="00491287" w:rsidRPr="0000085C">
                              <w:t>Michelle</w:t>
                            </w:r>
                            <w:r w:rsidR="0067735A" w:rsidRPr="0000085C">
                              <w:t xml:space="preserve"> is anxious </w:t>
                            </w:r>
                            <w:r w:rsidR="00491287" w:rsidRPr="0000085C">
                              <w:t xml:space="preserve">about security wherever she goes next. </w:t>
                            </w:r>
                            <w:r w:rsidRPr="0000085C">
                              <w:t xml:space="preserve">She is struggling to find a house that is affordable, safe and large enough </w:t>
                            </w:r>
                            <w:r w:rsidR="00376E98">
                              <w:t xml:space="preserve">so </w:t>
                            </w:r>
                            <w:r w:rsidR="00491287" w:rsidRPr="0000085C">
                              <w:t>she can have all her kids back under one roof</w:t>
                            </w:r>
                            <w:r w:rsidRPr="0000085C">
                              <w:t>. S</w:t>
                            </w:r>
                            <w:r w:rsidR="00491287" w:rsidRPr="0000085C">
                              <w:t xml:space="preserve">he's already had to turn down one </w:t>
                            </w:r>
                            <w:r w:rsidR="00430F77" w:rsidRPr="0000085C">
                              <w:t>property</w:t>
                            </w:r>
                            <w:r w:rsidR="00491287" w:rsidRPr="0000085C">
                              <w:t xml:space="preserve"> because it was </w:t>
                            </w:r>
                            <w:r w:rsidRPr="0000085C">
                              <w:t>not in a safe location.</w:t>
                            </w:r>
                          </w:p>
                          <w:p w14:paraId="38A843E7" w14:textId="77777777" w:rsidR="00491287" w:rsidRPr="0000085C" w:rsidRDefault="00491287" w:rsidP="00491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299F7" id="Rectangle 26" o:spid="_x0000_s1041" style="position:absolute;margin-left:0;margin-top:0;width:507.5pt;height:386.5pt;z-index:25165826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" fillcolor="#e7e6e6 [3214]" stroked="f" strokeweight="1pt">
                <v:textbox>
                  <w:txbxContent>
                    <w:p w14:paraId="1740A98A" w14:textId="21613DE0" w:rsidR="00D61B1E" w:rsidRPr="0000085C" w:rsidRDefault="0072050C" w:rsidP="00D87945">
                      <w:pPr>
                        <w:pStyle w:val="Breakout"/>
                      </w:pPr>
                      <w:r w:rsidRPr="0000085C">
                        <w:t>There is no such thing as ‘just leaving’</w:t>
                      </w:r>
                    </w:p>
                    <w:p w14:paraId="6186DF12" w14:textId="1496C8F3" w:rsidR="00D61B1E" w:rsidRPr="0000085C" w:rsidRDefault="00D61B1E" w:rsidP="00491287">
                      <w:r w:rsidRPr="0000085C">
                        <w:t xml:space="preserve">Since leaving her husband to escape domestic violence, Michelle </w:t>
                      </w:r>
                      <w:r w:rsidR="00491287" w:rsidRPr="0000085C">
                        <w:t xml:space="preserve">has faced obstacle after obstacle </w:t>
                      </w:r>
                      <w:r w:rsidRPr="0000085C">
                        <w:t xml:space="preserve">for over a year now and she and her </w:t>
                      </w:r>
                      <w:r w:rsidR="003722B4" w:rsidRPr="0000085C">
                        <w:t xml:space="preserve">five children </w:t>
                      </w:r>
                      <w:r w:rsidRPr="0000085C">
                        <w:t>still don’t have a safe, secure place to live as a family.</w:t>
                      </w:r>
                    </w:p>
                    <w:p w14:paraId="7BEA736B" w14:textId="709C09E2" w:rsidR="00D61B1E" w:rsidRPr="0000085C" w:rsidRDefault="00D61B1E" w:rsidP="00491287">
                      <w:r w:rsidRPr="0000085C">
                        <w:t xml:space="preserve">Her ex-husband has continued to threaten her safety and security. She </w:t>
                      </w:r>
                      <w:r w:rsidR="006B3419" w:rsidRPr="0000085C">
                        <w:t>battled</w:t>
                      </w:r>
                      <w:r w:rsidRPr="0000085C">
                        <w:t xml:space="preserve"> him through the courts: first in relation to domestic violence, then for custody of the kids, and now for child support. He has stalked her</w:t>
                      </w:r>
                      <w:r w:rsidR="006B3419" w:rsidRPr="0000085C">
                        <w:t xml:space="preserve"> and</w:t>
                      </w:r>
                      <w:r w:rsidRPr="0000085C">
                        <w:t xml:space="preserve"> damaged her car</w:t>
                      </w:r>
                      <w:r w:rsidR="006B3419" w:rsidRPr="0000085C">
                        <w:t xml:space="preserve">. He </w:t>
                      </w:r>
                      <w:r w:rsidR="0072050C" w:rsidRPr="0000085C">
                        <w:t>jeopardised</w:t>
                      </w:r>
                      <w:r w:rsidR="006B3419" w:rsidRPr="0000085C">
                        <w:t xml:space="preserve"> her employment by </w:t>
                      </w:r>
                      <w:r w:rsidR="0072050C" w:rsidRPr="0000085C">
                        <w:t>coming to her workplace where he engaged in</w:t>
                      </w:r>
                      <w:r w:rsidR="006B3419" w:rsidRPr="0000085C">
                        <w:t xml:space="preserve"> conflict. Michelle </w:t>
                      </w:r>
                      <w:r w:rsidR="0072050C" w:rsidRPr="0000085C">
                        <w:t xml:space="preserve">has now </w:t>
                      </w:r>
                      <w:r w:rsidR="006B3419" w:rsidRPr="0000085C">
                        <w:t>lost her job</w:t>
                      </w:r>
                      <w:r w:rsidR="0072050C" w:rsidRPr="0000085C">
                        <w:t>, lives in constant fear for her safety and has experienced a decline in her mental health.</w:t>
                      </w:r>
                    </w:p>
                    <w:p w14:paraId="26BB1FD2" w14:textId="1991CAB4" w:rsidR="00491287" w:rsidRPr="0000085C" w:rsidRDefault="006B3419" w:rsidP="00491287">
                      <w:r w:rsidRPr="0000085C">
                        <w:t xml:space="preserve">Michelle is not going back but she hasn’t been able to find anywhere for her family to live together. She and the younger children eventually secured accommodation at a women’s shelter. However, her sons who are over 16 are not </w:t>
                      </w:r>
                      <w:r w:rsidR="00491287" w:rsidRPr="0000085C">
                        <w:t xml:space="preserve">allowed to stay at </w:t>
                      </w:r>
                      <w:r w:rsidRPr="0000085C">
                        <w:t xml:space="preserve">the shelter with Michelle and </w:t>
                      </w:r>
                      <w:r w:rsidR="0072050C" w:rsidRPr="0000085C">
                        <w:t>are</w:t>
                      </w:r>
                      <w:r w:rsidRPr="0000085C">
                        <w:t xml:space="preserve"> couch-surf</w:t>
                      </w:r>
                      <w:r w:rsidR="0072050C" w:rsidRPr="0000085C">
                        <w:t>ing</w:t>
                      </w:r>
                      <w:r w:rsidRPr="0000085C">
                        <w:t>.</w:t>
                      </w:r>
                      <w:r w:rsidR="00E6440B" w:rsidRPr="0000085C">
                        <w:t xml:space="preserve"> The situation </w:t>
                      </w:r>
                      <w:r w:rsidRPr="0000085C">
                        <w:t xml:space="preserve">is not ideal for her three younger children </w:t>
                      </w:r>
                      <w:r w:rsidR="00E6440B" w:rsidRPr="0000085C">
                        <w:t xml:space="preserve">either because the family is </w:t>
                      </w:r>
                      <w:r w:rsidR="0067735A" w:rsidRPr="0000085C">
                        <w:t>separated,</w:t>
                      </w:r>
                      <w:r w:rsidR="00E6440B" w:rsidRPr="0000085C">
                        <w:t xml:space="preserve"> they are unable to have friends to </w:t>
                      </w:r>
                      <w:r w:rsidR="00EF79BB" w:rsidRPr="0000085C">
                        <w:t>stay,</w:t>
                      </w:r>
                      <w:r w:rsidR="0072050C" w:rsidRPr="0000085C">
                        <w:t xml:space="preserve"> and they are not sure how long they will be going to their current school</w:t>
                      </w:r>
                      <w:r w:rsidR="00E6440B" w:rsidRPr="0000085C">
                        <w:t>.</w:t>
                      </w:r>
                    </w:p>
                    <w:p w14:paraId="7A184BDC" w14:textId="475D4D7C" w:rsidR="00E6440B" w:rsidRPr="0000085C" w:rsidRDefault="00491287" w:rsidP="00E6440B">
                      <w:r w:rsidRPr="0000085C">
                        <w:t xml:space="preserve">Michelle says the staff </w:t>
                      </w:r>
                      <w:r w:rsidR="0067735A" w:rsidRPr="0000085C">
                        <w:t>a</w:t>
                      </w:r>
                      <w:r w:rsidRPr="0000085C">
                        <w:t>re amazing</w:t>
                      </w:r>
                      <w:r w:rsidR="0067735A" w:rsidRPr="0000085C">
                        <w:t xml:space="preserve"> and supportive</w:t>
                      </w:r>
                      <w:r w:rsidR="00E6440B" w:rsidRPr="0000085C">
                        <w:t xml:space="preserve"> but </w:t>
                      </w:r>
                      <w:r w:rsidR="0072050C" w:rsidRPr="0000085C">
                        <w:t>living in the shelter</w:t>
                      </w:r>
                      <w:r w:rsidR="0067735A" w:rsidRPr="0000085C">
                        <w:t xml:space="preserve"> is not without its</w:t>
                      </w:r>
                      <w:r w:rsidR="00E6440B" w:rsidRPr="0000085C">
                        <w:t xml:space="preserve"> challenges.</w:t>
                      </w:r>
                      <w:r w:rsidRPr="0000085C">
                        <w:t xml:space="preserve"> She spent most of her crisis payment on kitchen things so she can cook </w:t>
                      </w:r>
                      <w:r w:rsidR="00E6440B" w:rsidRPr="0000085C">
                        <w:t>meals for the family rather than heating pre-prepared meals.</w:t>
                      </w:r>
                      <w:r w:rsidRPr="0000085C">
                        <w:t xml:space="preserve"> </w:t>
                      </w:r>
                    </w:p>
                    <w:p w14:paraId="73C0707C" w14:textId="7F1DD0B0" w:rsidR="00491287" w:rsidRPr="0000085C" w:rsidRDefault="00E6440B" w:rsidP="00E6440B">
                      <w:r w:rsidRPr="0000085C">
                        <w:t xml:space="preserve">Security is a key consideration for Michelle and the shelter provides excellent </w:t>
                      </w:r>
                      <w:r w:rsidR="00491287" w:rsidRPr="0000085C">
                        <w:t>security</w:t>
                      </w:r>
                      <w:r w:rsidRPr="0000085C">
                        <w:t xml:space="preserve">. </w:t>
                      </w:r>
                      <w:r w:rsidR="00491287" w:rsidRPr="0000085C">
                        <w:t>Michelle</w:t>
                      </w:r>
                      <w:r w:rsidR="0067735A" w:rsidRPr="0000085C">
                        <w:t xml:space="preserve"> is anxious </w:t>
                      </w:r>
                      <w:r w:rsidR="00491287" w:rsidRPr="0000085C">
                        <w:t xml:space="preserve">about security wherever she goes next. </w:t>
                      </w:r>
                      <w:r w:rsidRPr="0000085C">
                        <w:t xml:space="preserve">She is struggling to find a house that is affordable, safe and large enough </w:t>
                      </w:r>
                      <w:r w:rsidR="00376E98">
                        <w:t xml:space="preserve">so </w:t>
                      </w:r>
                      <w:r w:rsidR="00491287" w:rsidRPr="0000085C">
                        <w:t>she can have all her kids back under one roof</w:t>
                      </w:r>
                      <w:r w:rsidRPr="0000085C">
                        <w:t>. S</w:t>
                      </w:r>
                      <w:r w:rsidR="00491287" w:rsidRPr="0000085C">
                        <w:t xml:space="preserve">he's already had to turn down one </w:t>
                      </w:r>
                      <w:r w:rsidR="00430F77" w:rsidRPr="0000085C">
                        <w:t>property</w:t>
                      </w:r>
                      <w:r w:rsidR="00491287" w:rsidRPr="0000085C">
                        <w:t xml:space="preserve"> because it was </w:t>
                      </w:r>
                      <w:r w:rsidRPr="0000085C">
                        <w:t>not in a safe location.</w:t>
                      </w:r>
                    </w:p>
                    <w:p w14:paraId="38A843E7" w14:textId="77777777" w:rsidR="00491287" w:rsidRPr="0000085C" w:rsidRDefault="00491287" w:rsidP="00491287">
                      <w:pPr>
                        <w:jc w:val="center"/>
                      </w:pPr>
                    </w:p>
                  </w:txbxContent>
                </v:textbox>
                <w10:wrap anchorx="margin"/>
              </v:rect>
            </w:pict>
          </mc:Fallback>
        </mc:AlternateContent>
      </w:r>
      <w:r w:rsidRPr="0000085C">
        <w:br w:type="page"/>
      </w:r>
    </w:p>
    <w:p w14:paraId="724758DE" w14:textId="77777777" w:rsidR="00652CC2" w:rsidRPr="00652CC2" w:rsidRDefault="00652CC2" w:rsidP="00A72B45">
      <w:pPr>
        <w:pStyle w:val="Heading2"/>
      </w:pPr>
      <w:bookmarkStart w:id="32" w:name="_Toc198823111"/>
      <w:r w:rsidRPr="00652CC2">
        <w:lastRenderedPageBreak/>
        <w:t>Client satisfaction</w:t>
      </w:r>
      <w:bookmarkEnd w:id="32"/>
    </w:p>
    <w:p w14:paraId="36292579" w14:textId="77777777" w:rsidR="00652CC2" w:rsidRPr="00652CC2" w:rsidRDefault="00652CC2" w:rsidP="00652CC2">
      <w:pPr>
        <w:rPr>
          <w:szCs w:val="24"/>
        </w:rPr>
      </w:pPr>
      <w:r w:rsidRPr="00652CC2">
        <w:rPr>
          <w:bCs/>
          <w:szCs w:val="24"/>
        </w:rPr>
        <w:t>All clients receiving face to face support from a Connections Coach or Applications Management Officer are invited to complete a single question satisfaction survey which asks:</w:t>
      </w:r>
    </w:p>
    <w:p w14:paraId="638F714A" w14:textId="77777777" w:rsidR="00652CC2" w:rsidRPr="00652CC2" w:rsidRDefault="00652CC2" w:rsidP="00652CC2">
      <w:pPr>
        <w:pBdr>
          <w:top w:val="single" w:sz="4" w:space="10" w:color="4472C4" w:themeColor="accent1"/>
          <w:bottom w:val="single" w:sz="4" w:space="10" w:color="4472C4" w:themeColor="accent1"/>
        </w:pBdr>
        <w:spacing w:before="360" w:after="360"/>
        <w:ind w:left="864" w:right="864"/>
        <w:jc w:val="center"/>
        <w:rPr>
          <w:i/>
          <w:iCs/>
          <w:color w:val="4472C4" w:themeColor="accent1"/>
        </w:rPr>
      </w:pPr>
      <w:r w:rsidRPr="00652CC2">
        <w:rPr>
          <w:i/>
          <w:iCs/>
          <w:noProof/>
          <w:color w:val="4472C4" w:themeColor="accent1"/>
          <w14:ligatures w14:val="standardContextual"/>
        </w:rPr>
        <w:drawing>
          <wp:anchor distT="0" distB="0" distL="114300" distR="114300" simplePos="0" relativeHeight="251661337" behindDoc="1" locked="0" layoutInCell="1" allowOverlap="1" wp14:anchorId="5C13716F" wp14:editId="637C1912">
            <wp:simplePos x="0" y="0"/>
            <wp:positionH relativeFrom="column">
              <wp:posOffset>-25400</wp:posOffset>
            </wp:positionH>
            <wp:positionV relativeFrom="paragraph">
              <wp:posOffset>2009140</wp:posOffset>
            </wp:positionV>
            <wp:extent cx="6178550" cy="3803650"/>
            <wp:effectExtent l="0" t="0" r="0" b="6350"/>
            <wp:wrapTight wrapText="bothSides">
              <wp:wrapPolygon edited="0">
                <wp:start x="0" y="0"/>
                <wp:lineTo x="0" y="21528"/>
                <wp:lineTo x="21511" y="21528"/>
                <wp:lineTo x="21511" y="0"/>
                <wp:lineTo x="0" y="0"/>
              </wp:wrapPolygon>
            </wp:wrapTight>
            <wp:docPr id="1383361901" name="Chart 1" descr="Pie graph showing client satisfaction as described in text.">
              <a:extLst xmlns:a="http://schemas.openxmlformats.org/drawingml/2006/main">
                <a:ext uri="{FF2B5EF4-FFF2-40B4-BE49-F238E27FC236}">
                  <a16:creationId xmlns:a16="http://schemas.microsoft.com/office/drawing/2014/main" id="{167B1360-D3C5-6FD3-6AF9-9363E6F12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r w:rsidRPr="00652CC2">
        <w:rPr>
          <w:i/>
          <w:iCs/>
          <w:noProof/>
          <w:color w:val="4472C4" w:themeColor="accent1"/>
        </w:rPr>
        <w:drawing>
          <wp:anchor distT="0" distB="0" distL="114300" distR="114300" simplePos="0" relativeHeight="251660313" behindDoc="0" locked="0" layoutInCell="1" allowOverlap="1" wp14:anchorId="4BBC2C97" wp14:editId="0F24E248">
            <wp:simplePos x="0" y="0"/>
            <wp:positionH relativeFrom="margin">
              <wp:align>center</wp:align>
            </wp:positionH>
            <wp:positionV relativeFrom="paragraph">
              <wp:posOffset>955040</wp:posOffset>
            </wp:positionV>
            <wp:extent cx="4749800" cy="936594"/>
            <wp:effectExtent l="0" t="0" r="0" b="0"/>
            <wp:wrapTopAndBottom/>
            <wp:docPr id="2006566606" name="Picture 1" descr="A five-point scale from very satisfied to very dissatisfied, represented by faces from green and smiley to red and grum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66606" name="Picture 1" descr="A five-point scale from very satisfied to very dissatisfied, represented by faces from green and smiley to red and grumpy."/>
                    <pic:cNvPicPr/>
                  </pic:nvPicPr>
                  <pic:blipFill>
                    <a:blip r:embed="rId47">
                      <a:extLst>
                        <a:ext uri="{28A0092B-C50C-407E-A947-70E740481C1C}">
                          <a14:useLocalDpi xmlns:a14="http://schemas.microsoft.com/office/drawing/2010/main" val="0"/>
                        </a:ext>
                      </a:extLst>
                    </a:blip>
                    <a:stretch>
                      <a:fillRect/>
                    </a:stretch>
                  </pic:blipFill>
                  <pic:spPr>
                    <a:xfrm>
                      <a:off x="0" y="0"/>
                      <a:ext cx="4749800" cy="936594"/>
                    </a:xfrm>
                    <a:prstGeom prst="rect">
                      <a:avLst/>
                    </a:prstGeom>
                  </pic:spPr>
                </pic:pic>
              </a:graphicData>
            </a:graphic>
          </wp:anchor>
        </w:drawing>
      </w:r>
      <w:r w:rsidRPr="00652CC2">
        <w:rPr>
          <w:i/>
          <w:iCs/>
          <w:color w:val="4472C4" w:themeColor="accent1"/>
        </w:rPr>
        <w:t>Overall, how satisfied are you with the support and services you received from Housing Connect Front Door?</w:t>
      </w:r>
    </w:p>
    <w:p w14:paraId="10FA1806" w14:textId="77777777" w:rsidR="00652CC2" w:rsidRPr="00652CC2" w:rsidRDefault="00652CC2" w:rsidP="00652CC2">
      <w:pPr>
        <w:rPr>
          <w:b/>
          <w:bCs/>
        </w:rPr>
      </w:pPr>
      <w:r w:rsidRPr="00652CC2">
        <w:rPr>
          <w:b/>
          <w:bCs/>
        </w:rPr>
        <w:t>Figure 12 Client satisfaction</w:t>
      </w:r>
    </w:p>
    <w:p w14:paraId="6578667C" w14:textId="77777777" w:rsidR="00652CC2" w:rsidRPr="00652CC2" w:rsidRDefault="00652CC2" w:rsidP="00652CC2">
      <w:r w:rsidRPr="00652CC2">
        <w:t>Statewide, 176 clients responded to the survey with responses indicating that 94% were very satisfied and 6% were satisfied. Although 100% of clients were satisfied or very satisfied, the response rate has fallen and options to improve response rates are being developed.</w:t>
      </w:r>
    </w:p>
    <w:p w14:paraId="570087C0" w14:textId="77777777" w:rsidR="00652CC2" w:rsidRPr="00652CC2" w:rsidRDefault="00652CC2" w:rsidP="00652CC2">
      <w:pPr>
        <w:widowControl/>
        <w:autoSpaceDE/>
        <w:autoSpaceDN/>
        <w:spacing w:before="0" w:after="160" w:line="259" w:lineRule="auto"/>
        <w:rPr>
          <w:bCs/>
        </w:rPr>
      </w:pPr>
    </w:p>
    <w:p w14:paraId="4A64AF62" w14:textId="77777777" w:rsidR="00652CC2" w:rsidRPr="00652CC2" w:rsidRDefault="00652CC2" w:rsidP="00652CC2">
      <w:pPr>
        <w:widowControl/>
        <w:autoSpaceDE/>
        <w:autoSpaceDN/>
        <w:spacing w:before="0" w:after="160" w:line="259" w:lineRule="auto"/>
        <w:rPr>
          <w:bCs/>
        </w:rPr>
      </w:pPr>
    </w:p>
    <w:p w14:paraId="13A92C41" w14:textId="77777777" w:rsidR="00652CC2" w:rsidRPr="00652CC2" w:rsidRDefault="00652CC2" w:rsidP="00652CC2">
      <w:pPr>
        <w:widowControl/>
        <w:autoSpaceDE/>
        <w:autoSpaceDN/>
        <w:spacing w:before="0" w:after="160" w:line="259" w:lineRule="auto"/>
        <w:rPr>
          <w:rFonts w:ascii="Avenir Next Demi Bold" w:eastAsia="AvenirNextLTPro-Demi" w:hAnsi="Avenir Next Demi Bold" w:cs="AvenirNextLTPro-Demi"/>
          <w:b/>
          <w:bCs/>
          <w:color w:val="1598CB"/>
          <w:sz w:val="48"/>
          <w:szCs w:val="48"/>
        </w:rPr>
      </w:pPr>
      <w:r w:rsidRPr="00652CC2">
        <w:br w:type="page"/>
      </w:r>
    </w:p>
    <w:p w14:paraId="53C07BC3" w14:textId="77777777" w:rsidR="0067735A" w:rsidRPr="00133398" w:rsidRDefault="008858D4" w:rsidP="00C56CB9">
      <w:pPr>
        <w:pStyle w:val="Heading1"/>
      </w:pPr>
      <w:bookmarkStart w:id="33" w:name="_Toc198823112"/>
      <w:r w:rsidRPr="00133398">
        <w:lastRenderedPageBreak/>
        <w:t>Barriers</w:t>
      </w:r>
      <w:r w:rsidR="0067735A" w:rsidRPr="00133398">
        <w:t xml:space="preserve"> to escaping domestic violence</w:t>
      </w:r>
      <w:r w:rsidRPr="00133398">
        <w:t xml:space="preserve"> seen by frontline services</w:t>
      </w:r>
      <w:bookmarkEnd w:id="33"/>
    </w:p>
    <w:p w14:paraId="7E7FB930" w14:textId="4ED05479" w:rsidR="007623FB" w:rsidRPr="0000085C" w:rsidRDefault="0067735A" w:rsidP="0067735A">
      <w:r w:rsidRPr="0000085C">
        <w:t xml:space="preserve">Anglicare’s report </w:t>
      </w:r>
      <w:hyperlink r:id="rId48" w:history="1">
        <w:r w:rsidRPr="00343DEF">
          <w:rPr>
            <w:rStyle w:val="Hyperlink"/>
            <w:rFonts w:ascii="Avenir Next" w:hAnsi="Avenir Next"/>
            <w:i/>
            <w:iCs/>
          </w:rPr>
          <w:t>Unsafe and Unhoused</w:t>
        </w:r>
      </w:hyperlink>
      <w:r w:rsidRPr="0000085C">
        <w:t>, released in October 2024</w:t>
      </w:r>
      <w:r w:rsidR="00362013">
        <w:t>,</w:t>
      </w:r>
      <w:r w:rsidRPr="0000085C">
        <w:t xml:space="preserve"> detail</w:t>
      </w:r>
      <w:r w:rsidR="0072050C" w:rsidRPr="0000085C">
        <w:t>ed t</w:t>
      </w:r>
      <w:r w:rsidRPr="0000085C">
        <w:t xml:space="preserve">he </w:t>
      </w:r>
      <w:r w:rsidR="0072050C" w:rsidRPr="0000085C">
        <w:t xml:space="preserve">barriers to addressing domestic and family violence </w:t>
      </w:r>
      <w:r w:rsidR="007623FB" w:rsidRPr="0000085C">
        <w:t>in North West Tasmania</w:t>
      </w:r>
      <w:r w:rsidR="002163B0">
        <w:t xml:space="preserve"> (</w:t>
      </w:r>
      <w:r w:rsidR="00AF2900">
        <w:t>Toombs 2024</w:t>
      </w:r>
      <w:r w:rsidR="002163B0">
        <w:t>)</w:t>
      </w:r>
      <w:r w:rsidR="007623FB" w:rsidRPr="0000085C">
        <w:t>.</w:t>
      </w:r>
    </w:p>
    <w:p w14:paraId="53DBB462" w14:textId="04198231" w:rsidR="00EF5C08" w:rsidRPr="0000085C" w:rsidRDefault="007623FB" w:rsidP="007623FB">
      <w:r w:rsidRPr="0000085C">
        <w:t>Unfortunately, Housing Connect Front Door data shows an increase in the number of people (the vast majority of whom are women) in the North and North West of the state who are seeking housing support mainly due to domestic and family violence.</w:t>
      </w:r>
      <w:r w:rsidRPr="00133398">
        <w:rPr>
          <w14:ligatures w14:val="standardContextual"/>
        </w:rPr>
        <w:t xml:space="preserve"> </w:t>
      </w:r>
    </w:p>
    <w:p w14:paraId="563785AF" w14:textId="2BF57CF8" w:rsidR="007623FB" w:rsidRPr="0000085C" w:rsidRDefault="007623FB" w:rsidP="007623FB">
      <w:r w:rsidRPr="0000085C">
        <w:t xml:space="preserve">Fundamental to creating a pathway to safety is a housing system that can provide suitable crisis and emergency accommodation, transitional medium-term accommodation and long-term housing security. </w:t>
      </w:r>
    </w:p>
    <w:p w14:paraId="38223445" w14:textId="645C09C4" w:rsidR="009D7F25" w:rsidRPr="0000085C" w:rsidRDefault="009D7F25" w:rsidP="009D7F25">
      <w:r w:rsidRPr="0000085C">
        <w:t xml:space="preserve">A shortage of housing at any point along this pathway to safety results in people becoming ‘stuck’, leading to a further decrease in the availability of housing for people seeking to escape family violence (see Michelle’s story on page </w:t>
      </w:r>
      <w:r w:rsidR="00ED4092">
        <w:t>30</w:t>
      </w:r>
      <w:r w:rsidRPr="0000085C">
        <w:t>). For women like Amy</w:t>
      </w:r>
      <w:r w:rsidR="00652CC2">
        <w:t xml:space="preserve"> (see page </w:t>
      </w:r>
      <w:r w:rsidR="00ED4092">
        <w:t>22</w:t>
      </w:r>
      <w:r w:rsidR="00652CC2">
        <w:t>)</w:t>
      </w:r>
      <w:r w:rsidRPr="0000085C">
        <w:t>, it can present an insurmountable barrier to leaving and result in women and children returning to a dangerous situation.</w:t>
      </w:r>
    </w:p>
    <w:p w14:paraId="599329FC" w14:textId="66E4A6E1" w:rsidR="00EF5C08" w:rsidRPr="0000085C" w:rsidRDefault="00EF5C08" w:rsidP="007623FB">
      <w:r w:rsidRPr="0000085C">
        <w:t xml:space="preserve">Tasmania has a shortage at every point along this pathway. Front Door data shows </w:t>
      </w:r>
      <w:r w:rsidR="00DB28DC" w:rsidRPr="0000085C">
        <w:t>that for housing support periods in the March 2025 quarter:</w:t>
      </w:r>
    </w:p>
    <w:p w14:paraId="0D911466" w14:textId="4F351DD0" w:rsidR="00DB28DC" w:rsidRPr="0000085C" w:rsidRDefault="00DB28DC" w:rsidP="00ED4092">
      <w:pPr>
        <w:pStyle w:val="ListParagraph"/>
      </w:pPr>
      <w:r w:rsidRPr="0000085C">
        <w:t>50% of need for crisis &amp; emergency accommodation was unmet</w:t>
      </w:r>
    </w:p>
    <w:p w14:paraId="2AA388E5" w14:textId="2D082DD4" w:rsidR="00EF5C08" w:rsidRPr="0000085C" w:rsidRDefault="00DB28DC" w:rsidP="00ED4092">
      <w:pPr>
        <w:pStyle w:val="ListParagraph"/>
      </w:pPr>
      <w:r w:rsidRPr="0000085C">
        <w:t>79% of need for medium-term and transitional accommodation was unmet</w:t>
      </w:r>
    </w:p>
    <w:p w14:paraId="0FBDD247" w14:textId="2379C51B" w:rsidR="00DB28DC" w:rsidRPr="0000085C" w:rsidRDefault="00DB28DC" w:rsidP="00ED4092">
      <w:pPr>
        <w:pStyle w:val="ListParagraph"/>
      </w:pPr>
      <w:r w:rsidRPr="0000085C">
        <w:t>78% of need for long-term housing was unmet</w:t>
      </w:r>
    </w:p>
    <w:p w14:paraId="5C2E6477" w14:textId="58D608D8" w:rsidR="00B31CDF" w:rsidRPr="0000085C" w:rsidRDefault="00B31CDF" w:rsidP="00DB28DC">
      <w:r w:rsidRPr="0000085C">
        <w:t>The</w:t>
      </w:r>
      <w:r w:rsidR="00B72341" w:rsidRPr="0000085C">
        <w:t xml:space="preserve"> supply of </w:t>
      </w:r>
      <w:r w:rsidR="00D17FCA">
        <w:t xml:space="preserve">properties for the </w:t>
      </w:r>
      <w:r w:rsidR="00B72341" w:rsidRPr="0000085C">
        <w:t>Private Rental Incentives scheme and Family Violence Rapid Rehousing program has fallen and remains at less than half the target capacity.</w:t>
      </w:r>
      <w:r w:rsidRPr="0000085C">
        <w:t xml:space="preserve"> Brokered accommodation was difficult to access in the March quarter</w:t>
      </w:r>
      <w:r w:rsidR="00E96F69">
        <w:t>.</w:t>
      </w:r>
    </w:p>
    <w:p w14:paraId="41833FCE" w14:textId="5623D902" w:rsidR="009D7F25" w:rsidRPr="0000085C" w:rsidRDefault="00322BE5" w:rsidP="00DB28DC">
      <w:r w:rsidRPr="0000085C">
        <w:t>Of the</w:t>
      </w:r>
      <w:r w:rsidR="00106CAE" w:rsidRPr="0000085C">
        <w:t xml:space="preserve"> housing options available</w:t>
      </w:r>
      <w:r w:rsidRPr="0000085C">
        <w:t>, many are</w:t>
      </w:r>
      <w:r w:rsidR="00106CAE" w:rsidRPr="0000085C">
        <w:t xml:space="preserve"> </w:t>
      </w:r>
      <w:r w:rsidRPr="0000085C">
        <w:t>un</w:t>
      </w:r>
      <w:r w:rsidR="00106CAE" w:rsidRPr="0000085C">
        <w:t>suitable</w:t>
      </w:r>
      <w:r w:rsidR="006067FF" w:rsidRPr="0000085C">
        <w:t xml:space="preserve"> due to:</w:t>
      </w:r>
    </w:p>
    <w:p w14:paraId="6B976FF6" w14:textId="03D0AE87" w:rsidR="006067FF" w:rsidRPr="0000085C" w:rsidRDefault="00F464AB" w:rsidP="00ED4092">
      <w:pPr>
        <w:pStyle w:val="ListParagraph"/>
      </w:pPr>
      <w:r>
        <w:t>n</w:t>
      </w:r>
      <w:r w:rsidR="006067FF" w:rsidRPr="0000085C">
        <w:t>ot being able to house the family together</w:t>
      </w:r>
    </w:p>
    <w:p w14:paraId="3F15659A" w14:textId="77C411EF" w:rsidR="00106CAE" w:rsidRPr="0000085C" w:rsidRDefault="00F464AB" w:rsidP="00ED4092">
      <w:pPr>
        <w:pStyle w:val="ListParagraph"/>
      </w:pPr>
      <w:r>
        <w:t>t</w:t>
      </w:r>
      <w:r w:rsidR="006067FF" w:rsidRPr="0000085C">
        <w:t xml:space="preserve">he property itself lacking adequate security </w:t>
      </w:r>
    </w:p>
    <w:p w14:paraId="7C1F3703" w14:textId="37F0F410" w:rsidR="006067FF" w:rsidRPr="0000085C" w:rsidRDefault="00F464AB" w:rsidP="00ED4092">
      <w:pPr>
        <w:pStyle w:val="ListParagraph"/>
      </w:pPr>
      <w:r>
        <w:t>t</w:t>
      </w:r>
      <w:r w:rsidR="006067FF" w:rsidRPr="0000085C">
        <w:t>he property being in an unsafe location that would allow the perpetrator to easily find or contact the family</w:t>
      </w:r>
    </w:p>
    <w:p w14:paraId="397700F0" w14:textId="31CFD591" w:rsidR="00C840FC" w:rsidRPr="0000085C" w:rsidRDefault="00AF2616" w:rsidP="00ED4092">
      <w:pPr>
        <w:pStyle w:val="ListParagraph"/>
      </w:pPr>
      <w:r>
        <w:t>n</w:t>
      </w:r>
      <w:r w:rsidR="006067FF" w:rsidRPr="0000085C">
        <w:t xml:space="preserve">ot being </w:t>
      </w:r>
      <w:r w:rsidR="005B0654">
        <w:t>near the</w:t>
      </w:r>
      <w:r w:rsidR="006067FF" w:rsidRPr="0000085C">
        <w:t xml:space="preserve"> supports, work and/or schools</w:t>
      </w:r>
      <w:r w:rsidR="007F7C88">
        <w:t xml:space="preserve"> needed by all members of the family</w:t>
      </w:r>
      <w:r w:rsidR="006067FF" w:rsidRPr="0000085C">
        <w:t>, adding to the trauma and impact of escaping domestic and family violence</w:t>
      </w:r>
      <w:r>
        <w:t>.</w:t>
      </w:r>
    </w:p>
    <w:p w14:paraId="6F7F5B9A" w14:textId="399E7C9E" w:rsidR="006067FF" w:rsidRPr="0000085C" w:rsidRDefault="006067FF" w:rsidP="006067FF">
      <w:r w:rsidRPr="0000085C">
        <w:t>Front line data this quarter also reveals ongoing unmet need for support services for families dealing with domestic and family violence including:</w:t>
      </w:r>
    </w:p>
    <w:p w14:paraId="64A64326" w14:textId="0D40E7A8" w:rsidR="006067FF" w:rsidRPr="0000085C" w:rsidRDefault="000F769D" w:rsidP="00ED4092">
      <w:pPr>
        <w:pStyle w:val="ListParagraph"/>
      </w:pPr>
      <w:r>
        <w:t>v</w:t>
      </w:r>
      <w:r w:rsidR="006067FF" w:rsidRPr="0000085C">
        <w:t>ictim/survivor support services (41% of need unmet)</w:t>
      </w:r>
    </w:p>
    <w:p w14:paraId="27EE217B" w14:textId="4111D123" w:rsidR="0067735A" w:rsidRPr="0000085C" w:rsidRDefault="000F769D" w:rsidP="00ED4092">
      <w:pPr>
        <w:pStyle w:val="ListParagraph"/>
      </w:pPr>
      <w:r>
        <w:t>p</w:t>
      </w:r>
      <w:r w:rsidR="006067FF" w:rsidRPr="0000085C">
        <w:t>erpetrator support services (100% of need not met)</w:t>
      </w:r>
      <w:r>
        <w:t>.</w:t>
      </w:r>
      <w:r w:rsidR="0067735A" w:rsidRPr="0000085C">
        <w:br w:type="page"/>
      </w:r>
    </w:p>
    <w:p w14:paraId="5C8E838A" w14:textId="77777777" w:rsidR="005C584D" w:rsidRPr="00A162F1" w:rsidRDefault="005C584D" w:rsidP="00E509D2">
      <w:pPr>
        <w:pStyle w:val="Heading1"/>
        <w:rPr>
          <w:lang w:val="en-GB"/>
        </w:rPr>
      </w:pPr>
      <w:bookmarkStart w:id="34" w:name="_Toc198823113"/>
      <w:r w:rsidRPr="00A162F1">
        <w:rPr>
          <w:lang w:val="en-GB"/>
        </w:rPr>
        <w:lastRenderedPageBreak/>
        <w:t>Recommendations</w:t>
      </w:r>
      <w:bookmarkEnd w:id="34"/>
    </w:p>
    <w:p w14:paraId="3408289A" w14:textId="6390FCC9" w:rsidR="004658D6" w:rsidRPr="00C706FF" w:rsidRDefault="00D968C7" w:rsidP="00E509D2">
      <w:pPr>
        <w:pStyle w:val="BodyText"/>
        <w:rPr>
          <w:i/>
          <w:iCs/>
        </w:rPr>
      </w:pPr>
      <w:r>
        <w:t xml:space="preserve">Housing Connect client data </w:t>
      </w:r>
      <w:r w:rsidR="000C54CD">
        <w:t>show</w:t>
      </w:r>
      <w:r w:rsidR="00652CC2">
        <w:t>s</w:t>
      </w:r>
      <w:r w:rsidR="000C54CD">
        <w:t xml:space="preserve"> that </w:t>
      </w:r>
      <w:r w:rsidR="004D49D2">
        <w:t>b</w:t>
      </w:r>
      <w:r w:rsidR="003A24A4">
        <w:t>arriers to addressing domestic and family violence in No</w:t>
      </w:r>
      <w:r w:rsidR="004D49D2">
        <w:t>r</w:t>
      </w:r>
      <w:r w:rsidR="003A24A4">
        <w:t xml:space="preserve">th West Tasmania are ongoing. </w:t>
      </w:r>
      <w:r w:rsidR="001143A7">
        <w:t xml:space="preserve">To remove these </w:t>
      </w:r>
      <w:r w:rsidR="00277165">
        <w:t>Anglicare reiterates with greater urgency t</w:t>
      </w:r>
      <w:r w:rsidR="00D7211B">
        <w:t>h</w:t>
      </w:r>
      <w:r w:rsidR="00704BBC">
        <w:t xml:space="preserve">e recommendations </w:t>
      </w:r>
      <w:r w:rsidR="00277165">
        <w:t xml:space="preserve">provided </w:t>
      </w:r>
      <w:r w:rsidR="00704BBC">
        <w:t xml:space="preserve">in </w:t>
      </w:r>
      <w:hyperlink r:id="rId49" w:history="1">
        <w:r w:rsidR="00704BBC" w:rsidRPr="00C706FF">
          <w:rPr>
            <w:rStyle w:val="Hyperlink"/>
            <w:rFonts w:ascii="Avenir Next" w:hAnsi="Avenir Next"/>
            <w:i/>
            <w:iCs/>
          </w:rPr>
          <w:t>Unsafe and Unhoused</w:t>
        </w:r>
      </w:hyperlink>
      <w:r w:rsidR="00E452DA">
        <w:t xml:space="preserve"> (</w:t>
      </w:r>
      <w:r w:rsidR="00611EF4">
        <w:t>Toombs 2024</w:t>
      </w:r>
      <w:r w:rsidR="00E452DA">
        <w:t>)</w:t>
      </w:r>
      <w:r w:rsidR="001143A7" w:rsidRPr="00C706FF">
        <w:t>.</w:t>
      </w:r>
    </w:p>
    <w:p w14:paraId="62592111" w14:textId="5A15DBFD" w:rsidR="005C584D" w:rsidRPr="00C706FF" w:rsidRDefault="005C584D" w:rsidP="00E509D2">
      <w:pPr>
        <w:pStyle w:val="BodyText"/>
      </w:pPr>
      <w:r w:rsidRPr="00C706FF">
        <w:t>Anglicare Tasmania recommends that the Tasmanian Government:</w:t>
      </w:r>
    </w:p>
    <w:p w14:paraId="22A382CC" w14:textId="47FA6C59" w:rsidR="00744F28" w:rsidRPr="0007540E" w:rsidRDefault="00744F28" w:rsidP="00ED4092">
      <w:pPr>
        <w:pStyle w:val="ListParagraph"/>
        <w:numPr>
          <w:ilvl w:val="0"/>
          <w:numId w:val="3"/>
        </w:numPr>
      </w:pPr>
      <w:r>
        <w:t>F</w:t>
      </w:r>
      <w:r w:rsidRPr="0007540E">
        <w:t>und</w:t>
      </w:r>
      <w:r>
        <w:t>s</w:t>
      </w:r>
      <w:r w:rsidRPr="0007540E">
        <w:t xml:space="preserve"> </w:t>
      </w:r>
      <w:r>
        <w:t>delivery of</w:t>
      </w:r>
      <w:r w:rsidRPr="0007540E">
        <w:t xml:space="preserve"> more crisis accommodation, transitional housing and social homes </w:t>
      </w:r>
      <w:r>
        <w:t xml:space="preserve">for domestic and family violence victim-survivors, </w:t>
      </w:r>
      <w:r w:rsidRPr="004A070C">
        <w:t>including:</w:t>
      </w:r>
    </w:p>
    <w:p w14:paraId="75DDA113" w14:textId="77777777" w:rsidR="00744F28" w:rsidRPr="0007540E" w:rsidRDefault="00744F28" w:rsidP="00ED4092">
      <w:pPr>
        <w:pStyle w:val="ListParagraph"/>
        <w:numPr>
          <w:ilvl w:val="1"/>
          <w:numId w:val="3"/>
        </w:numPr>
        <w:rPr>
          <w:lang w:val="en-US"/>
        </w:rPr>
      </w:pPr>
      <w:r w:rsidRPr="0007540E">
        <w:rPr>
          <w:lang w:val="en-US"/>
        </w:rPr>
        <w:t xml:space="preserve">increasing crisis accommodation </w:t>
      </w:r>
      <w:r w:rsidRPr="0007540E">
        <w:rPr>
          <w:b/>
          <w:lang w:val="en-US"/>
        </w:rPr>
        <w:t>that is safe and suitable</w:t>
      </w:r>
      <w:r w:rsidRPr="0007540E">
        <w:rPr>
          <w:lang w:val="en-US"/>
        </w:rPr>
        <w:t xml:space="preserve"> for women and children fleeing </w:t>
      </w:r>
      <w:r>
        <w:rPr>
          <w:lang w:val="en-US"/>
        </w:rPr>
        <w:t>DFV</w:t>
      </w:r>
      <w:r w:rsidRPr="0007540E">
        <w:rPr>
          <w:lang w:val="en-US"/>
        </w:rPr>
        <w:t xml:space="preserve"> to meet demand, based on the regional prevalence of </w:t>
      </w:r>
      <w:r>
        <w:rPr>
          <w:lang w:val="en-US"/>
        </w:rPr>
        <w:t>DFV</w:t>
      </w:r>
    </w:p>
    <w:p w14:paraId="5279555B" w14:textId="77777777" w:rsidR="00744F28" w:rsidRPr="00501097" w:rsidRDefault="00744F28" w:rsidP="00ED4092">
      <w:pPr>
        <w:pStyle w:val="ListParagraph"/>
        <w:numPr>
          <w:ilvl w:val="1"/>
          <w:numId w:val="3"/>
        </w:numPr>
        <w:rPr>
          <w:lang w:val="en-US"/>
        </w:rPr>
      </w:pPr>
      <w:r>
        <w:rPr>
          <w:lang w:val="en-US"/>
        </w:rPr>
        <w:t xml:space="preserve">increasing the number of </w:t>
      </w:r>
      <w:r w:rsidRPr="0007540E">
        <w:rPr>
          <w:lang w:val="en-US"/>
        </w:rPr>
        <w:t xml:space="preserve">homes </w:t>
      </w:r>
      <w:r>
        <w:rPr>
          <w:lang w:val="en-US"/>
        </w:rPr>
        <w:t>available</w:t>
      </w:r>
      <w:r w:rsidRPr="0007540E">
        <w:rPr>
          <w:lang w:val="en-US"/>
        </w:rPr>
        <w:t xml:space="preserve"> under the Rapid Rehousing program </w:t>
      </w:r>
      <w:r>
        <w:rPr>
          <w:lang w:val="en-US"/>
        </w:rPr>
        <w:t>and ensuring that they are</w:t>
      </w:r>
      <w:r w:rsidRPr="0007540E">
        <w:rPr>
          <w:lang w:val="en-US"/>
        </w:rPr>
        <w:t xml:space="preserve"> safe and suitable for the needs of victim-survivors</w:t>
      </w:r>
      <w:r>
        <w:rPr>
          <w:lang w:val="en-US"/>
        </w:rPr>
        <w:t>.</w:t>
      </w:r>
    </w:p>
    <w:p w14:paraId="13CC5CDA" w14:textId="77777777" w:rsidR="00744F28" w:rsidRPr="00551B64" w:rsidRDefault="00744F28" w:rsidP="00744F28">
      <w:pPr>
        <w:pStyle w:val="BodyText"/>
        <w:numPr>
          <w:ilvl w:val="0"/>
          <w:numId w:val="3"/>
        </w:numPr>
      </w:pPr>
      <w:r w:rsidRPr="00551B64">
        <w:rPr>
          <w:b/>
        </w:rPr>
        <w:t>Works with the Australian Government to scale up investment in long-term social housing</w:t>
      </w:r>
      <w:r>
        <w:rPr>
          <w:b/>
        </w:rPr>
        <w:t>.</w:t>
      </w:r>
      <w:r w:rsidRPr="00551B64">
        <w:rPr>
          <w:b/>
        </w:rPr>
        <w:t xml:space="preserve"> </w:t>
      </w:r>
    </w:p>
    <w:p w14:paraId="3137E960" w14:textId="77777777" w:rsidR="00576EAF" w:rsidRPr="00C706FF" w:rsidRDefault="005C584D" w:rsidP="00B13A38">
      <w:pPr>
        <w:pStyle w:val="BodyText"/>
        <w:numPr>
          <w:ilvl w:val="0"/>
          <w:numId w:val="3"/>
        </w:numPr>
      </w:pPr>
      <w:r w:rsidRPr="00C706FF">
        <w:rPr>
          <w:b/>
        </w:rPr>
        <w:t>Commits to reducing the harmful impacts of waiting for social housing</w:t>
      </w:r>
      <w:r w:rsidRPr="00C706FF">
        <w:t xml:space="preserve"> </w:t>
      </w:r>
    </w:p>
    <w:p w14:paraId="10568483" w14:textId="6C5C6FBF" w:rsidR="005C584D" w:rsidRPr="00C706FF" w:rsidRDefault="005C584D" w:rsidP="00576EAF">
      <w:pPr>
        <w:pStyle w:val="BodyText"/>
        <w:ind w:left="720"/>
      </w:pPr>
      <w:r w:rsidRPr="00C706FF">
        <w:t>by:</w:t>
      </w:r>
    </w:p>
    <w:p w14:paraId="62264851" w14:textId="113B81D9" w:rsidR="005C584D" w:rsidRPr="00C706FF" w:rsidRDefault="005C584D" w:rsidP="00B13A38">
      <w:pPr>
        <w:pStyle w:val="BodyText"/>
        <w:numPr>
          <w:ilvl w:val="1"/>
          <w:numId w:val="3"/>
        </w:numPr>
      </w:pPr>
      <w:r w:rsidRPr="00C706FF">
        <w:t xml:space="preserve">establishing </w:t>
      </w:r>
      <w:r w:rsidR="00E8335D" w:rsidRPr="00C706FF">
        <w:t>targets</w:t>
      </w:r>
      <w:r w:rsidRPr="00C706FF">
        <w:t xml:space="preserve"> for reducing the </w:t>
      </w:r>
      <w:r w:rsidR="00E8335D" w:rsidRPr="00C706FF">
        <w:t xml:space="preserve">number of applicants on the </w:t>
      </w:r>
      <w:r w:rsidRPr="00C706FF">
        <w:t xml:space="preserve">social housing register </w:t>
      </w:r>
      <w:r w:rsidR="00E8335D" w:rsidRPr="00C706FF">
        <w:t xml:space="preserve">and average waiting times </w:t>
      </w:r>
      <w:r w:rsidR="00126A27" w:rsidRPr="00C706FF">
        <w:t xml:space="preserve">for applicants </w:t>
      </w:r>
      <w:r w:rsidRPr="00C706FF">
        <w:t>in the next housing action plan in consultation with stakeholders</w:t>
      </w:r>
    </w:p>
    <w:p w14:paraId="33C45551" w14:textId="77777777" w:rsidR="005C584D" w:rsidRPr="00C706FF" w:rsidRDefault="005C584D" w:rsidP="00B13A38">
      <w:pPr>
        <w:pStyle w:val="BodyText"/>
        <w:numPr>
          <w:ilvl w:val="1"/>
          <w:numId w:val="3"/>
        </w:numPr>
      </w:pPr>
      <w:r w:rsidRPr="00C706FF">
        <w:t>developing a process for providing applicants with realistic estimates of waiting times and the progress of their application.</w:t>
      </w:r>
    </w:p>
    <w:p w14:paraId="3EAF9FE2" w14:textId="0A339BE3" w:rsidR="00576EAF" w:rsidRPr="00C706FF" w:rsidRDefault="00576EAF" w:rsidP="00B13A38">
      <w:pPr>
        <w:pStyle w:val="BodyText"/>
        <w:numPr>
          <w:ilvl w:val="0"/>
          <w:numId w:val="3"/>
        </w:numPr>
      </w:pPr>
      <w:r w:rsidRPr="00C706FF">
        <w:rPr>
          <w:b/>
        </w:rPr>
        <w:t>Improves</w:t>
      </w:r>
      <w:r w:rsidR="005C584D" w:rsidRPr="00C706FF">
        <w:rPr>
          <w:b/>
        </w:rPr>
        <w:t xml:space="preserve"> reporting and measurement</w:t>
      </w:r>
      <w:r w:rsidR="005C584D" w:rsidRPr="00C706FF">
        <w:t xml:space="preserve"> </w:t>
      </w:r>
      <w:r w:rsidR="005C584D" w:rsidRPr="00C706FF">
        <w:rPr>
          <w:b/>
        </w:rPr>
        <w:t xml:space="preserve">of progress against the Tasmanian Housing Strategy </w:t>
      </w:r>
    </w:p>
    <w:p w14:paraId="295642C2" w14:textId="4900CC6F" w:rsidR="005C584D" w:rsidRPr="00C706FF" w:rsidRDefault="005C584D" w:rsidP="00576EAF">
      <w:pPr>
        <w:pStyle w:val="BodyText"/>
        <w:ind w:left="720"/>
      </w:pPr>
      <w:r w:rsidRPr="00C706FF">
        <w:t>by:</w:t>
      </w:r>
    </w:p>
    <w:p w14:paraId="6D4BE291" w14:textId="43B13FBE" w:rsidR="005C584D" w:rsidRPr="00C706FF" w:rsidRDefault="005C584D" w:rsidP="00B13A38">
      <w:pPr>
        <w:pStyle w:val="BodyText"/>
        <w:numPr>
          <w:ilvl w:val="1"/>
          <w:numId w:val="3"/>
        </w:numPr>
      </w:pPr>
      <w:r w:rsidRPr="00C706FF">
        <w:t xml:space="preserve">clearly reporting how many </w:t>
      </w:r>
      <w:r w:rsidR="00E7679E" w:rsidRPr="00C706FF">
        <w:t xml:space="preserve">of </w:t>
      </w:r>
      <w:r w:rsidR="00D55F86" w:rsidRPr="00C706FF">
        <w:t xml:space="preserve">the </w:t>
      </w:r>
      <w:r w:rsidR="00E7679E" w:rsidRPr="00C706FF">
        <w:t>10,000 houses</w:t>
      </w:r>
      <w:r w:rsidRPr="00C706FF">
        <w:t xml:space="preserve"> delivered by Homes Tasmania under the Action Plan are new dwellings </w:t>
      </w:r>
      <w:r w:rsidR="00E7679E" w:rsidRPr="00C706FF">
        <w:t>wh</w:t>
      </w:r>
      <w:r w:rsidR="00D55F86" w:rsidRPr="00C706FF">
        <w:t>ich have been completed</w:t>
      </w:r>
    </w:p>
    <w:p w14:paraId="541F1379" w14:textId="1C78FB9D" w:rsidR="005C584D" w:rsidRPr="004658D6" w:rsidRDefault="005C584D" w:rsidP="00E77C1E">
      <w:pPr>
        <w:pStyle w:val="BodyText"/>
        <w:numPr>
          <w:ilvl w:val="1"/>
          <w:numId w:val="3"/>
        </w:numPr>
      </w:pPr>
      <w:r w:rsidRPr="00C706FF">
        <w:t xml:space="preserve">clearly reporting how many </w:t>
      </w:r>
      <w:r w:rsidR="00D55F86" w:rsidRPr="00C706FF">
        <w:t>of the 10,000 houses</w:t>
      </w:r>
      <w:r w:rsidRPr="00C706FF">
        <w:t xml:space="preserve"> delivered by Homes Tasmania under the Action Plan were affordable for people in the bottom two incomes quintiles</w:t>
      </w:r>
      <w:r w:rsidR="00396183" w:rsidRPr="00C706FF">
        <w:t>.</w:t>
      </w:r>
      <w:r w:rsidRPr="00C706FF">
        <w:t xml:space="preserve"> </w:t>
      </w:r>
    </w:p>
    <w:p w14:paraId="102FB9C2" w14:textId="77777777" w:rsidR="005F14EC" w:rsidRPr="0000085C" w:rsidRDefault="005F14EC" w:rsidP="005F14EC">
      <w:pPr>
        <w:pStyle w:val="BodyText"/>
        <w:ind w:left="1440"/>
      </w:pPr>
    </w:p>
    <w:p w14:paraId="473AF275" w14:textId="77777777" w:rsidR="005C584D" w:rsidRPr="0000085C" w:rsidRDefault="005C584D" w:rsidP="00E509D2">
      <w:pPr>
        <w:rPr>
          <w:b/>
        </w:rPr>
      </w:pPr>
    </w:p>
    <w:p w14:paraId="3B7442C1" w14:textId="77777777" w:rsidR="005C584D" w:rsidRPr="0000085C" w:rsidRDefault="005C584D" w:rsidP="00E509D2">
      <w:pPr>
        <w:rPr>
          <w:sz w:val="32"/>
          <w:szCs w:val="32"/>
        </w:rPr>
      </w:pPr>
      <w:r w:rsidRPr="0000085C">
        <w:br w:type="page"/>
      </w:r>
    </w:p>
    <w:p w14:paraId="7631AE31" w14:textId="77777777" w:rsidR="005C584D" w:rsidRPr="00A162F1" w:rsidRDefault="005C584D" w:rsidP="00E509D2">
      <w:pPr>
        <w:pStyle w:val="Heading1"/>
        <w:rPr>
          <w:lang w:val="en-GB"/>
        </w:rPr>
      </w:pPr>
      <w:bookmarkStart w:id="35" w:name="_Toc198823114"/>
      <w:r w:rsidRPr="00A162F1">
        <w:rPr>
          <w:lang w:val="en-GB"/>
        </w:rPr>
        <w:lastRenderedPageBreak/>
        <w:t>Glossary</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393"/>
      </w:tblGrid>
      <w:tr w:rsidR="00E3508E" w:rsidRPr="0000085C" w14:paraId="18A4182E" w14:textId="77777777" w:rsidTr="00A162F1">
        <w:tc>
          <w:tcPr>
            <w:tcW w:w="2547" w:type="dxa"/>
          </w:tcPr>
          <w:p w14:paraId="30C5F544" w14:textId="21D18B73" w:rsidR="00E3508E" w:rsidRPr="0000085C" w:rsidRDefault="00E3508E" w:rsidP="00E3508E">
            <w:r w:rsidRPr="0000085C">
              <w:t>Community housing</w:t>
            </w:r>
          </w:p>
        </w:tc>
        <w:tc>
          <w:tcPr>
            <w:tcW w:w="7393" w:type="dxa"/>
          </w:tcPr>
          <w:p w14:paraId="355F0087" w14:textId="3518DBBA" w:rsidR="00E3508E" w:rsidRPr="0000085C" w:rsidRDefault="00E3508E" w:rsidP="00E3508E">
            <w:r w:rsidRPr="0000085C">
              <w:t>Housing owned or managed by non-government organisations for people on low to moderate</w:t>
            </w:r>
            <w:r w:rsidR="00510628" w:rsidRPr="0000085C">
              <w:t xml:space="preserve"> </w:t>
            </w:r>
            <w:r w:rsidRPr="0000085C">
              <w:t>incomes. Community housing rent is typically set below market rate. Residents in community housing are eligible for their rent to be subsidised by Commonwealth Rent Assistance.</w:t>
            </w:r>
          </w:p>
        </w:tc>
      </w:tr>
      <w:tr w:rsidR="00B3342B" w:rsidRPr="0000085C" w14:paraId="039DD5C3" w14:textId="77777777" w:rsidTr="00A162F1">
        <w:tc>
          <w:tcPr>
            <w:tcW w:w="2547" w:type="dxa"/>
          </w:tcPr>
          <w:p w14:paraId="25C7045E" w14:textId="0574841B" w:rsidR="00B3342B" w:rsidRPr="0000085C" w:rsidRDefault="00B3342B" w:rsidP="00E3508E">
            <w:r w:rsidRPr="0000085C">
              <w:t>Homelessness</w:t>
            </w:r>
          </w:p>
        </w:tc>
        <w:tc>
          <w:tcPr>
            <w:tcW w:w="7393" w:type="dxa"/>
          </w:tcPr>
          <w:p w14:paraId="2FA3E7A2" w14:textId="77777777" w:rsidR="00B3342B" w:rsidRPr="0000085C" w:rsidRDefault="00B3342B" w:rsidP="00B3342B">
            <w:pPr>
              <w:contextualSpacing/>
            </w:pPr>
            <w:r w:rsidRPr="0000085C">
              <w:t xml:space="preserve">The </w:t>
            </w:r>
            <w:r w:rsidRPr="008A77DE">
              <w:rPr>
                <w:b/>
                <w:bCs/>
              </w:rPr>
              <w:t>Australian Bureau of Statistics</w:t>
            </w:r>
            <w:r w:rsidRPr="0000085C">
              <w:t xml:space="preserve"> defines homelessness as when a person does not have suitable accommodation alternatives. They are considered homeless if their current living arrangement: </w:t>
            </w:r>
          </w:p>
          <w:p w14:paraId="3DFA0B9E" w14:textId="77777777" w:rsidR="00B3342B" w:rsidRPr="009828FB" w:rsidRDefault="00B3342B" w:rsidP="00B3342B">
            <w:pPr>
              <w:numPr>
                <w:ilvl w:val="0"/>
                <w:numId w:val="15"/>
              </w:numPr>
              <w:contextualSpacing/>
              <w:rPr>
                <w:lang w:val="en-AU"/>
              </w:rPr>
            </w:pPr>
            <w:r w:rsidRPr="0000085C">
              <w:t xml:space="preserve">is in </w:t>
            </w:r>
            <w:r w:rsidRPr="009828FB">
              <w:rPr>
                <w:lang w:val="en-AU"/>
              </w:rPr>
              <w:t xml:space="preserve">a dwelling that is inadequate </w:t>
            </w:r>
          </w:p>
          <w:p w14:paraId="3C9C771A" w14:textId="77777777" w:rsidR="00B3342B" w:rsidRPr="009828FB" w:rsidRDefault="00B3342B" w:rsidP="00B3342B">
            <w:pPr>
              <w:numPr>
                <w:ilvl w:val="0"/>
                <w:numId w:val="15"/>
              </w:numPr>
              <w:contextualSpacing/>
              <w:rPr>
                <w:lang w:val="en-AU"/>
              </w:rPr>
            </w:pPr>
            <w:r w:rsidRPr="009828FB">
              <w:rPr>
                <w:lang w:val="en-AU"/>
              </w:rPr>
              <w:t>has no tenure, or if their initial tenure is short and not extendable</w:t>
            </w:r>
          </w:p>
          <w:p w14:paraId="5991FDF4" w14:textId="77777777" w:rsidR="00B3342B" w:rsidRDefault="00B3342B" w:rsidP="00B3342B">
            <w:pPr>
              <w:numPr>
                <w:ilvl w:val="0"/>
                <w:numId w:val="15"/>
              </w:numPr>
              <w:contextualSpacing/>
            </w:pPr>
            <w:r w:rsidRPr="009828FB">
              <w:rPr>
                <w:lang w:val="en-AU"/>
              </w:rPr>
              <w:t>does not</w:t>
            </w:r>
            <w:r w:rsidRPr="0000085C">
              <w:t xml:space="preserve"> allow them to have control of, and access to, space for social relations </w:t>
            </w:r>
            <w:r w:rsidRPr="00237C5B">
              <w:t>(ABS 2021)</w:t>
            </w:r>
            <w:r w:rsidRPr="0000085C">
              <w:t>.</w:t>
            </w:r>
          </w:p>
          <w:p w14:paraId="50C86DDB" w14:textId="52BC7DF1" w:rsidR="00B3342B" w:rsidRPr="00813C58" w:rsidRDefault="00B3342B" w:rsidP="00B3342B">
            <w:pPr>
              <w:contextualSpacing/>
              <w:rPr>
                <w:lang w:val="en-AU"/>
              </w:rPr>
            </w:pPr>
            <w:r>
              <w:t xml:space="preserve">In practice, </w:t>
            </w:r>
            <w:r>
              <w:rPr>
                <w:lang w:val="en-AU"/>
              </w:rPr>
              <w:t>t</w:t>
            </w:r>
            <w:r w:rsidRPr="00813C58">
              <w:rPr>
                <w:lang w:val="en-AU"/>
              </w:rPr>
              <w:t xml:space="preserve">he ABS </w:t>
            </w:r>
            <w:r w:rsidR="002C4F3A">
              <w:rPr>
                <w:lang w:val="en-AU"/>
              </w:rPr>
              <w:t>classifies the following groups of people as experiencing homelessness</w:t>
            </w:r>
            <w:r w:rsidRPr="00813C58">
              <w:rPr>
                <w:lang w:val="en-AU"/>
              </w:rPr>
              <w:t>:</w:t>
            </w:r>
          </w:p>
          <w:p w14:paraId="342B39D5" w14:textId="77777777" w:rsidR="00B3342B" w:rsidRPr="00813C58" w:rsidRDefault="00B3342B" w:rsidP="00B3342B">
            <w:pPr>
              <w:numPr>
                <w:ilvl w:val="0"/>
                <w:numId w:val="15"/>
              </w:numPr>
              <w:contextualSpacing/>
              <w:rPr>
                <w:lang w:val="en-AU"/>
              </w:rPr>
            </w:pPr>
            <w:r w:rsidRPr="00813C58">
              <w:rPr>
                <w:lang w:val="en-AU"/>
              </w:rPr>
              <w:t>people living in improvised dwellings, tents or sleeping out</w:t>
            </w:r>
          </w:p>
          <w:p w14:paraId="795680F5" w14:textId="77777777" w:rsidR="00B3342B" w:rsidRPr="00813C58" w:rsidRDefault="00B3342B" w:rsidP="00B3342B">
            <w:pPr>
              <w:numPr>
                <w:ilvl w:val="0"/>
                <w:numId w:val="15"/>
              </w:numPr>
              <w:contextualSpacing/>
              <w:rPr>
                <w:lang w:val="en-AU"/>
              </w:rPr>
            </w:pPr>
            <w:r w:rsidRPr="00813C58">
              <w:rPr>
                <w:lang w:val="en-AU"/>
              </w:rPr>
              <w:t>people living in supported accommodation for the homeless</w:t>
            </w:r>
          </w:p>
          <w:p w14:paraId="069E3C61" w14:textId="77777777" w:rsidR="00B3342B" w:rsidRPr="00813C58" w:rsidRDefault="00B3342B" w:rsidP="00B3342B">
            <w:pPr>
              <w:numPr>
                <w:ilvl w:val="0"/>
                <w:numId w:val="15"/>
              </w:numPr>
              <w:contextualSpacing/>
              <w:rPr>
                <w:lang w:val="en-AU"/>
              </w:rPr>
            </w:pPr>
            <w:r w:rsidRPr="00813C58">
              <w:rPr>
                <w:lang w:val="en-AU"/>
              </w:rPr>
              <w:t>people staying temporarily with other households</w:t>
            </w:r>
          </w:p>
          <w:p w14:paraId="7F7F1500" w14:textId="77777777" w:rsidR="00B3342B" w:rsidRPr="00813C58" w:rsidRDefault="00B3342B" w:rsidP="00B3342B">
            <w:pPr>
              <w:numPr>
                <w:ilvl w:val="0"/>
                <w:numId w:val="15"/>
              </w:numPr>
              <w:contextualSpacing/>
              <w:rPr>
                <w:lang w:val="en-AU"/>
              </w:rPr>
            </w:pPr>
            <w:r w:rsidRPr="00813C58">
              <w:rPr>
                <w:lang w:val="en-AU"/>
              </w:rPr>
              <w:t>people living in boarding houses</w:t>
            </w:r>
          </w:p>
          <w:p w14:paraId="495590F1" w14:textId="77777777" w:rsidR="00B3342B" w:rsidRPr="00813C58" w:rsidRDefault="00B3342B" w:rsidP="00B3342B">
            <w:pPr>
              <w:numPr>
                <w:ilvl w:val="0"/>
                <w:numId w:val="15"/>
              </w:numPr>
              <w:contextualSpacing/>
              <w:rPr>
                <w:lang w:val="en-AU"/>
              </w:rPr>
            </w:pPr>
            <w:r w:rsidRPr="00813C58">
              <w:rPr>
                <w:lang w:val="en-AU"/>
              </w:rPr>
              <w:t>people in other temporary lodgings</w:t>
            </w:r>
          </w:p>
          <w:p w14:paraId="72A655C6" w14:textId="7E3913B5" w:rsidR="00B3342B" w:rsidRDefault="00B3342B" w:rsidP="00B3342B">
            <w:pPr>
              <w:numPr>
                <w:ilvl w:val="0"/>
                <w:numId w:val="15"/>
              </w:numPr>
              <w:contextualSpacing/>
              <w:rPr>
                <w:lang w:val="en-AU"/>
              </w:rPr>
            </w:pPr>
            <w:r w:rsidRPr="00813C58">
              <w:rPr>
                <w:lang w:val="en-AU"/>
              </w:rPr>
              <w:t>people living in ‘severely’ crowded dwellings</w:t>
            </w:r>
            <w:r w:rsidR="00CB20D9">
              <w:rPr>
                <w:lang w:val="en-AU"/>
              </w:rPr>
              <w:t xml:space="preserve"> </w:t>
            </w:r>
            <w:r w:rsidR="00CB20D9" w:rsidRPr="00237C5B">
              <w:t>(ABS 2021)</w:t>
            </w:r>
            <w:r w:rsidR="00CB20D9" w:rsidRPr="0000085C">
              <w:t>.</w:t>
            </w:r>
          </w:p>
          <w:p w14:paraId="7235802B" w14:textId="37021CED" w:rsidR="00B3342B" w:rsidRPr="00813C58" w:rsidRDefault="00F2347C" w:rsidP="00B3342B">
            <w:pPr>
              <w:contextualSpacing/>
              <w:rPr>
                <w:lang w:val="en-AU"/>
              </w:rPr>
            </w:pPr>
            <w:r>
              <w:rPr>
                <w:lang w:val="en-AU"/>
              </w:rPr>
              <w:t>Some</w:t>
            </w:r>
            <w:r w:rsidR="00042C21">
              <w:rPr>
                <w:lang w:val="en-AU"/>
              </w:rPr>
              <w:t xml:space="preserve"> </w:t>
            </w:r>
            <w:r w:rsidR="00B3342B" w:rsidRPr="00813C58">
              <w:rPr>
                <w:lang w:val="en-AU"/>
              </w:rPr>
              <w:t xml:space="preserve">people </w:t>
            </w:r>
            <w:r w:rsidR="00042C21">
              <w:rPr>
                <w:lang w:val="en-AU"/>
              </w:rPr>
              <w:t xml:space="preserve">in the following groups </w:t>
            </w:r>
            <w:r w:rsidR="00B3342B" w:rsidRPr="00813C58">
              <w:rPr>
                <w:lang w:val="en-AU"/>
              </w:rPr>
              <w:t>may be marginally housed but are not classified as homeless:</w:t>
            </w:r>
          </w:p>
          <w:p w14:paraId="0982D98D" w14:textId="77777777" w:rsidR="00B3342B" w:rsidRPr="00813C58" w:rsidRDefault="00B3342B" w:rsidP="00B3342B">
            <w:pPr>
              <w:numPr>
                <w:ilvl w:val="0"/>
                <w:numId w:val="16"/>
              </w:numPr>
              <w:contextualSpacing/>
              <w:rPr>
                <w:lang w:val="en-AU"/>
              </w:rPr>
            </w:pPr>
            <w:r w:rsidRPr="00813C58">
              <w:rPr>
                <w:lang w:val="en-AU"/>
              </w:rPr>
              <w:t>people living in other crowded dwellings</w:t>
            </w:r>
          </w:p>
          <w:p w14:paraId="7BE0A74C" w14:textId="77777777" w:rsidR="00B3342B" w:rsidRPr="00813C58" w:rsidRDefault="00B3342B" w:rsidP="00B3342B">
            <w:pPr>
              <w:numPr>
                <w:ilvl w:val="0"/>
                <w:numId w:val="16"/>
              </w:numPr>
              <w:contextualSpacing/>
              <w:rPr>
                <w:lang w:val="en-AU"/>
              </w:rPr>
            </w:pPr>
            <w:r w:rsidRPr="00813C58">
              <w:rPr>
                <w:lang w:val="en-AU"/>
              </w:rPr>
              <w:t>people in other improvised dwellings</w:t>
            </w:r>
          </w:p>
          <w:p w14:paraId="747F0DD6" w14:textId="296AB89C" w:rsidR="00B3342B" w:rsidRDefault="00B3342B" w:rsidP="00B3342B">
            <w:pPr>
              <w:numPr>
                <w:ilvl w:val="0"/>
                <w:numId w:val="16"/>
              </w:numPr>
              <w:contextualSpacing/>
              <w:rPr>
                <w:lang w:val="en-AU"/>
              </w:rPr>
            </w:pPr>
            <w:r w:rsidRPr="00813C58">
              <w:rPr>
                <w:lang w:val="en-AU"/>
              </w:rPr>
              <w:t>people marginally housed in caravan parks</w:t>
            </w:r>
            <w:r w:rsidR="00CB20D9">
              <w:rPr>
                <w:lang w:val="en-AU"/>
              </w:rPr>
              <w:t xml:space="preserve"> </w:t>
            </w:r>
            <w:r w:rsidR="00CB20D9" w:rsidRPr="00237C5B">
              <w:t>(ABS 2021)</w:t>
            </w:r>
            <w:r w:rsidR="00CB20D9" w:rsidRPr="0000085C">
              <w:t>.</w:t>
            </w:r>
          </w:p>
          <w:p w14:paraId="4942B511" w14:textId="77777777" w:rsidR="00B3342B" w:rsidRDefault="00B3342B" w:rsidP="00B3342B">
            <w:pPr>
              <w:contextualSpacing/>
              <w:rPr>
                <w:lang w:val="en-AU"/>
              </w:rPr>
            </w:pPr>
          </w:p>
          <w:p w14:paraId="11B415BC" w14:textId="7EA40DEC" w:rsidR="00B3342B" w:rsidRDefault="004D77ED" w:rsidP="00B3342B">
            <w:r>
              <w:t xml:space="preserve">The homelessness sector </w:t>
            </w:r>
            <w:r w:rsidR="00F72180">
              <w:t>often uses</w:t>
            </w:r>
            <w:r w:rsidR="00001633">
              <w:t xml:space="preserve"> the </w:t>
            </w:r>
            <w:r w:rsidR="00001633" w:rsidRPr="00F72180">
              <w:t>cultural categories</w:t>
            </w:r>
            <w:r w:rsidR="00001633">
              <w:t xml:space="preserve"> of </w:t>
            </w:r>
            <w:r w:rsidR="00B3342B">
              <w:t>p</w:t>
            </w:r>
            <w:r w:rsidR="00B3342B" w:rsidRPr="0000085C">
              <w:t>rimary, secondary and tertiary</w:t>
            </w:r>
            <w:r w:rsidR="00D67E27">
              <w:t xml:space="preserve"> </w:t>
            </w:r>
            <w:r w:rsidR="00AB4AD6">
              <w:t>homelessness</w:t>
            </w:r>
            <w:r w:rsidR="00F14F4F">
              <w:t xml:space="preserve"> </w:t>
            </w:r>
            <w:r w:rsidR="008E2041">
              <w:t xml:space="preserve">(Mackenzie and Chamberlain </w:t>
            </w:r>
            <w:r w:rsidR="00841105">
              <w:t>2008</w:t>
            </w:r>
            <w:r w:rsidR="00406F24">
              <w:t>;</w:t>
            </w:r>
            <w:r w:rsidR="002C53F2">
              <w:t xml:space="preserve"> </w:t>
            </w:r>
            <w:r w:rsidR="00292D7A">
              <w:t>Homelessness Australia 2023</w:t>
            </w:r>
            <w:r w:rsidR="00841105">
              <w:t>)</w:t>
            </w:r>
            <w:r w:rsidR="003A27EF">
              <w:t>.</w:t>
            </w:r>
          </w:p>
          <w:p w14:paraId="7B338264" w14:textId="76B722D9" w:rsidR="00B3342B" w:rsidRDefault="00B3342B" w:rsidP="00B3342B">
            <w:r>
              <w:rPr>
                <w:b/>
                <w:bCs/>
              </w:rPr>
              <w:t xml:space="preserve">In this report, </w:t>
            </w:r>
            <w:r>
              <w:t xml:space="preserve">people without long-term housing are classified into two mutually exclusive groups: ‘Primary homelessness’ and ‘Other homelessness and marginally housed’. </w:t>
            </w:r>
            <w:r w:rsidR="00303E15">
              <w:t xml:space="preserve">Housing insecurity </w:t>
            </w:r>
            <w:r w:rsidR="00C97DB5">
              <w:t>may</w:t>
            </w:r>
            <w:r w:rsidR="00303E15">
              <w:t xml:space="preserve"> also </w:t>
            </w:r>
            <w:r w:rsidR="00C97DB5">
              <w:t>be experienced</w:t>
            </w:r>
            <w:r w:rsidR="00303E15">
              <w:t xml:space="preserve"> by </w:t>
            </w:r>
            <w:r w:rsidR="00494052">
              <w:t xml:space="preserve">people </w:t>
            </w:r>
            <w:r w:rsidR="00C97DB5">
              <w:t>in</w:t>
            </w:r>
            <w:r w:rsidR="00494052">
              <w:t xml:space="preserve"> long-term housing</w:t>
            </w:r>
            <w:r>
              <w:t xml:space="preserve"> due to housing stress</w:t>
            </w:r>
            <w:r w:rsidR="006C4B49">
              <w:t>.</w:t>
            </w:r>
          </w:p>
          <w:p w14:paraId="1969E696" w14:textId="056FB075" w:rsidR="00820512" w:rsidRDefault="00FC3E17" w:rsidP="00B3342B">
            <w:r>
              <w:t>How these different categories of</w:t>
            </w:r>
            <w:r w:rsidR="00820512">
              <w:t xml:space="preserve"> homelessness and housing insecurity</w:t>
            </w:r>
            <w:r w:rsidR="005A0F5C">
              <w:t xml:space="preserve"> </w:t>
            </w:r>
            <w:r>
              <w:t xml:space="preserve">relate to each other is </w:t>
            </w:r>
            <w:r w:rsidR="005A0F5C">
              <w:t>shown in</w:t>
            </w:r>
            <w:r w:rsidR="00820512">
              <w:t xml:space="preserve"> Table </w:t>
            </w:r>
            <w:r w:rsidR="005A0F5C">
              <w:t>1</w:t>
            </w:r>
            <w:r w:rsidR="00652CC2">
              <w:t xml:space="preserve"> on page </w:t>
            </w:r>
            <w:r w:rsidR="00ED4092">
              <w:t>37</w:t>
            </w:r>
            <w:r w:rsidR="00820512">
              <w:t>.</w:t>
            </w:r>
          </w:p>
          <w:p w14:paraId="5EFF4F9B" w14:textId="65258099" w:rsidR="006C4B49" w:rsidRPr="00E72D51" w:rsidRDefault="006937AA" w:rsidP="00B3342B">
            <w:pPr>
              <w:rPr>
                <w:i/>
                <w:iCs/>
              </w:rPr>
            </w:pPr>
            <w:r>
              <w:t xml:space="preserve">See also: </w:t>
            </w:r>
            <w:r>
              <w:rPr>
                <w:i/>
                <w:iCs/>
              </w:rPr>
              <w:t xml:space="preserve">Primary </w:t>
            </w:r>
            <w:r w:rsidR="001D10E5">
              <w:rPr>
                <w:i/>
                <w:iCs/>
              </w:rPr>
              <w:t>h</w:t>
            </w:r>
            <w:r>
              <w:rPr>
                <w:i/>
                <w:iCs/>
              </w:rPr>
              <w:t xml:space="preserve">omelessness, </w:t>
            </w:r>
            <w:r w:rsidR="006931CC">
              <w:rPr>
                <w:i/>
                <w:iCs/>
              </w:rPr>
              <w:t>S</w:t>
            </w:r>
            <w:r>
              <w:rPr>
                <w:i/>
                <w:iCs/>
              </w:rPr>
              <w:t>econdary homelessness</w:t>
            </w:r>
            <w:r w:rsidR="001D10E5">
              <w:rPr>
                <w:i/>
                <w:iCs/>
              </w:rPr>
              <w:t xml:space="preserve">, </w:t>
            </w:r>
            <w:r w:rsidR="006931CC">
              <w:rPr>
                <w:i/>
                <w:iCs/>
              </w:rPr>
              <w:t>T</w:t>
            </w:r>
            <w:r w:rsidR="001D10E5">
              <w:rPr>
                <w:i/>
                <w:iCs/>
              </w:rPr>
              <w:t xml:space="preserve">ertiary homelessness, </w:t>
            </w:r>
            <w:r w:rsidR="006931CC">
              <w:rPr>
                <w:i/>
                <w:iCs/>
              </w:rPr>
              <w:t>M</w:t>
            </w:r>
            <w:r w:rsidR="001D10E5">
              <w:rPr>
                <w:i/>
                <w:iCs/>
              </w:rPr>
              <w:t xml:space="preserve">arginally housed, </w:t>
            </w:r>
            <w:r w:rsidR="006931CC">
              <w:rPr>
                <w:i/>
                <w:iCs/>
              </w:rPr>
              <w:t>O</w:t>
            </w:r>
            <w:r w:rsidR="001D10E5">
              <w:rPr>
                <w:i/>
                <w:iCs/>
              </w:rPr>
              <w:t xml:space="preserve">ther homelessness </w:t>
            </w:r>
            <w:r w:rsidR="006931CC">
              <w:rPr>
                <w:i/>
                <w:iCs/>
              </w:rPr>
              <w:t>and marginally housed</w:t>
            </w:r>
            <w:r w:rsidR="009C3F5F">
              <w:rPr>
                <w:i/>
                <w:iCs/>
              </w:rPr>
              <w:t>.</w:t>
            </w:r>
          </w:p>
        </w:tc>
      </w:tr>
      <w:tr w:rsidR="00E3508E" w:rsidRPr="0000085C" w14:paraId="7DCBB91C" w14:textId="77777777" w:rsidTr="00A162F1">
        <w:tc>
          <w:tcPr>
            <w:tcW w:w="2547" w:type="dxa"/>
          </w:tcPr>
          <w:p w14:paraId="23954D72" w14:textId="1C28297A" w:rsidR="00E3508E" w:rsidRPr="0000085C" w:rsidRDefault="00E3508E" w:rsidP="00E3508E">
            <w:r w:rsidRPr="0000085C">
              <w:t>Homes Tasmania</w:t>
            </w:r>
          </w:p>
        </w:tc>
        <w:tc>
          <w:tcPr>
            <w:tcW w:w="7393" w:type="dxa"/>
          </w:tcPr>
          <w:p w14:paraId="31C8C21E" w14:textId="1FD52FF5" w:rsidR="00E3508E" w:rsidRPr="0000085C" w:rsidRDefault="00E3508E" w:rsidP="00E3508E">
            <w:r w:rsidRPr="0000085C">
              <w:t xml:space="preserve">The statutory authority established in 2022 under the </w:t>
            </w:r>
            <w:r w:rsidRPr="00457486">
              <w:rPr>
                <w:i/>
                <w:iCs/>
              </w:rPr>
              <w:t>Homes Tasmania Act 2022</w:t>
            </w:r>
            <w:r w:rsidRPr="0000085C">
              <w:t xml:space="preserve"> and responsible for delivering improved housing services and increasing the supply of social and affordable homes by delivering the Tasmanian Government’s 10-year housing package.</w:t>
            </w:r>
          </w:p>
        </w:tc>
      </w:tr>
      <w:tr w:rsidR="00E3508E" w:rsidRPr="0000085C" w14:paraId="2D9FDBF2" w14:textId="77777777" w:rsidTr="00A162F1">
        <w:tc>
          <w:tcPr>
            <w:tcW w:w="2547" w:type="dxa"/>
          </w:tcPr>
          <w:p w14:paraId="0B895A91" w14:textId="34778F03" w:rsidR="00E3508E" w:rsidRPr="0000085C" w:rsidRDefault="00510628" w:rsidP="00E3508E">
            <w:r w:rsidRPr="0000085C">
              <w:lastRenderedPageBreak/>
              <w:t>Housing affordability</w:t>
            </w:r>
          </w:p>
        </w:tc>
        <w:tc>
          <w:tcPr>
            <w:tcW w:w="7393" w:type="dxa"/>
          </w:tcPr>
          <w:p w14:paraId="2F6415AA" w14:textId="4271B22E" w:rsidR="00E3508E" w:rsidRPr="0000085C" w:rsidRDefault="00510628" w:rsidP="00E3508E">
            <w:r w:rsidRPr="0000085C">
              <w:t xml:space="preserve">Housing affordability refers to the relationship between expenditure on housing (prices, mortgage payments or rents) and household incomes. </w:t>
            </w:r>
            <w:r w:rsidR="003037FF">
              <w:t xml:space="preserve">For households </w:t>
            </w:r>
            <w:r w:rsidR="00A3332A">
              <w:t xml:space="preserve">in the bottom </w:t>
            </w:r>
            <w:r w:rsidR="00D36D43">
              <w:t xml:space="preserve">40 per cent of the </w:t>
            </w:r>
            <w:r w:rsidR="00DC4808">
              <w:t xml:space="preserve">income distribution, </w:t>
            </w:r>
            <w:r w:rsidR="00227357">
              <w:t xml:space="preserve">housing is affordable if </w:t>
            </w:r>
            <w:r w:rsidR="00FD2F74">
              <w:t xml:space="preserve">they spend no more than 30 per cent of </w:t>
            </w:r>
            <w:r w:rsidR="00EE5E36">
              <w:t xml:space="preserve">their gross income on </w:t>
            </w:r>
            <w:r w:rsidR="00BA0F60" w:rsidRPr="0000085C">
              <w:t>rent or mortgage repayments</w:t>
            </w:r>
            <w:r w:rsidR="00BA0F60">
              <w:t xml:space="preserve">. </w:t>
            </w:r>
            <w:r w:rsidRPr="0000085C">
              <w:t xml:space="preserve">The concept of housing affordability is different to the concept of ‘affordable housing’ used in the Tasmanian Housing Strategy. </w:t>
            </w:r>
            <w:r w:rsidR="00406F24">
              <w:t>S</w:t>
            </w:r>
            <w:r w:rsidRPr="0000085C">
              <w:t xml:space="preserve">ee </w:t>
            </w:r>
            <w:r w:rsidR="00BA0F60">
              <w:t xml:space="preserve">also </w:t>
            </w:r>
            <w:r w:rsidRPr="0000085C">
              <w:rPr>
                <w:i/>
              </w:rPr>
              <w:t>Housing stress</w:t>
            </w:r>
            <w:r w:rsidRPr="0000085C">
              <w:t>.</w:t>
            </w:r>
          </w:p>
        </w:tc>
      </w:tr>
      <w:tr w:rsidR="00BA0F60" w:rsidRPr="0000085C" w14:paraId="0F9E70A8" w14:textId="77777777" w:rsidTr="00A162F1">
        <w:tc>
          <w:tcPr>
            <w:tcW w:w="2547" w:type="dxa"/>
          </w:tcPr>
          <w:p w14:paraId="75669932" w14:textId="0657CD48" w:rsidR="00BA0F60" w:rsidRPr="0000085C" w:rsidRDefault="00BA0F60" w:rsidP="00E3508E">
            <w:r>
              <w:t>Housing stress</w:t>
            </w:r>
          </w:p>
        </w:tc>
        <w:tc>
          <w:tcPr>
            <w:tcW w:w="7393" w:type="dxa"/>
          </w:tcPr>
          <w:p w14:paraId="7C101264" w14:textId="381EBF54" w:rsidR="00BA0F60" w:rsidDel="00CC6E49" w:rsidRDefault="00BA0F60" w:rsidP="002B4ECD">
            <w:pPr>
              <w:contextualSpacing/>
            </w:pPr>
            <w:r>
              <w:t xml:space="preserve">Experienced by </w:t>
            </w:r>
            <w:r w:rsidR="001247E7">
              <w:t>h</w:t>
            </w:r>
            <w:r w:rsidRPr="0000085C">
              <w:t>ouseholds in the bottom 40 per cent of the income distribution who pay more than 30 per cent of their gross income on rent or mortgage repayments</w:t>
            </w:r>
            <w:r w:rsidR="001247E7">
              <w:t>.</w:t>
            </w:r>
          </w:p>
        </w:tc>
      </w:tr>
      <w:tr w:rsidR="008221B1" w:rsidRPr="0000085C" w14:paraId="22DB125B" w14:textId="77777777" w:rsidTr="00A162F1">
        <w:tc>
          <w:tcPr>
            <w:tcW w:w="2547" w:type="dxa"/>
          </w:tcPr>
          <w:p w14:paraId="0551A97B" w14:textId="37D2AAA7" w:rsidR="008221B1" w:rsidRPr="0000085C" w:rsidRDefault="008221B1" w:rsidP="00E3508E">
            <w:r w:rsidRPr="0000085C">
              <w:t>Marginal</w:t>
            </w:r>
            <w:r w:rsidR="003A1C4D" w:rsidRPr="0000085C">
              <w:t>ly</w:t>
            </w:r>
            <w:r w:rsidRPr="0000085C">
              <w:t xml:space="preserve"> hous</w:t>
            </w:r>
            <w:r w:rsidR="003A1C4D" w:rsidRPr="0000085C">
              <w:t>ed</w:t>
            </w:r>
          </w:p>
        </w:tc>
        <w:tc>
          <w:tcPr>
            <w:tcW w:w="7393" w:type="dxa"/>
          </w:tcPr>
          <w:p w14:paraId="53947960" w14:textId="3756E2BA" w:rsidR="004E2920" w:rsidRPr="00813C58" w:rsidRDefault="00705D2C" w:rsidP="004E2920">
            <w:pPr>
              <w:contextualSpacing/>
              <w:rPr>
                <w:lang w:val="en-AU"/>
              </w:rPr>
            </w:pPr>
            <w:r>
              <w:rPr>
                <w:lang w:val="en-AU"/>
              </w:rPr>
              <w:t xml:space="preserve">People who experience </w:t>
            </w:r>
            <w:r w:rsidR="008A4D31">
              <w:rPr>
                <w:lang w:val="en-AU"/>
              </w:rPr>
              <w:t>housing insecurity</w:t>
            </w:r>
            <w:r w:rsidR="004E2920" w:rsidRPr="00813C58">
              <w:rPr>
                <w:lang w:val="en-AU"/>
              </w:rPr>
              <w:t xml:space="preserve"> but are not classified </w:t>
            </w:r>
            <w:r w:rsidR="00E538C0">
              <w:rPr>
                <w:lang w:val="en-AU"/>
              </w:rPr>
              <w:t xml:space="preserve">by the ABS </w:t>
            </w:r>
            <w:r w:rsidR="004E2920" w:rsidRPr="00813C58">
              <w:rPr>
                <w:lang w:val="en-AU"/>
              </w:rPr>
              <w:t>as homeless</w:t>
            </w:r>
            <w:r w:rsidR="008A4D31">
              <w:rPr>
                <w:lang w:val="en-AU"/>
              </w:rPr>
              <w:t>, including</w:t>
            </w:r>
            <w:r w:rsidR="004E2920" w:rsidRPr="00813C58">
              <w:rPr>
                <w:lang w:val="en-AU"/>
              </w:rPr>
              <w:t>:</w:t>
            </w:r>
          </w:p>
          <w:p w14:paraId="02012BE0" w14:textId="3DCA73B9" w:rsidR="004E2920" w:rsidRPr="00813C58" w:rsidRDefault="004E2920" w:rsidP="004E2920">
            <w:pPr>
              <w:numPr>
                <w:ilvl w:val="0"/>
                <w:numId w:val="16"/>
              </w:numPr>
              <w:contextualSpacing/>
              <w:rPr>
                <w:lang w:val="en-AU"/>
              </w:rPr>
            </w:pPr>
            <w:r w:rsidRPr="00813C58">
              <w:rPr>
                <w:lang w:val="en-AU"/>
              </w:rPr>
              <w:t>people living in crowded dwellings</w:t>
            </w:r>
            <w:r>
              <w:rPr>
                <w:lang w:val="en-AU"/>
              </w:rPr>
              <w:t xml:space="preserve"> </w:t>
            </w:r>
            <w:r w:rsidR="004B1C4C">
              <w:rPr>
                <w:lang w:val="en-AU"/>
              </w:rPr>
              <w:t>but need</w:t>
            </w:r>
            <w:r w:rsidR="00406F24">
              <w:rPr>
                <w:lang w:val="en-AU"/>
              </w:rPr>
              <w:t>ing</w:t>
            </w:r>
            <w:r w:rsidR="004B1C4C">
              <w:rPr>
                <w:lang w:val="en-AU"/>
              </w:rPr>
              <w:t xml:space="preserve"> fewer than 4 additional bedrooms to </w:t>
            </w:r>
            <w:r w:rsidR="007E00AD">
              <w:rPr>
                <w:lang w:val="en-AU"/>
              </w:rPr>
              <w:t>house the residents without crowding</w:t>
            </w:r>
          </w:p>
          <w:p w14:paraId="01FCD53E" w14:textId="77777777" w:rsidR="004E2920" w:rsidRPr="00813C58" w:rsidRDefault="004E2920" w:rsidP="004E2920">
            <w:pPr>
              <w:numPr>
                <w:ilvl w:val="0"/>
                <w:numId w:val="16"/>
              </w:numPr>
              <w:contextualSpacing/>
              <w:rPr>
                <w:lang w:val="en-AU"/>
              </w:rPr>
            </w:pPr>
            <w:r w:rsidRPr="00813C58">
              <w:rPr>
                <w:lang w:val="en-AU"/>
              </w:rPr>
              <w:t>people in other improvised dwellings</w:t>
            </w:r>
          </w:p>
          <w:p w14:paraId="28DF8AC3" w14:textId="31CE53A5" w:rsidR="002B4ECD" w:rsidRPr="00E538C0" w:rsidRDefault="004E2920" w:rsidP="00E72D51">
            <w:pPr>
              <w:numPr>
                <w:ilvl w:val="0"/>
                <w:numId w:val="16"/>
              </w:numPr>
              <w:contextualSpacing/>
              <w:rPr>
                <w:lang w:val="en-AU"/>
              </w:rPr>
            </w:pPr>
            <w:r w:rsidRPr="00813C58">
              <w:rPr>
                <w:lang w:val="en-AU"/>
              </w:rPr>
              <w:t>people marginally housed in caravan parks.</w:t>
            </w:r>
          </w:p>
        </w:tc>
      </w:tr>
      <w:tr w:rsidR="00E434B3" w:rsidRPr="0000085C" w14:paraId="1E6ED624" w14:textId="77777777" w:rsidTr="00A162F1">
        <w:tc>
          <w:tcPr>
            <w:tcW w:w="2547" w:type="dxa"/>
          </w:tcPr>
          <w:p w14:paraId="2234C421" w14:textId="1CD7AC3E" w:rsidR="00E434B3" w:rsidRPr="0000085C" w:rsidRDefault="005041BD" w:rsidP="00510628">
            <w:r>
              <w:t xml:space="preserve">Other homelessness </w:t>
            </w:r>
            <w:r w:rsidR="009C3F5F">
              <w:t>and marginally housed</w:t>
            </w:r>
          </w:p>
        </w:tc>
        <w:tc>
          <w:tcPr>
            <w:tcW w:w="7393" w:type="dxa"/>
          </w:tcPr>
          <w:p w14:paraId="4DC41C6C" w14:textId="06CAEEB6" w:rsidR="001B04BC" w:rsidRDefault="00D1503D" w:rsidP="00E72D51">
            <w:pPr>
              <w:contextualSpacing/>
              <w:rPr>
                <w:lang w:val="en-AU"/>
              </w:rPr>
            </w:pPr>
            <w:r>
              <w:rPr>
                <w:lang w:val="en-AU"/>
              </w:rPr>
              <w:t xml:space="preserve">People </w:t>
            </w:r>
            <w:r w:rsidR="00122DD2">
              <w:rPr>
                <w:lang w:val="en-AU"/>
              </w:rPr>
              <w:t>who are not experiencing</w:t>
            </w:r>
            <w:r w:rsidR="008B02C2">
              <w:rPr>
                <w:lang w:val="en-AU"/>
              </w:rPr>
              <w:t xml:space="preserve"> primary homelessness but </w:t>
            </w:r>
            <w:r w:rsidR="00267059">
              <w:rPr>
                <w:lang w:val="en-AU"/>
              </w:rPr>
              <w:t xml:space="preserve">are experiencing homelessness or </w:t>
            </w:r>
            <w:r w:rsidR="00872AD1">
              <w:rPr>
                <w:lang w:val="en-AU"/>
              </w:rPr>
              <w:t>severe housing insecurity</w:t>
            </w:r>
            <w:r w:rsidR="00550D8C">
              <w:rPr>
                <w:lang w:val="en-AU"/>
              </w:rPr>
              <w:t>, including</w:t>
            </w:r>
            <w:r w:rsidR="00A97C01">
              <w:rPr>
                <w:lang w:val="en-AU"/>
              </w:rPr>
              <w:t>:</w:t>
            </w:r>
          </w:p>
          <w:p w14:paraId="2695854A" w14:textId="77777777" w:rsidR="001B04BC" w:rsidRPr="00813C58" w:rsidRDefault="001B04BC" w:rsidP="00A97C01">
            <w:pPr>
              <w:numPr>
                <w:ilvl w:val="0"/>
                <w:numId w:val="15"/>
              </w:numPr>
              <w:contextualSpacing/>
              <w:rPr>
                <w:lang w:val="en-AU"/>
              </w:rPr>
            </w:pPr>
            <w:r w:rsidRPr="00813C58">
              <w:rPr>
                <w:lang w:val="en-AU"/>
              </w:rPr>
              <w:t>people living in supported accommodation for the homeless</w:t>
            </w:r>
          </w:p>
          <w:p w14:paraId="51273402" w14:textId="77777777" w:rsidR="001B04BC" w:rsidRPr="00813C58" w:rsidRDefault="001B04BC" w:rsidP="00A97C01">
            <w:pPr>
              <w:numPr>
                <w:ilvl w:val="0"/>
                <w:numId w:val="15"/>
              </w:numPr>
              <w:contextualSpacing/>
              <w:rPr>
                <w:lang w:val="en-AU"/>
              </w:rPr>
            </w:pPr>
            <w:r w:rsidRPr="00813C58">
              <w:rPr>
                <w:lang w:val="en-AU"/>
              </w:rPr>
              <w:t>people staying temporarily with other households</w:t>
            </w:r>
          </w:p>
          <w:p w14:paraId="68031F8B" w14:textId="77777777" w:rsidR="001B04BC" w:rsidRPr="00813C58" w:rsidRDefault="001B04BC" w:rsidP="00A97C01">
            <w:pPr>
              <w:numPr>
                <w:ilvl w:val="0"/>
                <w:numId w:val="15"/>
              </w:numPr>
              <w:contextualSpacing/>
              <w:rPr>
                <w:lang w:val="en-AU"/>
              </w:rPr>
            </w:pPr>
            <w:r w:rsidRPr="00813C58">
              <w:rPr>
                <w:lang w:val="en-AU"/>
              </w:rPr>
              <w:t>people living in boarding houses</w:t>
            </w:r>
          </w:p>
          <w:p w14:paraId="5ADE0A23" w14:textId="77777777" w:rsidR="001B04BC" w:rsidRPr="00813C58" w:rsidRDefault="001B04BC" w:rsidP="00A97C01">
            <w:pPr>
              <w:numPr>
                <w:ilvl w:val="0"/>
                <w:numId w:val="15"/>
              </w:numPr>
              <w:contextualSpacing/>
              <w:rPr>
                <w:lang w:val="en-AU"/>
              </w:rPr>
            </w:pPr>
            <w:r w:rsidRPr="00813C58">
              <w:rPr>
                <w:lang w:val="en-AU"/>
              </w:rPr>
              <w:t>people in other temporary lodgings</w:t>
            </w:r>
          </w:p>
          <w:p w14:paraId="1337B71C" w14:textId="542E16CA" w:rsidR="001B04BC" w:rsidRDefault="001B04BC" w:rsidP="00A97C01">
            <w:pPr>
              <w:numPr>
                <w:ilvl w:val="0"/>
                <w:numId w:val="15"/>
              </w:numPr>
              <w:contextualSpacing/>
              <w:rPr>
                <w:lang w:val="en-AU"/>
              </w:rPr>
            </w:pPr>
            <w:r w:rsidRPr="00813C58">
              <w:rPr>
                <w:lang w:val="en-AU"/>
              </w:rPr>
              <w:t>people living in ‘severely’ crowded dwellings</w:t>
            </w:r>
          </w:p>
          <w:p w14:paraId="3FFC4A88" w14:textId="77777777" w:rsidR="00A97C01" w:rsidRPr="00813C58" w:rsidRDefault="00A97C01" w:rsidP="00A97C01">
            <w:pPr>
              <w:numPr>
                <w:ilvl w:val="0"/>
                <w:numId w:val="15"/>
              </w:numPr>
              <w:contextualSpacing/>
              <w:rPr>
                <w:lang w:val="en-AU"/>
              </w:rPr>
            </w:pPr>
            <w:r w:rsidRPr="00813C58">
              <w:rPr>
                <w:lang w:val="en-AU"/>
              </w:rPr>
              <w:t>people living in other crowded dwellings</w:t>
            </w:r>
          </w:p>
          <w:p w14:paraId="4CC41228" w14:textId="77777777" w:rsidR="00A97C01" w:rsidRPr="00813C58" w:rsidRDefault="00A97C01" w:rsidP="00A97C01">
            <w:pPr>
              <w:numPr>
                <w:ilvl w:val="0"/>
                <w:numId w:val="15"/>
              </w:numPr>
              <w:contextualSpacing/>
              <w:rPr>
                <w:lang w:val="en-AU"/>
              </w:rPr>
            </w:pPr>
            <w:r w:rsidRPr="00813C58">
              <w:rPr>
                <w:lang w:val="en-AU"/>
              </w:rPr>
              <w:t>people in other improvised dwellings</w:t>
            </w:r>
          </w:p>
          <w:p w14:paraId="3FC979CF" w14:textId="27C30834" w:rsidR="005E3ACA" w:rsidRPr="00082507" w:rsidRDefault="00A97C01" w:rsidP="00E72D51">
            <w:pPr>
              <w:numPr>
                <w:ilvl w:val="0"/>
                <w:numId w:val="15"/>
              </w:numPr>
              <w:contextualSpacing/>
              <w:rPr>
                <w:lang w:val="en-AU"/>
              </w:rPr>
            </w:pPr>
            <w:r w:rsidRPr="00813C58">
              <w:rPr>
                <w:lang w:val="en-AU"/>
              </w:rPr>
              <w:t>people marginally housed in caravan parks.</w:t>
            </w:r>
          </w:p>
          <w:p w14:paraId="26C34C71" w14:textId="77777777" w:rsidR="00082507" w:rsidRDefault="00082507" w:rsidP="00696087">
            <w:pPr>
              <w:contextualSpacing/>
              <w:rPr>
                <w:lang w:val="en-AU"/>
              </w:rPr>
            </w:pPr>
          </w:p>
          <w:p w14:paraId="3B627A48" w14:textId="01EB9ECA" w:rsidR="00696087" w:rsidRDefault="009E22CC" w:rsidP="00696087">
            <w:pPr>
              <w:contextualSpacing/>
              <w:rPr>
                <w:lang w:val="en-AU"/>
              </w:rPr>
            </w:pPr>
            <w:r>
              <w:rPr>
                <w:lang w:val="en-AU"/>
              </w:rPr>
              <w:t>This group includes all people classified by the ABS as</w:t>
            </w:r>
            <w:r w:rsidR="00252E11">
              <w:rPr>
                <w:lang w:val="en-AU"/>
              </w:rPr>
              <w:t xml:space="preserve"> </w:t>
            </w:r>
            <w:r w:rsidR="0076795B">
              <w:rPr>
                <w:lang w:val="en-AU"/>
              </w:rPr>
              <w:t xml:space="preserve">marginally housed and homeless </w:t>
            </w:r>
            <w:r w:rsidR="00252E11">
              <w:rPr>
                <w:lang w:val="en-AU"/>
              </w:rPr>
              <w:t xml:space="preserve">other than </w:t>
            </w:r>
            <w:r w:rsidR="00696087" w:rsidRPr="00813C58">
              <w:rPr>
                <w:lang w:val="en-AU"/>
              </w:rPr>
              <w:t xml:space="preserve">people living in improvised dwellings, </w:t>
            </w:r>
            <w:r w:rsidR="00696087">
              <w:rPr>
                <w:lang w:val="en-AU"/>
              </w:rPr>
              <w:t xml:space="preserve">cars, </w:t>
            </w:r>
            <w:r w:rsidR="00696087" w:rsidRPr="00813C58">
              <w:rPr>
                <w:lang w:val="en-AU"/>
              </w:rPr>
              <w:t>tents or sleeping out</w:t>
            </w:r>
            <w:r w:rsidR="00853F6F">
              <w:rPr>
                <w:lang w:val="en-AU"/>
              </w:rPr>
              <w:t xml:space="preserve">. </w:t>
            </w:r>
          </w:p>
          <w:p w14:paraId="12C31FCF" w14:textId="77777777" w:rsidR="005414FE" w:rsidRDefault="005414FE" w:rsidP="00696087">
            <w:pPr>
              <w:contextualSpacing/>
              <w:rPr>
                <w:lang w:val="en-AU"/>
              </w:rPr>
            </w:pPr>
          </w:p>
          <w:p w14:paraId="5D54EF57" w14:textId="125DD934" w:rsidR="00E434B3" w:rsidRPr="00E72D51" w:rsidRDefault="00614CF9" w:rsidP="00E3508E">
            <w:pPr>
              <w:contextualSpacing/>
              <w:rPr>
                <w:lang w:val="en-AU"/>
              </w:rPr>
            </w:pPr>
            <w:r>
              <w:rPr>
                <w:lang w:val="en-AU"/>
              </w:rPr>
              <w:t xml:space="preserve">This group </w:t>
            </w:r>
            <w:r w:rsidR="009E22CC">
              <w:rPr>
                <w:lang w:val="en-AU"/>
              </w:rPr>
              <w:t>includes</w:t>
            </w:r>
            <w:r w:rsidR="00727C43">
              <w:rPr>
                <w:lang w:val="en-AU"/>
              </w:rPr>
              <w:t xml:space="preserve"> people experiencing</w:t>
            </w:r>
            <w:r w:rsidR="00820512">
              <w:rPr>
                <w:lang w:val="en-AU"/>
              </w:rPr>
              <w:t xml:space="preserve"> secondary </w:t>
            </w:r>
            <w:r>
              <w:rPr>
                <w:lang w:val="en-AU"/>
              </w:rPr>
              <w:t xml:space="preserve">and tertiary </w:t>
            </w:r>
            <w:r w:rsidR="00820512">
              <w:rPr>
                <w:lang w:val="en-AU"/>
              </w:rPr>
              <w:t>homelessness</w:t>
            </w:r>
            <w:r w:rsidR="00950CB6">
              <w:rPr>
                <w:lang w:val="en-AU"/>
              </w:rPr>
              <w:t>. It does not include people experiencing primary homelessness.</w:t>
            </w:r>
          </w:p>
        </w:tc>
      </w:tr>
      <w:tr w:rsidR="00A75A10" w:rsidRPr="0000085C" w14:paraId="7ADB335B" w14:textId="77777777" w:rsidTr="00E72D51">
        <w:tc>
          <w:tcPr>
            <w:tcW w:w="2547" w:type="dxa"/>
          </w:tcPr>
          <w:p w14:paraId="0E7D7074" w14:textId="77777777" w:rsidR="00A75A10" w:rsidRPr="0000085C" w:rsidRDefault="00A75A10">
            <w:r>
              <w:t>Primary homelessness</w:t>
            </w:r>
          </w:p>
        </w:tc>
        <w:tc>
          <w:tcPr>
            <w:tcW w:w="7393" w:type="dxa"/>
          </w:tcPr>
          <w:p w14:paraId="7D4FD63F" w14:textId="025C76E7" w:rsidR="00A75A10" w:rsidRPr="0000085C" w:rsidRDefault="002909A6">
            <w:r>
              <w:t>Living circumstance e</w:t>
            </w:r>
            <w:r w:rsidR="00A75A10" w:rsidRPr="0000085C">
              <w:t>xperienced by people without conventional accommodation</w:t>
            </w:r>
            <w:r w:rsidR="00A75A10">
              <w:t xml:space="preserve"> including people who are living </w:t>
            </w:r>
            <w:r w:rsidR="00A75A10" w:rsidRPr="00813C58">
              <w:rPr>
                <w:lang w:val="en-AU"/>
              </w:rPr>
              <w:t>in improvised dwellings</w:t>
            </w:r>
            <w:r w:rsidR="004E33E2">
              <w:rPr>
                <w:lang w:val="en-AU"/>
              </w:rPr>
              <w:t xml:space="preserve"> such as derelict buildings</w:t>
            </w:r>
            <w:r w:rsidR="00A75A10" w:rsidRPr="00813C58">
              <w:rPr>
                <w:lang w:val="en-AU"/>
              </w:rPr>
              <w:t xml:space="preserve">, </w:t>
            </w:r>
            <w:r w:rsidR="00A75A10">
              <w:rPr>
                <w:lang w:val="en-AU"/>
              </w:rPr>
              <w:t xml:space="preserve">cars, </w:t>
            </w:r>
            <w:r w:rsidR="00A75A10" w:rsidRPr="00813C58">
              <w:rPr>
                <w:lang w:val="en-AU"/>
              </w:rPr>
              <w:t>tents or sleeping out</w:t>
            </w:r>
            <w:r w:rsidR="00AB01B9">
              <w:rPr>
                <w:lang w:val="en-AU"/>
              </w:rPr>
              <w:t>.</w:t>
            </w:r>
          </w:p>
        </w:tc>
      </w:tr>
      <w:tr w:rsidR="00A75A10" w:rsidRPr="0000085C" w14:paraId="71C20022" w14:textId="77777777" w:rsidTr="00A162F1">
        <w:tc>
          <w:tcPr>
            <w:tcW w:w="2547" w:type="dxa"/>
          </w:tcPr>
          <w:p w14:paraId="18768B4B" w14:textId="28BE2603" w:rsidR="00A75A10" w:rsidRDefault="00E93613" w:rsidP="00510628">
            <w:r>
              <w:t>Secondary homelessness</w:t>
            </w:r>
          </w:p>
        </w:tc>
        <w:tc>
          <w:tcPr>
            <w:tcW w:w="7393" w:type="dxa"/>
          </w:tcPr>
          <w:p w14:paraId="16CA80F5" w14:textId="42A0D18E" w:rsidR="00A75A10" w:rsidRDefault="00EE27A6" w:rsidP="00E3508E">
            <w:r>
              <w:t xml:space="preserve">Living </w:t>
            </w:r>
            <w:r w:rsidR="00E93613">
              <w:t xml:space="preserve">circumstance </w:t>
            </w:r>
            <w:r w:rsidRPr="0000085C">
              <w:t>experienced by people who move from one temporary shelter to another, e.g. crisis shelters or couch-surfing</w:t>
            </w:r>
            <w:r w:rsidR="00AB01B9">
              <w:t>.</w:t>
            </w:r>
          </w:p>
        </w:tc>
      </w:tr>
      <w:tr w:rsidR="00E434B3" w:rsidRPr="0000085C" w14:paraId="5CBF94A5" w14:textId="77777777" w:rsidTr="00A162F1">
        <w:tc>
          <w:tcPr>
            <w:tcW w:w="2547" w:type="dxa"/>
          </w:tcPr>
          <w:p w14:paraId="3488AA45" w14:textId="56A677A3" w:rsidR="00E434B3" w:rsidRPr="0000085C" w:rsidRDefault="00E434B3" w:rsidP="00510628">
            <w:r>
              <w:t>Tertiary homelessness</w:t>
            </w:r>
          </w:p>
        </w:tc>
        <w:tc>
          <w:tcPr>
            <w:tcW w:w="7393" w:type="dxa"/>
          </w:tcPr>
          <w:p w14:paraId="79F8E6EA" w14:textId="07110CFD" w:rsidR="00E434B3" w:rsidRPr="0000085C" w:rsidRDefault="002909A6" w:rsidP="00E3508E">
            <w:r>
              <w:t>Living circumstance</w:t>
            </w:r>
            <w:r w:rsidR="008E40D1">
              <w:t xml:space="preserve"> experienced by people</w:t>
            </w:r>
            <w:r w:rsidR="008E40D1" w:rsidRPr="0000085C">
              <w:t xml:space="preserve"> staying in accommodation that falls below minimum community standards</w:t>
            </w:r>
            <w:r w:rsidR="008E40D1">
              <w:t>, e.g. boarding houses</w:t>
            </w:r>
            <w:r w:rsidR="00DA0503">
              <w:t xml:space="preserve"> or </w:t>
            </w:r>
            <w:r w:rsidR="00B243A8">
              <w:t>caravan parks</w:t>
            </w:r>
            <w:r w:rsidR="00AB01B9">
              <w:t>.</w:t>
            </w:r>
          </w:p>
        </w:tc>
      </w:tr>
      <w:tr w:rsidR="00E3508E" w:rsidRPr="0000085C" w14:paraId="6C72C0AA" w14:textId="77777777" w:rsidTr="00A162F1">
        <w:tc>
          <w:tcPr>
            <w:tcW w:w="2547" w:type="dxa"/>
          </w:tcPr>
          <w:p w14:paraId="6E3FC635" w14:textId="2D9361A4" w:rsidR="00E3508E" w:rsidRPr="0000085C" w:rsidRDefault="00510628" w:rsidP="00E3508E">
            <w:r w:rsidRPr="0000085C">
              <w:t>Public housing</w:t>
            </w:r>
          </w:p>
        </w:tc>
        <w:tc>
          <w:tcPr>
            <w:tcW w:w="7393" w:type="dxa"/>
          </w:tcPr>
          <w:p w14:paraId="1FA3DD6F" w14:textId="245FD13D" w:rsidR="00E3508E" w:rsidRPr="0000085C" w:rsidRDefault="009B09BA" w:rsidP="00E3508E">
            <w:r>
              <w:t xml:space="preserve">Affordable </w:t>
            </w:r>
            <w:r w:rsidR="007B7E96">
              <w:t>h</w:t>
            </w:r>
            <w:r w:rsidR="00510628" w:rsidRPr="0000085C">
              <w:t xml:space="preserve">ousing </w:t>
            </w:r>
            <w:r w:rsidR="00776C14">
              <w:t xml:space="preserve">that is </w:t>
            </w:r>
            <w:r w:rsidR="00E82167">
              <w:t>owned and managed by</w:t>
            </w:r>
            <w:r w:rsidR="003814F8">
              <w:t xml:space="preserve"> the</w:t>
            </w:r>
            <w:r w:rsidR="00E82167">
              <w:t xml:space="preserve"> </w:t>
            </w:r>
            <w:r w:rsidR="00776C14">
              <w:t>State G</w:t>
            </w:r>
            <w:r w:rsidR="00510628" w:rsidRPr="0000085C">
              <w:t>overnment</w:t>
            </w:r>
            <w:r w:rsidR="003814F8">
              <w:t xml:space="preserve"> or public housing authority</w:t>
            </w:r>
            <w:r w:rsidR="00510628" w:rsidRPr="0000085C">
              <w:t xml:space="preserve"> </w:t>
            </w:r>
            <w:r w:rsidR="007B7E96">
              <w:t xml:space="preserve">that is available </w:t>
            </w:r>
            <w:r w:rsidR="009E2CCB">
              <w:t xml:space="preserve">for rental by </w:t>
            </w:r>
            <w:r w:rsidR="0064004E">
              <w:t xml:space="preserve">people </w:t>
            </w:r>
            <w:r w:rsidR="00186413" w:rsidRPr="0000085C">
              <w:t xml:space="preserve">who are </w:t>
            </w:r>
            <w:r w:rsidR="00186413" w:rsidRPr="0000085C">
              <w:lastRenderedPageBreak/>
              <w:t>unable to afford or access suitable accommodation in the private rental market</w:t>
            </w:r>
            <w:r w:rsidR="007D2948">
              <w:t>.</w:t>
            </w:r>
            <w:r w:rsidR="00510628" w:rsidRPr="0000085C">
              <w:t xml:space="preserve"> </w:t>
            </w:r>
            <w:r w:rsidR="002233C0">
              <w:t xml:space="preserve">It does not include social housing that is supplied by community housing providers. </w:t>
            </w:r>
            <w:r w:rsidRPr="0000085C">
              <w:t>Rents are set as a proportion of household income.</w:t>
            </w:r>
          </w:p>
        </w:tc>
      </w:tr>
      <w:tr w:rsidR="00510628" w:rsidRPr="0000085C" w14:paraId="1B675BCB" w14:textId="77777777" w:rsidTr="00A162F1">
        <w:tc>
          <w:tcPr>
            <w:tcW w:w="2547" w:type="dxa"/>
          </w:tcPr>
          <w:p w14:paraId="2690CFFB" w14:textId="35167B2E" w:rsidR="00510628" w:rsidRPr="0000085C" w:rsidRDefault="00510628" w:rsidP="00E3508E">
            <w:r w:rsidRPr="0000085C">
              <w:lastRenderedPageBreak/>
              <w:t>Sleeping rough</w:t>
            </w:r>
          </w:p>
        </w:tc>
        <w:tc>
          <w:tcPr>
            <w:tcW w:w="7393" w:type="dxa"/>
          </w:tcPr>
          <w:p w14:paraId="1C87A8E7" w14:textId="03B1B19E" w:rsidR="00510628" w:rsidRPr="0000085C" w:rsidRDefault="00510628" w:rsidP="00E3508E">
            <w:r w:rsidRPr="0000085C">
              <w:t>State of sleeping with no shelter on the street, in a park, in the open, or in a motor vehicle. </w:t>
            </w:r>
          </w:p>
        </w:tc>
      </w:tr>
      <w:tr w:rsidR="00510628" w:rsidRPr="0000085C" w14:paraId="3FE54EAC" w14:textId="77777777" w:rsidTr="00A162F1">
        <w:tc>
          <w:tcPr>
            <w:tcW w:w="2547" w:type="dxa"/>
          </w:tcPr>
          <w:p w14:paraId="4675C8F1" w14:textId="5835CDB6" w:rsidR="00510628" w:rsidRPr="0000085C" w:rsidRDefault="00510628" w:rsidP="00E3508E">
            <w:r w:rsidRPr="0000085C">
              <w:t>Social housing</w:t>
            </w:r>
          </w:p>
        </w:tc>
        <w:tc>
          <w:tcPr>
            <w:tcW w:w="7393" w:type="dxa"/>
          </w:tcPr>
          <w:p w14:paraId="2FAAA0BD" w14:textId="4BAEAFD1" w:rsidR="00510628" w:rsidRPr="0000085C" w:rsidRDefault="008F12E9" w:rsidP="00E3508E">
            <w:r>
              <w:t>Affordable</w:t>
            </w:r>
            <w:r w:rsidR="00510628" w:rsidRPr="0000085C">
              <w:t xml:space="preserve"> housing </w:t>
            </w:r>
            <w:r w:rsidR="00020EB8" w:rsidRPr="0000085C">
              <w:t>to assist people who are unable to afford or access suitable accommodation in the private rental marke</w:t>
            </w:r>
            <w:r w:rsidR="00B155C0">
              <w:t>t.</w:t>
            </w:r>
            <w:r w:rsidR="00510628" w:rsidRPr="0000085C">
              <w:t xml:space="preserve"> It includes public housing, state-owned and -managed Indigenous housing and community housing. Rents are set as a proportion of household income.</w:t>
            </w:r>
          </w:p>
        </w:tc>
      </w:tr>
      <w:tr w:rsidR="00510628" w:rsidRPr="0000085C" w14:paraId="2784814B" w14:textId="77777777" w:rsidTr="00A162F1">
        <w:tc>
          <w:tcPr>
            <w:tcW w:w="2547" w:type="dxa"/>
          </w:tcPr>
          <w:p w14:paraId="67150CD9" w14:textId="0F1DB20A" w:rsidR="00510628" w:rsidRPr="0000085C" w:rsidRDefault="00510628" w:rsidP="00E3508E">
            <w:r w:rsidRPr="0000085C">
              <w:t>Tenure</w:t>
            </w:r>
          </w:p>
        </w:tc>
        <w:tc>
          <w:tcPr>
            <w:tcW w:w="7393" w:type="dxa"/>
          </w:tcPr>
          <w:p w14:paraId="2D9AD25A" w14:textId="672777FD" w:rsidR="00510628" w:rsidRPr="0000085C" w:rsidRDefault="00510628" w:rsidP="00E3508E">
            <w:r w:rsidRPr="0000085C">
              <w:t>The legal</w:t>
            </w:r>
            <w:r w:rsidR="0017291E">
              <w:t>, financial</w:t>
            </w:r>
            <w:r w:rsidRPr="0000085C">
              <w:t xml:space="preserve"> and social arrangements </w:t>
            </w:r>
            <w:r w:rsidR="0017291E">
              <w:t xml:space="preserve">under which someone has the right to live in a </w:t>
            </w:r>
            <w:r w:rsidR="00CC1230">
              <w:t>dwelling</w:t>
            </w:r>
            <w:r w:rsidR="0017291E">
              <w:t xml:space="preserve"> o</w:t>
            </w:r>
            <w:r w:rsidR="00CC1230">
              <w:t>r on a piece of land</w:t>
            </w:r>
            <w:r w:rsidRPr="0000085C">
              <w:t xml:space="preserve">. Tenure arrangements </w:t>
            </w:r>
            <w:r w:rsidR="004D64C7">
              <w:t>include the</w:t>
            </w:r>
            <w:r w:rsidRPr="0000085C">
              <w:t xml:space="preserve"> rights and responsibilities of occupants and owners and may influence the stability and security of housing. </w:t>
            </w:r>
            <w:r w:rsidR="006A2E6D">
              <w:t>The main categories of tenure are</w:t>
            </w:r>
            <w:r w:rsidRPr="0000085C">
              <w:t xml:space="preserve"> ownership </w:t>
            </w:r>
            <w:r w:rsidR="004E2920">
              <w:t>and</w:t>
            </w:r>
            <w:r w:rsidRPr="0000085C">
              <w:t xml:space="preserve"> renting, but there are many </w:t>
            </w:r>
            <w:r w:rsidR="008C2DCD">
              <w:t>forms of tenure</w:t>
            </w:r>
            <w:r w:rsidR="004E2920">
              <w:t xml:space="preserve">, including those that </w:t>
            </w:r>
            <w:r w:rsidR="00B0228B">
              <w:t>provide little or no security</w:t>
            </w:r>
            <w:r w:rsidR="004E2920">
              <w:t>.</w:t>
            </w:r>
          </w:p>
        </w:tc>
      </w:tr>
      <w:tr w:rsidR="00510628" w:rsidRPr="0000085C" w14:paraId="1199302F" w14:textId="77777777" w:rsidTr="00A162F1">
        <w:tc>
          <w:tcPr>
            <w:tcW w:w="2547" w:type="dxa"/>
          </w:tcPr>
          <w:p w14:paraId="3E93B291" w14:textId="3630649C" w:rsidR="00510628" w:rsidRPr="0000085C" w:rsidRDefault="00510628" w:rsidP="00E3508E">
            <w:r w:rsidRPr="0000085C">
              <w:t>Trauma-informed</w:t>
            </w:r>
          </w:p>
        </w:tc>
        <w:tc>
          <w:tcPr>
            <w:tcW w:w="7393" w:type="dxa"/>
          </w:tcPr>
          <w:p w14:paraId="433634ED" w14:textId="75DEE892" w:rsidR="00510628" w:rsidRPr="0000085C" w:rsidRDefault="00510628" w:rsidP="00E3508E">
            <w:r w:rsidRPr="0000085C">
              <w:t>An approach to care and service delivery that recognises and responds to the impact of trauma on individuals and communities.</w:t>
            </w:r>
          </w:p>
        </w:tc>
      </w:tr>
    </w:tbl>
    <w:p w14:paraId="33D9BAFF" w14:textId="16F6CB0F" w:rsidR="00FC491B" w:rsidRDefault="00FC491B" w:rsidP="00BC7966"/>
    <w:p w14:paraId="14D8ACC2" w14:textId="77777777" w:rsidR="00FC491B" w:rsidRDefault="00FC491B">
      <w:pPr>
        <w:widowControl/>
        <w:autoSpaceDE/>
        <w:autoSpaceDN/>
        <w:spacing w:before="0" w:after="160" w:line="259" w:lineRule="auto"/>
      </w:pPr>
      <w:r>
        <w:br w:type="page"/>
      </w:r>
    </w:p>
    <w:p w14:paraId="6104F9FA" w14:textId="6B43D5A5" w:rsidR="00E3508E" w:rsidRPr="003814F8" w:rsidRDefault="003814F8" w:rsidP="00BC7966">
      <w:pPr>
        <w:rPr>
          <w:b/>
          <w:bCs/>
        </w:rPr>
      </w:pPr>
      <w:r>
        <w:rPr>
          <w:b/>
          <w:bCs/>
        </w:rPr>
        <w:lastRenderedPageBreak/>
        <w:t xml:space="preserve">Table 1. </w:t>
      </w:r>
      <w:r w:rsidR="007D2415">
        <w:rPr>
          <w:b/>
          <w:bCs/>
        </w:rPr>
        <w:t>The meaning</w:t>
      </w:r>
      <w:r w:rsidR="005A0F5C">
        <w:rPr>
          <w:b/>
          <w:bCs/>
        </w:rPr>
        <w:t>s</w:t>
      </w:r>
      <w:r w:rsidR="007D2415">
        <w:rPr>
          <w:b/>
          <w:bCs/>
        </w:rPr>
        <w:t xml:space="preserve"> of different description</w:t>
      </w:r>
      <w:r w:rsidR="0077210B">
        <w:rPr>
          <w:b/>
          <w:bCs/>
        </w:rPr>
        <w:t xml:space="preserve">s of people experiencing homelessness </w:t>
      </w:r>
      <w:r w:rsidR="007D2415">
        <w:rPr>
          <w:b/>
          <w:bCs/>
        </w:rPr>
        <w:t>and/or housing insecurity</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995"/>
        <w:gridCol w:w="1995"/>
        <w:gridCol w:w="2111"/>
      </w:tblGrid>
      <w:tr w:rsidR="00D67E27" w14:paraId="3B176384"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F8FB8E9" w14:textId="77777777" w:rsidR="00D67E27" w:rsidRPr="00A14193" w:rsidRDefault="00D67E27">
            <w:pPr>
              <w:jc w:val="center"/>
              <w:rPr>
                <w:b/>
                <w:bCs/>
              </w:rPr>
            </w:pPr>
            <w:r w:rsidRPr="00A14193">
              <w:rPr>
                <w:b/>
                <w:bCs/>
              </w:rPr>
              <w:t>Living circumstances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7B5942C" w14:textId="77777777" w:rsidR="00D67E27" w:rsidRPr="00A14193" w:rsidRDefault="00D67E27">
            <w:pPr>
              <w:jc w:val="center"/>
              <w:rPr>
                <w:b/>
                <w:bCs/>
              </w:rPr>
            </w:pPr>
            <w:r w:rsidRPr="00A14193">
              <w:rPr>
                <w:b/>
                <w:bCs/>
              </w:rPr>
              <w:t>This report</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020113" w14:textId="77777777" w:rsidR="00D67E27" w:rsidRPr="00A14193" w:rsidRDefault="00D67E27">
            <w:pPr>
              <w:jc w:val="center"/>
              <w:rPr>
                <w:b/>
                <w:bCs/>
              </w:rPr>
            </w:pPr>
            <w:r w:rsidRPr="00A14193">
              <w:rPr>
                <w:b/>
                <w:bCs/>
              </w:rPr>
              <w:t>ABS classification</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3F00C5E" w14:textId="31CDD929" w:rsidR="00D67E27" w:rsidRPr="00A14193" w:rsidRDefault="007F7B9B">
            <w:pPr>
              <w:jc w:val="center"/>
              <w:rPr>
                <w:b/>
                <w:bCs/>
              </w:rPr>
            </w:pPr>
            <w:r>
              <w:rPr>
                <w:b/>
                <w:bCs/>
              </w:rPr>
              <w:t xml:space="preserve">Cultural </w:t>
            </w:r>
            <w:r w:rsidR="00DA57B9">
              <w:rPr>
                <w:b/>
                <w:bCs/>
              </w:rPr>
              <w:t xml:space="preserve">definitions </w:t>
            </w:r>
          </w:p>
        </w:tc>
      </w:tr>
      <w:tr w:rsidR="00D67E27" w14:paraId="5E1F2AD9"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B5191FA" w14:textId="77777777" w:rsidR="00D67E27" w:rsidRDefault="00D67E27">
            <w:r w:rsidRPr="00813C58">
              <w:rPr>
                <w:lang w:val="en-AU"/>
              </w:rPr>
              <w:t>people living in improvised dwellings, tents or sleeping out</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359E130" w14:textId="77777777" w:rsidR="00D67E27" w:rsidRDefault="00D67E27">
            <w:r>
              <w:t>Primary Homelessness</w:t>
            </w:r>
          </w:p>
        </w:tc>
        <w:tc>
          <w:tcPr>
            <w:tcW w:w="1701"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A20BF36" w14:textId="77777777" w:rsidR="00D67E27" w:rsidRDefault="00D67E27">
            <w:r>
              <w:t>Homelessness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5544D1E" w14:textId="4365B377" w:rsidR="00D67E27" w:rsidRDefault="00D67E27">
            <w:r>
              <w:t xml:space="preserve">Primary </w:t>
            </w:r>
            <w:r w:rsidR="00406F24">
              <w:t>h</w:t>
            </w:r>
            <w:r>
              <w:t>omelessness</w:t>
            </w:r>
          </w:p>
        </w:tc>
      </w:tr>
      <w:tr w:rsidR="00D67E27" w14:paraId="504A0DFC"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CBBB473" w14:textId="77777777" w:rsidR="00D67E27" w:rsidRDefault="00D67E27">
            <w:r w:rsidRPr="00813C58">
              <w:rPr>
                <w:lang w:val="en-AU"/>
              </w:rPr>
              <w:t>people living in supported accommodation for the homeless</w:t>
            </w:r>
          </w:p>
        </w:tc>
        <w:tc>
          <w:tcPr>
            <w:tcW w:w="1701"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8069603" w14:textId="77777777" w:rsidR="00D67E27" w:rsidRDefault="00D67E27">
            <w:r>
              <w:t>Other homelessness and marginally housed</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FB5E335" w14:textId="77777777" w:rsidR="00D67E27" w:rsidRDefault="00D67E27"/>
        </w:tc>
        <w:tc>
          <w:tcPr>
            <w:tcW w:w="1701"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FDA344E" w14:textId="77777777" w:rsidR="00D67E27" w:rsidRDefault="00D67E27">
            <w:r>
              <w:t xml:space="preserve">Secondary homelessness – </w:t>
            </w:r>
          </w:p>
          <w:p w14:paraId="21157C30" w14:textId="77777777" w:rsidR="00D67E27" w:rsidRDefault="00D67E27">
            <w:r w:rsidRPr="0000085C">
              <w:t>people who move from one temporary shelter to another</w:t>
            </w:r>
          </w:p>
        </w:tc>
      </w:tr>
      <w:tr w:rsidR="00D67E27" w14:paraId="62C53D56"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4076080" w14:textId="77777777" w:rsidR="00D67E27" w:rsidRDefault="00D67E27">
            <w:r w:rsidRPr="00813C58">
              <w:rPr>
                <w:lang w:val="en-AU"/>
              </w:rPr>
              <w:t>people staying temporarily with other households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A0DF42D"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5D4ED8" w14:textId="77777777" w:rsidR="00D67E27" w:rsidRDefault="00D67E27"/>
        </w:tc>
        <w:tc>
          <w:tcPr>
            <w:tcW w:w="1701" w:type="dxa"/>
            <w:vMerge/>
            <w:tcBorders>
              <w:left w:val="single" w:sz="4" w:space="0" w:color="767171" w:themeColor="background2" w:themeShade="80"/>
              <w:right w:val="single" w:sz="4" w:space="0" w:color="767171" w:themeColor="background2" w:themeShade="80"/>
            </w:tcBorders>
            <w:vAlign w:val="center"/>
          </w:tcPr>
          <w:p w14:paraId="7AA68EE7" w14:textId="77777777" w:rsidR="00D67E27" w:rsidRDefault="00D67E27"/>
        </w:tc>
      </w:tr>
      <w:tr w:rsidR="00D67E27" w14:paraId="42ACADCE"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3CEEB2D" w14:textId="77777777" w:rsidR="00D67E27" w:rsidRDefault="00D67E27">
            <w:r w:rsidRPr="00813C58">
              <w:rPr>
                <w:lang w:val="en-AU"/>
              </w:rPr>
              <w:t>people in other temporary lodgings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420FC81"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083D4EE" w14:textId="77777777" w:rsidR="00D67E27" w:rsidRDefault="00D67E27"/>
        </w:tc>
        <w:tc>
          <w:tcPr>
            <w:tcW w:w="1701"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C8C6FDF" w14:textId="77777777" w:rsidR="00D67E27" w:rsidRDefault="00D67E27"/>
        </w:tc>
      </w:tr>
      <w:tr w:rsidR="00D67E27" w14:paraId="39253D2F"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59491F9" w14:textId="77777777" w:rsidR="00D67E27" w:rsidRPr="000846B2" w:rsidRDefault="00D67E27">
            <w:pPr>
              <w:rPr>
                <w:lang w:val="en-AU"/>
              </w:rPr>
            </w:pPr>
            <w:r w:rsidRPr="00813C58">
              <w:rPr>
                <w:lang w:val="en-AU"/>
              </w:rPr>
              <w:t>people living in boarding houses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FB0EB00"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1344E6C" w14:textId="77777777" w:rsidR="00D67E27" w:rsidRDefault="00D67E27"/>
        </w:tc>
        <w:tc>
          <w:tcPr>
            <w:tcW w:w="1701"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EB13C87" w14:textId="77777777" w:rsidR="00D67E27" w:rsidRDefault="00D67E27">
            <w:r>
              <w:t xml:space="preserve">Tertiary homelessness – </w:t>
            </w:r>
          </w:p>
          <w:p w14:paraId="206C0932" w14:textId="77777777" w:rsidR="00D67E27" w:rsidRDefault="00D67E27">
            <w:r w:rsidRPr="0000085C">
              <w:t>people staying in accommodation that falls below minimum community standards</w:t>
            </w:r>
          </w:p>
        </w:tc>
      </w:tr>
      <w:tr w:rsidR="00D67E27" w14:paraId="5ECE7B3D"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22A615D" w14:textId="77777777" w:rsidR="00D67E27" w:rsidRDefault="00D67E27">
            <w:r w:rsidRPr="00813C58">
              <w:rPr>
                <w:lang w:val="en-AU"/>
              </w:rPr>
              <w:t>people living in ‘severely’ crowded dwellings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E626FF"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E72C1EE" w14:textId="77777777" w:rsidR="00D67E27" w:rsidRDefault="00D67E27"/>
        </w:tc>
        <w:tc>
          <w:tcPr>
            <w:tcW w:w="1701" w:type="dxa"/>
            <w:vMerge/>
            <w:tcBorders>
              <w:left w:val="single" w:sz="4" w:space="0" w:color="767171" w:themeColor="background2" w:themeShade="80"/>
              <w:right w:val="single" w:sz="4" w:space="0" w:color="767171" w:themeColor="background2" w:themeShade="80"/>
            </w:tcBorders>
            <w:vAlign w:val="center"/>
          </w:tcPr>
          <w:p w14:paraId="03869145" w14:textId="77777777" w:rsidR="00D67E27" w:rsidRDefault="00D67E27"/>
        </w:tc>
      </w:tr>
      <w:tr w:rsidR="00D67E27" w14:paraId="756B83F7"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A3586BB" w14:textId="77777777" w:rsidR="00D67E27" w:rsidRDefault="00D67E27">
            <w:r w:rsidRPr="00813C58">
              <w:rPr>
                <w:lang w:val="en-AU"/>
              </w:rPr>
              <w:t>people living in other crowded dwellings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27E7EB6" w14:textId="77777777" w:rsidR="00D67E27" w:rsidRDefault="00D67E27"/>
        </w:tc>
        <w:tc>
          <w:tcPr>
            <w:tcW w:w="1701"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9CFF099" w14:textId="77777777" w:rsidR="00D67E27" w:rsidRDefault="00D67E27">
            <w:r>
              <w:t>Marginally housed</w:t>
            </w:r>
          </w:p>
        </w:tc>
        <w:tc>
          <w:tcPr>
            <w:tcW w:w="1701" w:type="dxa"/>
            <w:vMerge/>
            <w:tcBorders>
              <w:left w:val="single" w:sz="4" w:space="0" w:color="767171" w:themeColor="background2" w:themeShade="80"/>
              <w:right w:val="single" w:sz="4" w:space="0" w:color="767171" w:themeColor="background2" w:themeShade="80"/>
            </w:tcBorders>
            <w:vAlign w:val="center"/>
          </w:tcPr>
          <w:p w14:paraId="294DE750" w14:textId="77777777" w:rsidR="00D67E27" w:rsidRDefault="00D67E27"/>
        </w:tc>
      </w:tr>
      <w:tr w:rsidR="00D67E27" w14:paraId="7320C9E4"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C279E2D" w14:textId="77777777" w:rsidR="00D67E27" w:rsidRDefault="00D67E27">
            <w:r w:rsidRPr="00813C58">
              <w:rPr>
                <w:lang w:val="en-AU"/>
              </w:rPr>
              <w:t>people in other improvised dwellings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EC151D"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9F2E19C" w14:textId="77777777" w:rsidR="00D67E27" w:rsidRDefault="00D67E27"/>
        </w:tc>
        <w:tc>
          <w:tcPr>
            <w:tcW w:w="1701" w:type="dxa"/>
            <w:vMerge/>
            <w:tcBorders>
              <w:left w:val="single" w:sz="4" w:space="0" w:color="767171" w:themeColor="background2" w:themeShade="80"/>
              <w:right w:val="single" w:sz="4" w:space="0" w:color="767171" w:themeColor="background2" w:themeShade="80"/>
            </w:tcBorders>
          </w:tcPr>
          <w:p w14:paraId="25C602FA" w14:textId="77777777" w:rsidR="00D67E27" w:rsidRDefault="00D67E27"/>
        </w:tc>
      </w:tr>
      <w:tr w:rsidR="00D67E27" w14:paraId="639EE50C" w14:textId="77777777" w:rsidTr="00DA57B9">
        <w:tc>
          <w:tcPr>
            <w:tcW w:w="325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D1E300" w14:textId="77777777" w:rsidR="00D67E27" w:rsidRDefault="00D67E27">
            <w:r w:rsidRPr="00813C58">
              <w:rPr>
                <w:lang w:val="en-AU"/>
              </w:rPr>
              <w:t>people marginally housed in caravan parks</w:t>
            </w:r>
          </w:p>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FE582E" w14:textId="77777777" w:rsidR="00D67E27" w:rsidRDefault="00D67E27"/>
        </w:tc>
        <w:tc>
          <w:tcPr>
            <w:tcW w:w="1701"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89CD1B" w14:textId="77777777" w:rsidR="00D67E27" w:rsidRDefault="00D67E27"/>
        </w:tc>
        <w:tc>
          <w:tcPr>
            <w:tcW w:w="1701"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7A8E49F7" w14:textId="77777777" w:rsidR="00D67E27" w:rsidRDefault="00D67E27"/>
        </w:tc>
      </w:tr>
    </w:tbl>
    <w:p w14:paraId="5EF85CBB" w14:textId="77777777" w:rsidR="00510628" w:rsidRPr="0000085C" w:rsidRDefault="00510628">
      <w:pPr>
        <w:widowControl/>
        <w:autoSpaceDE/>
        <w:autoSpaceDN/>
        <w:spacing w:before="0" w:after="160" w:line="259" w:lineRule="auto"/>
        <w:rPr>
          <w:rFonts w:ascii="Avenir Next Demi Bold" w:eastAsia="AvenirNextLTPro-Demi" w:hAnsi="Avenir Next Demi Bold" w:cs="AvenirNextLTPro-Demi"/>
          <w:b/>
          <w:bCs/>
          <w:color w:val="1598CB"/>
          <w:sz w:val="48"/>
          <w:szCs w:val="48"/>
        </w:rPr>
      </w:pPr>
      <w:r w:rsidRPr="0000085C">
        <w:br w:type="page"/>
      </w:r>
    </w:p>
    <w:p w14:paraId="70C1A7FC" w14:textId="77777777" w:rsidR="005C584D" w:rsidRPr="00BC7966" w:rsidRDefault="005C584D" w:rsidP="00E509D2">
      <w:pPr>
        <w:pStyle w:val="Heading1"/>
        <w:rPr>
          <w:lang w:val="en-GB"/>
        </w:rPr>
      </w:pPr>
      <w:bookmarkStart w:id="36" w:name="_Toc198823115"/>
      <w:r w:rsidRPr="00BC7966">
        <w:rPr>
          <w:lang w:val="en-GB"/>
        </w:rPr>
        <w:lastRenderedPageBreak/>
        <w:t>References</w:t>
      </w:r>
      <w:bookmarkEnd w:id="36"/>
    </w:p>
    <w:p w14:paraId="505672DF" w14:textId="00E0EDE3" w:rsidR="005C584D" w:rsidRPr="00393A27" w:rsidRDefault="005C584D" w:rsidP="00E509D2">
      <w:pPr>
        <w:pStyle w:val="EndNoteBibliography"/>
        <w:spacing w:after="0"/>
      </w:pPr>
      <w:r w:rsidRPr="00393A27">
        <w:t xml:space="preserve">ABS (Australian Bureau of Statistics) (2021) </w:t>
      </w:r>
      <w:hyperlink r:id="rId50" w:history="1">
        <w:r w:rsidR="002B012E" w:rsidRPr="002B012E">
          <w:rPr>
            <w:rStyle w:val="Hyperlink"/>
            <w:rFonts w:ascii="Avenir Next" w:hAnsi="Avenir Next"/>
            <w:i/>
          </w:rPr>
          <w:t>Estimating Homelessness: Census, 2021 | Australian Bureau of Statistics</w:t>
        </w:r>
      </w:hyperlink>
      <w:r w:rsidRPr="00393A27">
        <w:t xml:space="preserve">, accessed </w:t>
      </w:r>
      <w:r w:rsidR="002B012E">
        <w:t>May 2025</w:t>
      </w:r>
      <w:r w:rsidR="00A46D15">
        <w:t>.</w:t>
      </w:r>
    </w:p>
    <w:p w14:paraId="4BDBC15A" w14:textId="2BB155AE" w:rsidR="005C584D" w:rsidRPr="00393A27" w:rsidRDefault="005C584D" w:rsidP="00A163D3">
      <w:pPr>
        <w:pStyle w:val="EndNoteBibliography"/>
      </w:pPr>
      <w:r w:rsidRPr="00393A27">
        <w:t>--- (</w:t>
      </w:r>
      <w:r w:rsidR="00A163D3">
        <w:t>March 2025</w:t>
      </w:r>
      <w:r w:rsidRPr="00393A27">
        <w:t xml:space="preserve">) </w:t>
      </w:r>
      <w:r w:rsidR="00D10063">
        <w:t>‘</w:t>
      </w:r>
      <w:r w:rsidR="00C35A85" w:rsidRPr="00C35A85">
        <w:rPr>
          <w:lang w:val="en-AU"/>
        </w:rPr>
        <w:t>All WPI series: original (quarterly index)</w:t>
      </w:r>
      <w:r w:rsidR="00824A18">
        <w:rPr>
          <w:lang w:val="en-AU"/>
        </w:rPr>
        <w:t>’</w:t>
      </w:r>
      <w:r w:rsidR="00A163D3">
        <w:rPr>
          <w:lang w:val="en-AU"/>
        </w:rPr>
        <w:t xml:space="preserve"> </w:t>
      </w:r>
      <w:r w:rsidR="00AE452A">
        <w:rPr>
          <w:iCs/>
        </w:rPr>
        <w:t>[data set]</w:t>
      </w:r>
      <w:r w:rsidR="00A163D3">
        <w:rPr>
          <w:iCs/>
        </w:rPr>
        <w:t>,</w:t>
      </w:r>
      <w:r w:rsidR="007C2359" w:rsidRPr="007C2359">
        <w:rPr>
          <w:noProof w:val="0"/>
          <w:szCs w:val="22"/>
        </w:rPr>
        <w:t xml:space="preserve"> </w:t>
      </w:r>
      <w:hyperlink r:id="rId51" w:history="1">
        <w:r w:rsidR="007C2359" w:rsidRPr="007C2359">
          <w:rPr>
            <w:rStyle w:val="Hyperlink"/>
            <w:rFonts w:ascii="Avenir Next" w:hAnsi="Avenir Next"/>
            <w:iCs/>
          </w:rPr>
          <w:t>Wage Price Index, Australia | Australian Bureau of Statistics</w:t>
        </w:r>
      </w:hyperlink>
      <w:r w:rsidRPr="00393A27">
        <w:t xml:space="preserve">, accessed </w:t>
      </w:r>
      <w:r w:rsidR="007C2359">
        <w:t xml:space="preserve">14 </w:t>
      </w:r>
      <w:r w:rsidR="006367FE">
        <w:t>May</w:t>
      </w:r>
      <w:r w:rsidR="006367FE" w:rsidRPr="00393A27">
        <w:t xml:space="preserve"> </w:t>
      </w:r>
      <w:r w:rsidRPr="00393A27">
        <w:t>202</w:t>
      </w:r>
      <w:r w:rsidR="00404577">
        <w:t>5</w:t>
      </w:r>
      <w:r w:rsidR="00A163D3">
        <w:t>.</w:t>
      </w:r>
    </w:p>
    <w:p w14:paraId="48957449" w14:textId="6A540E8B" w:rsidR="005C584D" w:rsidRDefault="005C584D" w:rsidP="00E509D2">
      <w:pPr>
        <w:pStyle w:val="EndNoteBibliography"/>
        <w:spacing w:after="0"/>
      </w:pPr>
      <w:r w:rsidRPr="00393A27">
        <w:t xml:space="preserve">Anglicare Tasmania (2024) </w:t>
      </w:r>
      <w:hyperlink r:id="rId52" w:history="1">
        <w:hyperlink r:id="rId53" w:history="1">
          <w:r w:rsidRPr="0058055C">
            <w:rPr>
              <w:rStyle w:val="Hyperlink"/>
              <w:rFonts w:ascii="Avenir Next" w:hAnsi="Avenir Next"/>
              <w:i/>
            </w:rPr>
            <w:t>More houses needed</w:t>
          </w:r>
        </w:hyperlink>
      </w:hyperlink>
      <w:r w:rsidRPr="00393A27">
        <w:t>,</w:t>
      </w:r>
      <w:r w:rsidR="009D280C">
        <w:t xml:space="preserve"> Housing </w:t>
      </w:r>
      <w:r w:rsidR="00A03CF0">
        <w:t>Connect Front Door Snapshot September 2024</w:t>
      </w:r>
      <w:r w:rsidR="003F40C8">
        <w:t>,</w:t>
      </w:r>
      <w:r w:rsidRPr="00393A27">
        <w:t xml:space="preserve"> Social Action and Research Centre, Anglicare Tasmania, Hobart</w:t>
      </w:r>
      <w:r w:rsidR="003F40C8">
        <w:t>.</w:t>
      </w:r>
      <w:r w:rsidR="00156B95">
        <w:t xml:space="preserve"> </w:t>
      </w:r>
    </w:p>
    <w:p w14:paraId="44DD092B" w14:textId="01656DDB" w:rsidR="00FC3E17" w:rsidRDefault="00FC3E17" w:rsidP="00E509D2">
      <w:pPr>
        <w:pStyle w:val="EndNoteBibliography"/>
        <w:spacing w:after="0"/>
      </w:pPr>
      <w:r>
        <w:t xml:space="preserve">Anglicare Tasmania (2025) </w:t>
      </w:r>
      <w:hyperlink r:id="rId54" w:history="1">
        <w:r w:rsidRPr="005F4542">
          <w:rPr>
            <w:rStyle w:val="Hyperlink"/>
            <w:rFonts w:ascii="Avenir Next" w:hAnsi="Avenir Next"/>
            <w:i/>
            <w:iCs/>
          </w:rPr>
          <w:t>Rental Affordability Snapshot</w:t>
        </w:r>
        <w:r w:rsidR="00886F61" w:rsidRPr="005F4542">
          <w:rPr>
            <w:rStyle w:val="Hyperlink"/>
            <w:rFonts w:ascii="Avenir Next" w:hAnsi="Avenir Next"/>
            <w:i/>
            <w:iCs/>
          </w:rPr>
          <w:t xml:space="preserve"> Tasmania 2025</w:t>
        </w:r>
      </w:hyperlink>
      <w:r w:rsidR="00886F61">
        <w:t xml:space="preserve">, Social Action and </w:t>
      </w:r>
      <w:r w:rsidR="00794931">
        <w:t>Research Centre, Anglicare Tasmania, Hobart.</w:t>
      </w:r>
    </w:p>
    <w:p w14:paraId="30CB7CC9" w14:textId="0405FE52" w:rsidR="00EC1EE1" w:rsidRDefault="00EC1EE1" w:rsidP="00E533E8">
      <w:pPr>
        <w:pStyle w:val="EndNoteBibliography"/>
      </w:pPr>
      <w:r>
        <w:t>Chamberla</w:t>
      </w:r>
      <w:r w:rsidR="00A8390F">
        <w:t xml:space="preserve">in C and MacKenzie D (2008) </w:t>
      </w:r>
      <w:hyperlink r:id="rId55" w:history="1">
        <w:r w:rsidR="00A8390F" w:rsidRPr="005F4542">
          <w:rPr>
            <w:rStyle w:val="Hyperlink"/>
            <w:rFonts w:ascii="Avenir Next" w:hAnsi="Avenir Next"/>
            <w:i/>
            <w:iCs/>
          </w:rPr>
          <w:t>Counting the Homeless</w:t>
        </w:r>
        <w:r w:rsidR="0037437B" w:rsidRPr="005F4542">
          <w:rPr>
            <w:rStyle w:val="Hyperlink"/>
            <w:rFonts w:ascii="Avenir Next" w:hAnsi="Avenir Next"/>
            <w:i/>
            <w:iCs/>
          </w:rPr>
          <w:t>,</w:t>
        </w:r>
        <w:r w:rsidR="00201602" w:rsidRPr="005F4542">
          <w:rPr>
            <w:rStyle w:val="Hyperlink"/>
            <w:rFonts w:ascii="Avenir Next" w:hAnsi="Avenir Next"/>
            <w:i/>
            <w:iCs/>
          </w:rPr>
          <w:t xml:space="preserve"> 2006</w:t>
        </w:r>
      </w:hyperlink>
      <w:r w:rsidR="00201602">
        <w:t xml:space="preserve">, ABS, accessed </w:t>
      </w:r>
      <w:r w:rsidR="0037437B">
        <w:t>May 2025.</w:t>
      </w:r>
    </w:p>
    <w:p w14:paraId="2AF42241" w14:textId="2F7A0E2A" w:rsidR="00E533E8" w:rsidRDefault="00E533E8" w:rsidP="00292D7A">
      <w:pPr>
        <w:pStyle w:val="EndNoteBibliography"/>
      </w:pPr>
      <w:r w:rsidRPr="00D86C00">
        <w:t xml:space="preserve">Homelessness Australia (2023) </w:t>
      </w:r>
      <w:hyperlink r:id="rId56" w:history="1">
        <w:r w:rsidRPr="0033037C">
          <w:rPr>
            <w:rStyle w:val="Hyperlink"/>
            <w:rFonts w:ascii="Avenir Next" w:hAnsi="Avenir Next"/>
            <w:i/>
          </w:rPr>
          <w:t>Definitions of homelessness fact sheet</w:t>
        </w:r>
      </w:hyperlink>
      <w:r w:rsidRPr="00D86C00">
        <w:t>, Homelessness Australia, accessed October 2024.</w:t>
      </w:r>
    </w:p>
    <w:p w14:paraId="289ADF26" w14:textId="19D82364" w:rsidR="005C584D" w:rsidRPr="00393A27" w:rsidRDefault="005C584D" w:rsidP="00E509D2">
      <w:pPr>
        <w:pStyle w:val="EndNoteBibliography"/>
        <w:spacing w:after="0"/>
      </w:pPr>
      <w:r w:rsidRPr="00393A27">
        <w:t>Homes Tasmania (</w:t>
      </w:r>
      <w:r w:rsidR="00497738">
        <w:t>2025</w:t>
      </w:r>
      <w:r w:rsidRPr="00393A27">
        <w:t xml:space="preserve">) </w:t>
      </w:r>
      <w:hyperlink r:id="rId57" w:history="1">
        <w:r w:rsidRPr="000A6854">
          <w:rPr>
            <w:rStyle w:val="Hyperlink"/>
            <w:rFonts w:ascii="Avenir Next" w:hAnsi="Avenir Next"/>
            <w:i/>
          </w:rPr>
          <w:t>Homes Tasmania Dashboard</w:t>
        </w:r>
      </w:hyperlink>
      <w:r w:rsidRPr="00393A27">
        <w:t xml:space="preserve">, </w:t>
      </w:r>
      <w:r w:rsidR="00497738">
        <w:t>March 2025</w:t>
      </w:r>
      <w:r w:rsidR="0090203F" w:rsidRPr="00393A27">
        <w:t xml:space="preserve">, </w:t>
      </w:r>
      <w:r w:rsidR="005149D8">
        <w:t xml:space="preserve">Homes Tasmania, </w:t>
      </w:r>
      <w:r w:rsidRPr="00393A27">
        <w:t>accessed Ma</w:t>
      </w:r>
      <w:r w:rsidR="006367FE">
        <w:t>y</w:t>
      </w:r>
      <w:r w:rsidRPr="00393A27">
        <w:t xml:space="preserve"> 2025</w:t>
      </w:r>
      <w:r w:rsidR="00406F24">
        <w:t>.</w:t>
      </w:r>
      <w:r w:rsidRPr="00393A27">
        <w:t xml:space="preserve"> </w:t>
      </w:r>
    </w:p>
    <w:p w14:paraId="74AD23E6" w14:textId="02AD5168" w:rsidR="005C584D" w:rsidRPr="00393A27" w:rsidRDefault="005C584D" w:rsidP="00E509D2">
      <w:pPr>
        <w:pStyle w:val="EndNoteBibliography"/>
        <w:spacing w:after="0"/>
      </w:pPr>
      <w:r w:rsidRPr="00393A27">
        <w:t xml:space="preserve">--- (2024) </w:t>
      </w:r>
      <w:hyperlink r:id="rId58" w:history="1">
        <w:r w:rsidRPr="00FD67A3">
          <w:rPr>
            <w:rStyle w:val="Hyperlink"/>
            <w:rFonts w:ascii="Avenir Next" w:hAnsi="Avenir Next"/>
            <w:i/>
          </w:rPr>
          <w:t>Housing Connect</w:t>
        </w:r>
        <w:r w:rsidR="00FD67A3" w:rsidRPr="00FD67A3">
          <w:rPr>
            <w:rStyle w:val="Hyperlink"/>
            <w:rFonts w:ascii="Avenir Next" w:hAnsi="Avenir Next"/>
            <w:i/>
          </w:rPr>
          <w:t xml:space="preserve"> </w:t>
        </w:r>
        <w:r w:rsidRPr="00FD67A3">
          <w:rPr>
            <w:rStyle w:val="Hyperlink"/>
            <w:rFonts w:ascii="Avenir Next" w:hAnsi="Avenir Next"/>
            <w:i/>
          </w:rPr>
          <w:t>Practice Framework</w:t>
        </w:r>
      </w:hyperlink>
      <w:r w:rsidRPr="00393A27">
        <w:t xml:space="preserve">, </w:t>
      </w:r>
      <w:r w:rsidR="00CF4BFA">
        <w:t xml:space="preserve">Homes Tasmania, </w:t>
      </w:r>
      <w:r w:rsidRPr="00393A27">
        <w:t>accessed October 2024</w:t>
      </w:r>
      <w:r w:rsidR="00A46DC0">
        <w:t>.</w:t>
      </w:r>
    </w:p>
    <w:p w14:paraId="3147222C" w14:textId="40DEA11A" w:rsidR="005C584D" w:rsidRPr="00393A27" w:rsidRDefault="005C584D" w:rsidP="00E509D2">
      <w:pPr>
        <w:pStyle w:val="EndNoteBibliography"/>
        <w:spacing w:after="0"/>
      </w:pPr>
      <w:r w:rsidRPr="00393A27">
        <w:t xml:space="preserve">Morris A, Idle J, Moore J and Robinson C (2023) </w:t>
      </w:r>
      <w:hyperlink r:id="rId59" w:history="1">
        <w:r w:rsidRPr="00A06FC6">
          <w:rPr>
            <w:rStyle w:val="Hyperlink"/>
            <w:rFonts w:ascii="Avenir Next" w:hAnsi="Avenir Next"/>
            <w:i/>
          </w:rPr>
          <w:t>Waithood: The experiences of applying for and waiting for social housing</w:t>
        </w:r>
      </w:hyperlink>
      <w:r w:rsidRPr="00393A27">
        <w:t>, Institute for Public Policy and Governance, University of Technology Sydney.</w:t>
      </w:r>
      <w:r w:rsidR="00B71C24">
        <w:t xml:space="preserve"> </w:t>
      </w:r>
    </w:p>
    <w:p w14:paraId="10F6AFF4" w14:textId="29FFC0F3" w:rsidR="005C584D" w:rsidRPr="00393A27" w:rsidRDefault="005C584D" w:rsidP="00E509D2">
      <w:pPr>
        <w:pStyle w:val="EndNoteBibliography"/>
        <w:spacing w:after="0"/>
      </w:pPr>
      <w:r w:rsidRPr="00393A27">
        <w:t xml:space="preserve">National Housing Supply and Affordability Council (2024) </w:t>
      </w:r>
      <w:hyperlink r:id="rId60" w:history="1">
        <w:r w:rsidRPr="00CF4BFA">
          <w:rPr>
            <w:rStyle w:val="Hyperlink"/>
            <w:rFonts w:ascii="Avenir Next" w:hAnsi="Avenir Next"/>
            <w:i/>
          </w:rPr>
          <w:t>State of the Housing System 2024</w:t>
        </w:r>
      </w:hyperlink>
      <w:r w:rsidRPr="00393A27">
        <w:t>, Commonwealth of Australia, Canberra.</w:t>
      </w:r>
    </w:p>
    <w:p w14:paraId="504B1A13" w14:textId="2D6D5F1C" w:rsidR="00A8401C" w:rsidRDefault="00A8401C" w:rsidP="00E509D2">
      <w:pPr>
        <w:pStyle w:val="EndNoteBibliography"/>
        <w:spacing w:after="0"/>
      </w:pPr>
      <w:r w:rsidRPr="00A8401C">
        <w:t xml:space="preserve">SCRGSP (Steering Committee for the Review of Government Service Provision) </w:t>
      </w:r>
      <w:r>
        <w:t>(</w:t>
      </w:r>
      <w:r w:rsidRPr="00A8401C">
        <w:t>2025</w:t>
      </w:r>
      <w:r>
        <w:t>)</w:t>
      </w:r>
      <w:r w:rsidRPr="00A8401C">
        <w:t xml:space="preserve"> </w:t>
      </w:r>
      <w:hyperlink r:id="rId61" w:history="1">
        <w:r w:rsidRPr="005F4542">
          <w:rPr>
            <w:rStyle w:val="Hyperlink"/>
            <w:rFonts w:ascii="Avenir Next" w:hAnsi="Avenir Next"/>
            <w:i/>
            <w:iCs/>
          </w:rPr>
          <w:t>Report on Government Services 2025</w:t>
        </w:r>
      </w:hyperlink>
      <w:r w:rsidRPr="00A8401C">
        <w:t>, Productivity Commission, Canberra</w:t>
      </w:r>
      <w:r w:rsidR="00B713DF">
        <w:t>, accessed February 2025.</w:t>
      </w:r>
    </w:p>
    <w:p w14:paraId="788AAA95" w14:textId="01764D1B" w:rsidR="007F4873" w:rsidRDefault="007F4873" w:rsidP="00CC1538">
      <w:pPr>
        <w:pStyle w:val="EndNoteBibliography"/>
      </w:pPr>
      <w:r>
        <w:t xml:space="preserve">TasCOSS </w:t>
      </w:r>
      <w:r w:rsidR="00971272">
        <w:t xml:space="preserve">(2025) </w:t>
      </w:r>
      <w:hyperlink r:id="rId62" w:history="1">
        <w:r w:rsidR="00971272" w:rsidRPr="00CF4BFA">
          <w:rPr>
            <w:rStyle w:val="Hyperlink"/>
            <w:rFonts w:ascii="Avenir Next" w:hAnsi="Avenir Next"/>
            <w:i/>
            <w:iCs/>
          </w:rPr>
          <w:t>Tasmania’s State of Housing Dashboard</w:t>
        </w:r>
      </w:hyperlink>
      <w:r w:rsidR="00054846">
        <w:t>,</w:t>
      </w:r>
      <w:r w:rsidR="00B713DF">
        <w:t xml:space="preserve"> March 2025</w:t>
      </w:r>
      <w:r w:rsidR="00D3275E">
        <w:t>,</w:t>
      </w:r>
      <w:r w:rsidR="00054846">
        <w:t xml:space="preserve"> accessed May 2025</w:t>
      </w:r>
      <w:r w:rsidR="00B71C24">
        <w:t>.</w:t>
      </w:r>
    </w:p>
    <w:p w14:paraId="3EF6A6F6" w14:textId="1D74AA22" w:rsidR="00CC1538" w:rsidRPr="00D86C00" w:rsidRDefault="00CC1538" w:rsidP="00CC1538">
      <w:pPr>
        <w:pStyle w:val="EndNoteBibliography"/>
      </w:pPr>
      <w:r w:rsidRPr="00D86C00">
        <w:t xml:space="preserve">Tasmanian Government (2023) </w:t>
      </w:r>
      <w:hyperlink r:id="rId63" w:history="1">
        <w:r w:rsidRPr="00CF4BFA">
          <w:rPr>
            <w:rStyle w:val="Hyperlink"/>
            <w:rFonts w:ascii="Avenir Next" w:hAnsi="Avenir Next"/>
            <w:i/>
          </w:rPr>
          <w:t>Tasmanian Housing Strategy 2023-2043</w:t>
        </w:r>
      </w:hyperlink>
      <w:r w:rsidRPr="00D86C00">
        <w:t>, accessed October 2024.</w:t>
      </w:r>
    </w:p>
    <w:p w14:paraId="7C3746EE" w14:textId="5DB6CBD5" w:rsidR="00974C36" w:rsidRPr="00974C36" w:rsidRDefault="00974C36" w:rsidP="00974C36">
      <w:pPr>
        <w:pStyle w:val="EndNoteBibliography"/>
        <w:spacing w:after="0"/>
        <w:rPr>
          <w:i/>
          <w:iCs/>
        </w:rPr>
      </w:pPr>
      <w:r>
        <w:t xml:space="preserve">Toombs G (2024) </w:t>
      </w:r>
      <w:hyperlink r:id="rId64" w:history="1">
        <w:r w:rsidRPr="00717139">
          <w:rPr>
            <w:rStyle w:val="Hyperlink"/>
            <w:rFonts w:ascii="Avenir Next" w:hAnsi="Avenir Next"/>
            <w:i/>
            <w:iCs/>
          </w:rPr>
          <w:t>Unsafe and unhoused</w:t>
        </w:r>
      </w:hyperlink>
      <w:r>
        <w:rPr>
          <w:i/>
          <w:iCs/>
        </w:rPr>
        <w:t xml:space="preserve">, </w:t>
      </w:r>
      <w:r>
        <w:t xml:space="preserve">Social Action and Research Centre, Anglicare Tasmania, Hobart. </w:t>
      </w:r>
    </w:p>
    <w:p w14:paraId="37566226" w14:textId="5163773D" w:rsidR="005C584D" w:rsidRPr="00393A27" w:rsidRDefault="005C584D" w:rsidP="00E509D2">
      <w:pPr>
        <w:pStyle w:val="EndNoteBibliography"/>
      </w:pPr>
      <w:r w:rsidRPr="00393A27">
        <w:t>TUT (Tenants' Union of Tasmania) (202</w:t>
      </w:r>
      <w:r w:rsidR="006367FE">
        <w:t>5</w:t>
      </w:r>
      <w:r w:rsidRPr="00393A27">
        <w:t xml:space="preserve">) </w:t>
      </w:r>
      <w:hyperlink r:id="rId65" w:history="1">
        <w:r w:rsidRPr="00816FDF">
          <w:rPr>
            <w:rStyle w:val="Hyperlink"/>
            <w:rFonts w:ascii="Avenir Next" w:hAnsi="Avenir Next"/>
            <w:i/>
          </w:rPr>
          <w:t xml:space="preserve">Tasmanian Rents: </w:t>
        </w:r>
        <w:r w:rsidR="006367FE" w:rsidRPr="00816FDF">
          <w:rPr>
            <w:rStyle w:val="Hyperlink"/>
            <w:rFonts w:ascii="Avenir Next" w:hAnsi="Avenir Next"/>
            <w:i/>
          </w:rPr>
          <w:t xml:space="preserve">March </w:t>
        </w:r>
        <w:r w:rsidRPr="00816FDF">
          <w:rPr>
            <w:rStyle w:val="Hyperlink"/>
            <w:rFonts w:ascii="Avenir Next" w:hAnsi="Avenir Next"/>
            <w:i/>
          </w:rPr>
          <w:t>Quarter</w:t>
        </w:r>
      </w:hyperlink>
      <w:r w:rsidRPr="00393A27">
        <w:t xml:space="preserve">, </w:t>
      </w:r>
      <w:r w:rsidR="005149D8">
        <w:t xml:space="preserve">TUT, </w:t>
      </w:r>
      <w:r w:rsidRPr="00393A27">
        <w:t xml:space="preserve">accessed </w:t>
      </w:r>
      <w:r w:rsidR="006367FE">
        <w:t>May</w:t>
      </w:r>
      <w:r w:rsidR="006367FE" w:rsidRPr="00393A27">
        <w:t xml:space="preserve"> </w:t>
      </w:r>
      <w:r w:rsidR="0090203F" w:rsidRPr="00393A27">
        <w:t>2025</w:t>
      </w:r>
      <w:r w:rsidR="005149D8">
        <w:t>.</w:t>
      </w:r>
    </w:p>
    <w:p w14:paraId="08002666" w14:textId="77777777" w:rsidR="005C584D" w:rsidRPr="00393A27" w:rsidRDefault="005C584D" w:rsidP="00E509D2">
      <w:pPr>
        <w:pStyle w:val="EndNoteBibliography"/>
      </w:pPr>
    </w:p>
    <w:p w14:paraId="66FE972C" w14:textId="77777777" w:rsidR="00022227" w:rsidRPr="0000085C" w:rsidRDefault="00022227"/>
    <w:p w14:paraId="53B2062C" w14:textId="77777777" w:rsidR="00022227" w:rsidRPr="0000085C" w:rsidRDefault="00022227"/>
    <w:p w14:paraId="08CDBB53" w14:textId="3E8D8EDD" w:rsidR="00B927B3" w:rsidRDefault="00022227">
      <w:r w:rsidRPr="0000085C">
        <w:rPr>
          <w:noProof/>
          <w:szCs w:val="24"/>
        </w:rPr>
        <w:fldChar w:fldCharType="begin"/>
      </w:r>
      <w:r w:rsidRPr="00393A27">
        <w:instrText xml:space="preserve"> ADDIN EN.REFLIST </w:instrText>
      </w:r>
      <w:r w:rsidRPr="0000085C">
        <w:rPr>
          <w:noProof/>
          <w:szCs w:val="24"/>
        </w:rPr>
        <w:fldChar w:fldCharType="separate"/>
      </w:r>
      <w:r w:rsidRPr="0000085C">
        <w:fldChar w:fldCharType="end"/>
      </w:r>
    </w:p>
    <w:sectPr w:rsidR="00B927B3" w:rsidSect="005C584D">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3434" w14:textId="77777777" w:rsidR="0048118F" w:rsidRPr="0000085C" w:rsidRDefault="0048118F" w:rsidP="005C584D">
      <w:pPr>
        <w:spacing w:before="0" w:after="0"/>
      </w:pPr>
      <w:r w:rsidRPr="0000085C">
        <w:separator/>
      </w:r>
    </w:p>
  </w:endnote>
  <w:endnote w:type="continuationSeparator" w:id="0">
    <w:p w14:paraId="4788CD76" w14:textId="77777777" w:rsidR="0048118F" w:rsidRPr="0000085C" w:rsidRDefault="0048118F" w:rsidP="005C584D">
      <w:pPr>
        <w:spacing w:before="0" w:after="0"/>
      </w:pPr>
      <w:r w:rsidRPr="00000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ra">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9B20F4B" w14:textId="77777777" w:rsidR="005C584D" w:rsidRPr="0000085C" w:rsidRDefault="005C584D" w:rsidP="00E509D2">
        <w:pPr>
          <w:pStyle w:val="Footer"/>
          <w:framePr w:wrap="none" w:vAnchor="text" w:hAnchor="margin" w:xAlign="right" w:y="1"/>
          <w:rPr>
            <w:rStyle w:val="PageNumber"/>
          </w:rPr>
        </w:pPr>
        <w:r w:rsidRPr="0000085C">
          <w:rPr>
            <w:rStyle w:val="PageNumber"/>
          </w:rPr>
          <w:fldChar w:fldCharType="begin"/>
        </w:r>
        <w:r w:rsidRPr="0000085C">
          <w:rPr>
            <w:rStyle w:val="PageNumber"/>
          </w:rPr>
          <w:instrText xml:space="preserve"> PAGE </w:instrText>
        </w:r>
        <w:r w:rsidRPr="0000085C">
          <w:rPr>
            <w:rStyle w:val="PageNumber"/>
          </w:rPr>
          <w:fldChar w:fldCharType="separate"/>
        </w:r>
        <w:r w:rsidRPr="00BC7966">
          <w:rPr>
            <w:rStyle w:val="PageNumber"/>
          </w:rPr>
          <w:t>4</w:t>
        </w:r>
        <w:r w:rsidRPr="0000085C">
          <w:rPr>
            <w:rStyle w:val="PageNumber"/>
          </w:rPr>
          <w:fldChar w:fldCharType="end"/>
        </w:r>
      </w:p>
    </w:sdtContent>
  </w:sdt>
  <w:p w14:paraId="0F0177E1" w14:textId="77777777" w:rsidR="005C584D" w:rsidRPr="0000085C" w:rsidRDefault="005C584D" w:rsidP="00E50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950165"/>
      <w:docPartObj>
        <w:docPartGallery w:val="Page Numbers (Bottom of Page)"/>
        <w:docPartUnique/>
      </w:docPartObj>
    </w:sdtPr>
    <w:sdtEndPr/>
    <w:sdtContent>
      <w:p w14:paraId="088FB2B8" w14:textId="77777777" w:rsidR="005C584D" w:rsidRPr="0000085C" w:rsidRDefault="005C584D">
        <w:pPr>
          <w:pStyle w:val="Footer"/>
        </w:pPr>
        <w:r w:rsidRPr="00BC7966">
          <w:fldChar w:fldCharType="begin"/>
        </w:r>
        <w:r w:rsidRPr="0000085C">
          <w:instrText xml:space="preserve"> PAGE   \* MERGEFORMAT </w:instrText>
        </w:r>
        <w:r w:rsidRPr="00BC7966">
          <w:fldChar w:fldCharType="separate"/>
        </w:r>
        <w:r w:rsidRPr="00BC7966">
          <w:t>2</w:t>
        </w:r>
        <w:r w:rsidRPr="00BC7966">
          <w:fldChar w:fldCharType="end"/>
        </w:r>
      </w:p>
    </w:sdtContent>
  </w:sdt>
  <w:p w14:paraId="0BC7FCC3" w14:textId="77777777" w:rsidR="005C584D" w:rsidRPr="0000085C" w:rsidRDefault="005C584D" w:rsidP="00E509D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FD9A" w14:textId="77777777" w:rsidR="0048118F" w:rsidRPr="0000085C" w:rsidRDefault="0048118F" w:rsidP="005C584D">
      <w:pPr>
        <w:spacing w:before="0" w:after="0"/>
      </w:pPr>
      <w:r w:rsidRPr="0000085C">
        <w:separator/>
      </w:r>
    </w:p>
  </w:footnote>
  <w:footnote w:type="continuationSeparator" w:id="0">
    <w:p w14:paraId="2CF58541" w14:textId="77777777" w:rsidR="0048118F" w:rsidRPr="0000085C" w:rsidRDefault="0048118F" w:rsidP="005C584D">
      <w:pPr>
        <w:spacing w:before="0" w:after="0"/>
      </w:pPr>
      <w:r w:rsidRPr="0000085C">
        <w:continuationSeparator/>
      </w:r>
    </w:p>
  </w:footnote>
  <w:footnote w:id="1">
    <w:p w14:paraId="5FCC26E5" w14:textId="069973BC" w:rsidR="005C584D" w:rsidRPr="00F23580" w:rsidRDefault="005C584D">
      <w:pPr>
        <w:pStyle w:val="FootnoteText"/>
      </w:pPr>
      <w:r w:rsidRPr="0000085C">
        <w:rPr>
          <w:rStyle w:val="FootnoteReference"/>
        </w:rPr>
        <w:footnoteRef/>
      </w:r>
      <w:r w:rsidRPr="0000085C">
        <w:t xml:space="preserve"> The weighted median rent index is compiled by the Tenants' Union of Tasmania from data collected by the Rental Bond Authority</w:t>
      </w:r>
      <w:r w:rsidR="00AC4739">
        <w:t>.</w:t>
      </w:r>
    </w:p>
  </w:footnote>
  <w:footnote w:id="2">
    <w:p w14:paraId="35FD0B64" w14:textId="0E715158" w:rsidR="005C584D" w:rsidRPr="00D76F7F" w:rsidRDefault="005C584D" w:rsidP="00E509D2">
      <w:pPr>
        <w:pStyle w:val="FootnoteText"/>
      </w:pPr>
      <w:r w:rsidRPr="0000085C">
        <w:rPr>
          <w:rStyle w:val="FootnoteReference"/>
        </w:rPr>
        <w:footnoteRef/>
      </w:r>
      <w:r w:rsidRPr="0000085C">
        <w:t xml:space="preserve"> </w:t>
      </w:r>
      <w:r w:rsidRPr="00D76F7F">
        <w:t xml:space="preserve">People needing housing support are Housing Connect clients who had an open support period between 1 </w:t>
      </w:r>
      <w:r w:rsidR="007037B2" w:rsidRPr="00D76F7F">
        <w:t xml:space="preserve">January and 31 March </w:t>
      </w:r>
      <w:r w:rsidRPr="00D76F7F">
        <w:t>2024.</w:t>
      </w:r>
    </w:p>
  </w:footnote>
  <w:footnote w:id="3">
    <w:p w14:paraId="6C700773" w14:textId="39A0A240" w:rsidR="00E05A12" w:rsidRPr="00433C26" w:rsidRDefault="00E05A12">
      <w:pPr>
        <w:pStyle w:val="FootnoteText"/>
      </w:pPr>
      <w:r w:rsidRPr="0000085C">
        <w:rPr>
          <w:rStyle w:val="FootnoteReference"/>
        </w:rPr>
        <w:footnoteRef/>
      </w:r>
      <w:r w:rsidRPr="0000085C">
        <w:t xml:space="preserve"> </w:t>
      </w:r>
      <w:r w:rsidRPr="00433C26">
        <w:t>Out of those clients who were long-term housed</w:t>
      </w:r>
      <w:r w:rsidR="001417A1">
        <w:t>.</w:t>
      </w:r>
    </w:p>
  </w:footnote>
  <w:footnote w:id="4">
    <w:p w14:paraId="57C9E6C2" w14:textId="362247F1" w:rsidR="00994992" w:rsidRPr="006C2ED2" w:rsidRDefault="00994992">
      <w:pPr>
        <w:pStyle w:val="FootnoteText"/>
      </w:pPr>
      <w:r w:rsidRPr="0000085C">
        <w:rPr>
          <w:rStyle w:val="FootnoteReference"/>
        </w:rPr>
        <w:footnoteRef/>
      </w:r>
      <w:r w:rsidRPr="0000085C">
        <w:t xml:space="preserve"> </w:t>
      </w:r>
      <w:r w:rsidRPr="006C2ED2">
        <w:t>Percentages do not sum to 100% due to rounding.</w:t>
      </w:r>
    </w:p>
  </w:footnote>
  <w:footnote w:id="5">
    <w:p w14:paraId="3D21808D" w14:textId="77777777" w:rsidR="00183C8C" w:rsidRPr="00C17111" w:rsidRDefault="00183C8C" w:rsidP="00183C8C">
      <w:pPr>
        <w:pStyle w:val="FootnoteText"/>
        <w:rPr>
          <w:lang w:val="en-AU"/>
        </w:rPr>
      </w:pPr>
      <w:r w:rsidRPr="0000085C">
        <w:rPr>
          <w:rStyle w:val="FootnoteReference"/>
        </w:rPr>
        <w:footnoteRef/>
      </w:r>
      <w:r w:rsidRPr="0000085C">
        <w:t xml:space="preserve"> Having a lease in place and being nominated on the lease is the most secure form of leased tenure.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5F25"/>
    <w:multiLevelType w:val="hybridMultilevel"/>
    <w:tmpl w:val="BC42CE9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6794CE8"/>
    <w:multiLevelType w:val="hybridMultilevel"/>
    <w:tmpl w:val="9A2C3010"/>
    <w:lvl w:ilvl="0" w:tplc="3E98A288">
      <w:start w:val="1"/>
      <w:numFmt w:val="bullet"/>
      <w:pStyle w:val="Bullets"/>
      <w:lvlText w:val=""/>
      <w:lvlJc w:val="left"/>
      <w:pPr>
        <w:ind w:left="3600" w:hanging="360"/>
      </w:pPr>
      <w:rPr>
        <w:rFonts w:ascii="Symbol" w:hAnsi="Symbol" w:hint="default"/>
        <w:color w:val="FFC000"/>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2" w15:restartNumberingAfterBreak="0">
    <w:nsid w:val="17BC3B0B"/>
    <w:multiLevelType w:val="hybridMultilevel"/>
    <w:tmpl w:val="C20C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9399C"/>
    <w:multiLevelType w:val="hybridMultilevel"/>
    <w:tmpl w:val="C2A27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55212"/>
    <w:multiLevelType w:val="hybridMultilevel"/>
    <w:tmpl w:val="52F4C992"/>
    <w:lvl w:ilvl="0" w:tplc="749CF2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CF1B4B"/>
    <w:multiLevelType w:val="hybridMultilevel"/>
    <w:tmpl w:val="9C944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C5B01"/>
    <w:multiLevelType w:val="hybridMultilevel"/>
    <w:tmpl w:val="8F24CB68"/>
    <w:lvl w:ilvl="0" w:tplc="DEECAAC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E6070"/>
    <w:multiLevelType w:val="multilevel"/>
    <w:tmpl w:val="C7A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B7BC4"/>
    <w:multiLevelType w:val="hybridMultilevel"/>
    <w:tmpl w:val="88049556"/>
    <w:lvl w:ilvl="0" w:tplc="7A86C89A">
      <w:start w:val="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7B7E37"/>
    <w:multiLevelType w:val="hybridMultilevel"/>
    <w:tmpl w:val="5F0A63B8"/>
    <w:lvl w:ilvl="0" w:tplc="21D8B6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0D333E"/>
    <w:multiLevelType w:val="hybridMultilevel"/>
    <w:tmpl w:val="76728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58415F"/>
    <w:multiLevelType w:val="multilevel"/>
    <w:tmpl w:val="3D3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1216F"/>
    <w:multiLevelType w:val="hybridMultilevel"/>
    <w:tmpl w:val="3C90D926"/>
    <w:lvl w:ilvl="0" w:tplc="04E4008C">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13" w15:restartNumberingAfterBreak="0">
    <w:nsid w:val="4101140B"/>
    <w:multiLevelType w:val="multilevel"/>
    <w:tmpl w:val="1DB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534E3"/>
    <w:multiLevelType w:val="hybridMultilevel"/>
    <w:tmpl w:val="46B894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17831A8"/>
    <w:multiLevelType w:val="hybridMultilevel"/>
    <w:tmpl w:val="F1943D88"/>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447322"/>
    <w:multiLevelType w:val="hybridMultilevel"/>
    <w:tmpl w:val="17321DDA"/>
    <w:lvl w:ilvl="0" w:tplc="7916AE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061D84"/>
    <w:multiLevelType w:val="hybridMultilevel"/>
    <w:tmpl w:val="EF6A6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9D5683"/>
    <w:multiLevelType w:val="hybridMultilevel"/>
    <w:tmpl w:val="CE40EB44"/>
    <w:lvl w:ilvl="0" w:tplc="4FACF0C0">
      <w:start w:val="1"/>
      <w:numFmt w:val="decimal"/>
      <w:lvlText w:val="%1."/>
      <w:lvlJc w:val="left"/>
      <w:pPr>
        <w:ind w:left="720" w:hanging="360"/>
      </w:pPr>
      <w:rPr>
        <w:b/>
        <w:bCs w:val="0"/>
      </w:r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31274">
    <w:abstractNumId w:val="1"/>
  </w:num>
  <w:num w:numId="2" w16cid:durableId="1829131221">
    <w:abstractNumId w:val="18"/>
  </w:num>
  <w:num w:numId="3" w16cid:durableId="562523891">
    <w:abstractNumId w:val="8"/>
  </w:num>
  <w:num w:numId="4" w16cid:durableId="212082939">
    <w:abstractNumId w:val="12"/>
  </w:num>
  <w:num w:numId="5" w16cid:durableId="1806314352">
    <w:abstractNumId w:val="2"/>
  </w:num>
  <w:num w:numId="6" w16cid:durableId="1938826543">
    <w:abstractNumId w:val="9"/>
  </w:num>
  <w:num w:numId="7" w16cid:durableId="346837353">
    <w:abstractNumId w:val="17"/>
  </w:num>
  <w:num w:numId="8" w16cid:durableId="339235976">
    <w:abstractNumId w:val="5"/>
  </w:num>
  <w:num w:numId="9" w16cid:durableId="153955939">
    <w:abstractNumId w:val="10"/>
  </w:num>
  <w:num w:numId="10" w16cid:durableId="629944056">
    <w:abstractNumId w:val="3"/>
  </w:num>
  <w:num w:numId="11" w16cid:durableId="674768131">
    <w:abstractNumId w:val="13"/>
  </w:num>
  <w:num w:numId="12" w16cid:durableId="684332183">
    <w:abstractNumId w:val="4"/>
  </w:num>
  <w:num w:numId="13" w16cid:durableId="1650136179">
    <w:abstractNumId w:val="14"/>
  </w:num>
  <w:num w:numId="14" w16cid:durableId="886185805">
    <w:abstractNumId w:val="0"/>
  </w:num>
  <w:num w:numId="15" w16cid:durableId="26375780">
    <w:abstractNumId w:val="7"/>
  </w:num>
  <w:num w:numId="16" w16cid:durableId="2112780317">
    <w:abstractNumId w:val="11"/>
  </w:num>
  <w:num w:numId="17" w16cid:durableId="1079867593">
    <w:abstractNumId w:val="15"/>
  </w:num>
  <w:num w:numId="18" w16cid:durableId="1450926899">
    <w:abstractNumId w:val="16"/>
  </w:num>
  <w:num w:numId="19" w16cid:durableId="181236008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ARC Copy&lt;/Style&gt;&lt;LeftDelim&gt;{&lt;/LeftDelim&gt;&lt;RightDelim&gt;}&lt;/RightDelim&gt;&lt;FontName&gt;Avenir Nex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library&lt;record-ids&gt;&lt;item&gt;366&lt;/item&gt;&lt;/record-ids&gt;&lt;/item&gt;&lt;/Libraries&gt;"/>
  </w:docVars>
  <w:rsids>
    <w:rsidRoot w:val="005C584D"/>
    <w:rsid w:val="0000085C"/>
    <w:rsid w:val="00001336"/>
    <w:rsid w:val="00001633"/>
    <w:rsid w:val="00004532"/>
    <w:rsid w:val="00004815"/>
    <w:rsid w:val="00007125"/>
    <w:rsid w:val="00007423"/>
    <w:rsid w:val="0001099B"/>
    <w:rsid w:val="00011B5B"/>
    <w:rsid w:val="000129D5"/>
    <w:rsid w:val="000131EB"/>
    <w:rsid w:val="000147E4"/>
    <w:rsid w:val="000163ED"/>
    <w:rsid w:val="00016786"/>
    <w:rsid w:val="00017DDD"/>
    <w:rsid w:val="00020EB8"/>
    <w:rsid w:val="000219FF"/>
    <w:rsid w:val="00022227"/>
    <w:rsid w:val="00022BB3"/>
    <w:rsid w:val="00022EF9"/>
    <w:rsid w:val="000233EC"/>
    <w:rsid w:val="000244A5"/>
    <w:rsid w:val="000246C3"/>
    <w:rsid w:val="00024959"/>
    <w:rsid w:val="00025128"/>
    <w:rsid w:val="00030E4A"/>
    <w:rsid w:val="00035E98"/>
    <w:rsid w:val="00036A2E"/>
    <w:rsid w:val="000370D0"/>
    <w:rsid w:val="00037D0F"/>
    <w:rsid w:val="00042C21"/>
    <w:rsid w:val="00043680"/>
    <w:rsid w:val="00044C57"/>
    <w:rsid w:val="0004551C"/>
    <w:rsid w:val="00045DE1"/>
    <w:rsid w:val="0004664D"/>
    <w:rsid w:val="00051BC9"/>
    <w:rsid w:val="000537B3"/>
    <w:rsid w:val="00054846"/>
    <w:rsid w:val="000570F7"/>
    <w:rsid w:val="00057B24"/>
    <w:rsid w:val="00060668"/>
    <w:rsid w:val="000618F0"/>
    <w:rsid w:val="00062F8A"/>
    <w:rsid w:val="0006300F"/>
    <w:rsid w:val="00063115"/>
    <w:rsid w:val="00064401"/>
    <w:rsid w:val="000659F1"/>
    <w:rsid w:val="00070A24"/>
    <w:rsid w:val="00071237"/>
    <w:rsid w:val="000716F5"/>
    <w:rsid w:val="00072CEF"/>
    <w:rsid w:val="000739CD"/>
    <w:rsid w:val="00077745"/>
    <w:rsid w:val="00080EDE"/>
    <w:rsid w:val="00082507"/>
    <w:rsid w:val="000846B2"/>
    <w:rsid w:val="0009024D"/>
    <w:rsid w:val="00090FE3"/>
    <w:rsid w:val="00091FD9"/>
    <w:rsid w:val="00092A63"/>
    <w:rsid w:val="00093037"/>
    <w:rsid w:val="000A1BE4"/>
    <w:rsid w:val="000A318A"/>
    <w:rsid w:val="000A3AD0"/>
    <w:rsid w:val="000A5005"/>
    <w:rsid w:val="000A63D1"/>
    <w:rsid w:val="000A6854"/>
    <w:rsid w:val="000A6C92"/>
    <w:rsid w:val="000A7666"/>
    <w:rsid w:val="000B0FCF"/>
    <w:rsid w:val="000B30A7"/>
    <w:rsid w:val="000B3E89"/>
    <w:rsid w:val="000B6750"/>
    <w:rsid w:val="000C02DC"/>
    <w:rsid w:val="000C41ED"/>
    <w:rsid w:val="000C54CD"/>
    <w:rsid w:val="000C5B6E"/>
    <w:rsid w:val="000C5BC1"/>
    <w:rsid w:val="000C76DC"/>
    <w:rsid w:val="000C7FDD"/>
    <w:rsid w:val="000D0367"/>
    <w:rsid w:val="000D1812"/>
    <w:rsid w:val="000D3D4B"/>
    <w:rsid w:val="000D41FE"/>
    <w:rsid w:val="000D4653"/>
    <w:rsid w:val="000D6389"/>
    <w:rsid w:val="000D6E3F"/>
    <w:rsid w:val="000D7B72"/>
    <w:rsid w:val="000E311F"/>
    <w:rsid w:val="000E63BA"/>
    <w:rsid w:val="000E7563"/>
    <w:rsid w:val="000E7842"/>
    <w:rsid w:val="000E7E17"/>
    <w:rsid w:val="000F0260"/>
    <w:rsid w:val="000F16F4"/>
    <w:rsid w:val="000F2DF6"/>
    <w:rsid w:val="000F3A62"/>
    <w:rsid w:val="000F6075"/>
    <w:rsid w:val="000F65F2"/>
    <w:rsid w:val="000F6890"/>
    <w:rsid w:val="000F6897"/>
    <w:rsid w:val="000F769D"/>
    <w:rsid w:val="00100D75"/>
    <w:rsid w:val="00102C26"/>
    <w:rsid w:val="00102C54"/>
    <w:rsid w:val="001047B1"/>
    <w:rsid w:val="00104F1D"/>
    <w:rsid w:val="00104F45"/>
    <w:rsid w:val="0010642D"/>
    <w:rsid w:val="00106CAE"/>
    <w:rsid w:val="001103B2"/>
    <w:rsid w:val="00111A78"/>
    <w:rsid w:val="00112AB5"/>
    <w:rsid w:val="001139D4"/>
    <w:rsid w:val="00113A5F"/>
    <w:rsid w:val="001143A7"/>
    <w:rsid w:val="00115530"/>
    <w:rsid w:val="0011585C"/>
    <w:rsid w:val="00115E85"/>
    <w:rsid w:val="00117150"/>
    <w:rsid w:val="00117198"/>
    <w:rsid w:val="001218BD"/>
    <w:rsid w:val="001225E6"/>
    <w:rsid w:val="00122DD2"/>
    <w:rsid w:val="00123F86"/>
    <w:rsid w:val="001247E7"/>
    <w:rsid w:val="00125577"/>
    <w:rsid w:val="00126A27"/>
    <w:rsid w:val="00130A2A"/>
    <w:rsid w:val="00132B54"/>
    <w:rsid w:val="00133398"/>
    <w:rsid w:val="0013381B"/>
    <w:rsid w:val="00133E19"/>
    <w:rsid w:val="001346DF"/>
    <w:rsid w:val="00134B75"/>
    <w:rsid w:val="00136B81"/>
    <w:rsid w:val="00137BAE"/>
    <w:rsid w:val="001417A1"/>
    <w:rsid w:val="00142988"/>
    <w:rsid w:val="00146F06"/>
    <w:rsid w:val="0015036E"/>
    <w:rsid w:val="0015373A"/>
    <w:rsid w:val="001546AD"/>
    <w:rsid w:val="00154F45"/>
    <w:rsid w:val="00155758"/>
    <w:rsid w:val="0015603A"/>
    <w:rsid w:val="0015669E"/>
    <w:rsid w:val="00156B95"/>
    <w:rsid w:val="00156D58"/>
    <w:rsid w:val="00162545"/>
    <w:rsid w:val="00165FC1"/>
    <w:rsid w:val="00166750"/>
    <w:rsid w:val="00167CC9"/>
    <w:rsid w:val="0017037A"/>
    <w:rsid w:val="00171772"/>
    <w:rsid w:val="0017291E"/>
    <w:rsid w:val="00174790"/>
    <w:rsid w:val="00177339"/>
    <w:rsid w:val="0017786A"/>
    <w:rsid w:val="00177F49"/>
    <w:rsid w:val="0018015B"/>
    <w:rsid w:val="001823CB"/>
    <w:rsid w:val="00183C8C"/>
    <w:rsid w:val="001844EE"/>
    <w:rsid w:val="00185B98"/>
    <w:rsid w:val="00186413"/>
    <w:rsid w:val="00190198"/>
    <w:rsid w:val="0019101A"/>
    <w:rsid w:val="001912EB"/>
    <w:rsid w:val="00191559"/>
    <w:rsid w:val="00192BEC"/>
    <w:rsid w:val="001935AC"/>
    <w:rsid w:val="00193A22"/>
    <w:rsid w:val="00194DE7"/>
    <w:rsid w:val="00195482"/>
    <w:rsid w:val="00195D27"/>
    <w:rsid w:val="001A09D7"/>
    <w:rsid w:val="001A0E98"/>
    <w:rsid w:val="001A1CC7"/>
    <w:rsid w:val="001A2D41"/>
    <w:rsid w:val="001A2DE6"/>
    <w:rsid w:val="001A3A5D"/>
    <w:rsid w:val="001A4387"/>
    <w:rsid w:val="001A6F28"/>
    <w:rsid w:val="001A7082"/>
    <w:rsid w:val="001B04BC"/>
    <w:rsid w:val="001B1035"/>
    <w:rsid w:val="001B1132"/>
    <w:rsid w:val="001B17EC"/>
    <w:rsid w:val="001B2FF5"/>
    <w:rsid w:val="001B49D1"/>
    <w:rsid w:val="001B6568"/>
    <w:rsid w:val="001C0900"/>
    <w:rsid w:val="001C260D"/>
    <w:rsid w:val="001C3D2B"/>
    <w:rsid w:val="001C4EBD"/>
    <w:rsid w:val="001C4F8F"/>
    <w:rsid w:val="001D10E5"/>
    <w:rsid w:val="001D167F"/>
    <w:rsid w:val="001D219D"/>
    <w:rsid w:val="001D222D"/>
    <w:rsid w:val="001D291E"/>
    <w:rsid w:val="001D54D0"/>
    <w:rsid w:val="001D55A6"/>
    <w:rsid w:val="001D58A4"/>
    <w:rsid w:val="001D5C60"/>
    <w:rsid w:val="001E1AE9"/>
    <w:rsid w:val="001E1BDE"/>
    <w:rsid w:val="001E2F57"/>
    <w:rsid w:val="001E5BE5"/>
    <w:rsid w:val="001E6E69"/>
    <w:rsid w:val="001E7461"/>
    <w:rsid w:val="001E7DFC"/>
    <w:rsid w:val="001F02F6"/>
    <w:rsid w:val="001F467C"/>
    <w:rsid w:val="001F5386"/>
    <w:rsid w:val="001F5AB9"/>
    <w:rsid w:val="001F633C"/>
    <w:rsid w:val="001F6B8B"/>
    <w:rsid w:val="002002EA"/>
    <w:rsid w:val="00200CB5"/>
    <w:rsid w:val="00201602"/>
    <w:rsid w:val="00202BB6"/>
    <w:rsid w:val="00202DDC"/>
    <w:rsid w:val="0020334D"/>
    <w:rsid w:val="0020712B"/>
    <w:rsid w:val="0020712E"/>
    <w:rsid w:val="00207216"/>
    <w:rsid w:val="0021000A"/>
    <w:rsid w:val="002118EA"/>
    <w:rsid w:val="00212BE4"/>
    <w:rsid w:val="0021573C"/>
    <w:rsid w:val="002163B0"/>
    <w:rsid w:val="002166FE"/>
    <w:rsid w:val="00217897"/>
    <w:rsid w:val="0022086D"/>
    <w:rsid w:val="002218EC"/>
    <w:rsid w:val="002233C0"/>
    <w:rsid w:val="00223522"/>
    <w:rsid w:val="002238A2"/>
    <w:rsid w:val="00223ABE"/>
    <w:rsid w:val="00224366"/>
    <w:rsid w:val="00224B9B"/>
    <w:rsid w:val="0022610A"/>
    <w:rsid w:val="00227357"/>
    <w:rsid w:val="002277CE"/>
    <w:rsid w:val="00230683"/>
    <w:rsid w:val="00230FE4"/>
    <w:rsid w:val="00231697"/>
    <w:rsid w:val="00231F2C"/>
    <w:rsid w:val="00231F96"/>
    <w:rsid w:val="00232AC6"/>
    <w:rsid w:val="002349D2"/>
    <w:rsid w:val="002359CE"/>
    <w:rsid w:val="002364BA"/>
    <w:rsid w:val="00237931"/>
    <w:rsid w:val="00237C5B"/>
    <w:rsid w:val="002415F7"/>
    <w:rsid w:val="00241C06"/>
    <w:rsid w:val="0024209A"/>
    <w:rsid w:val="00243DAC"/>
    <w:rsid w:val="00243E4B"/>
    <w:rsid w:val="002454EB"/>
    <w:rsid w:val="0024571A"/>
    <w:rsid w:val="00245F61"/>
    <w:rsid w:val="0024758C"/>
    <w:rsid w:val="0025099F"/>
    <w:rsid w:val="00251263"/>
    <w:rsid w:val="00252E11"/>
    <w:rsid w:val="002566DB"/>
    <w:rsid w:val="00260BFC"/>
    <w:rsid w:val="00260D90"/>
    <w:rsid w:val="00261260"/>
    <w:rsid w:val="00261581"/>
    <w:rsid w:val="00264377"/>
    <w:rsid w:val="00265387"/>
    <w:rsid w:val="00267059"/>
    <w:rsid w:val="00271999"/>
    <w:rsid w:val="00272733"/>
    <w:rsid w:val="00272FEF"/>
    <w:rsid w:val="00274B6A"/>
    <w:rsid w:val="00274D82"/>
    <w:rsid w:val="00277165"/>
    <w:rsid w:val="00280AF6"/>
    <w:rsid w:val="0028106E"/>
    <w:rsid w:val="00283CAD"/>
    <w:rsid w:val="00285105"/>
    <w:rsid w:val="00285E53"/>
    <w:rsid w:val="00287FF6"/>
    <w:rsid w:val="002909A6"/>
    <w:rsid w:val="00292D7A"/>
    <w:rsid w:val="00293649"/>
    <w:rsid w:val="002949AB"/>
    <w:rsid w:val="002A00C6"/>
    <w:rsid w:val="002A454F"/>
    <w:rsid w:val="002A5301"/>
    <w:rsid w:val="002A625F"/>
    <w:rsid w:val="002A7CB5"/>
    <w:rsid w:val="002B012E"/>
    <w:rsid w:val="002B3848"/>
    <w:rsid w:val="002B4ECD"/>
    <w:rsid w:val="002B5108"/>
    <w:rsid w:val="002B66E3"/>
    <w:rsid w:val="002C0B39"/>
    <w:rsid w:val="002C2181"/>
    <w:rsid w:val="002C3A8E"/>
    <w:rsid w:val="002C4102"/>
    <w:rsid w:val="002C42DC"/>
    <w:rsid w:val="002C4402"/>
    <w:rsid w:val="002C4F3A"/>
    <w:rsid w:val="002C53F2"/>
    <w:rsid w:val="002C55C9"/>
    <w:rsid w:val="002D1597"/>
    <w:rsid w:val="002D5347"/>
    <w:rsid w:val="002E0426"/>
    <w:rsid w:val="002E3AF7"/>
    <w:rsid w:val="002E4430"/>
    <w:rsid w:val="002E5629"/>
    <w:rsid w:val="002F16E5"/>
    <w:rsid w:val="002F20BE"/>
    <w:rsid w:val="002F2483"/>
    <w:rsid w:val="002F275C"/>
    <w:rsid w:val="002F3032"/>
    <w:rsid w:val="002F463C"/>
    <w:rsid w:val="002F4ADE"/>
    <w:rsid w:val="002F608A"/>
    <w:rsid w:val="003003A1"/>
    <w:rsid w:val="0030327E"/>
    <w:rsid w:val="0030335C"/>
    <w:rsid w:val="003037FF"/>
    <w:rsid w:val="00303E15"/>
    <w:rsid w:val="00304B67"/>
    <w:rsid w:val="00307DF6"/>
    <w:rsid w:val="00310E61"/>
    <w:rsid w:val="00311A8C"/>
    <w:rsid w:val="0031214C"/>
    <w:rsid w:val="00313862"/>
    <w:rsid w:val="003202E9"/>
    <w:rsid w:val="003219F3"/>
    <w:rsid w:val="00322BE5"/>
    <w:rsid w:val="00325A6D"/>
    <w:rsid w:val="003273EB"/>
    <w:rsid w:val="00327BF3"/>
    <w:rsid w:val="003300D9"/>
    <w:rsid w:val="0033037C"/>
    <w:rsid w:val="00335A79"/>
    <w:rsid w:val="003362F1"/>
    <w:rsid w:val="00336377"/>
    <w:rsid w:val="00336A49"/>
    <w:rsid w:val="003376FB"/>
    <w:rsid w:val="00337992"/>
    <w:rsid w:val="003402EF"/>
    <w:rsid w:val="00342497"/>
    <w:rsid w:val="00343DEF"/>
    <w:rsid w:val="00344961"/>
    <w:rsid w:val="00344EAB"/>
    <w:rsid w:val="00346881"/>
    <w:rsid w:val="00350432"/>
    <w:rsid w:val="00352561"/>
    <w:rsid w:val="0035543C"/>
    <w:rsid w:val="00356EB2"/>
    <w:rsid w:val="00360B45"/>
    <w:rsid w:val="00362013"/>
    <w:rsid w:val="00367B52"/>
    <w:rsid w:val="0037051A"/>
    <w:rsid w:val="003718B0"/>
    <w:rsid w:val="00372010"/>
    <w:rsid w:val="003722B4"/>
    <w:rsid w:val="0037332A"/>
    <w:rsid w:val="0037437B"/>
    <w:rsid w:val="00374FEB"/>
    <w:rsid w:val="00376778"/>
    <w:rsid w:val="00376E98"/>
    <w:rsid w:val="00380CD7"/>
    <w:rsid w:val="003814F8"/>
    <w:rsid w:val="00381739"/>
    <w:rsid w:val="00387209"/>
    <w:rsid w:val="003909EA"/>
    <w:rsid w:val="00390B59"/>
    <w:rsid w:val="00392019"/>
    <w:rsid w:val="0039206E"/>
    <w:rsid w:val="00393A27"/>
    <w:rsid w:val="00394C33"/>
    <w:rsid w:val="00394E74"/>
    <w:rsid w:val="00395719"/>
    <w:rsid w:val="00396183"/>
    <w:rsid w:val="00397989"/>
    <w:rsid w:val="003A1C4D"/>
    <w:rsid w:val="003A24A4"/>
    <w:rsid w:val="003A2567"/>
    <w:rsid w:val="003A27EF"/>
    <w:rsid w:val="003A3899"/>
    <w:rsid w:val="003A3FFC"/>
    <w:rsid w:val="003A4199"/>
    <w:rsid w:val="003A543B"/>
    <w:rsid w:val="003A5A4B"/>
    <w:rsid w:val="003B027D"/>
    <w:rsid w:val="003B1E91"/>
    <w:rsid w:val="003B2D73"/>
    <w:rsid w:val="003B3A7D"/>
    <w:rsid w:val="003B3B57"/>
    <w:rsid w:val="003B5EF3"/>
    <w:rsid w:val="003B7157"/>
    <w:rsid w:val="003B71C9"/>
    <w:rsid w:val="003B73CA"/>
    <w:rsid w:val="003B7CCD"/>
    <w:rsid w:val="003C1F91"/>
    <w:rsid w:val="003C25C1"/>
    <w:rsid w:val="003C3AB7"/>
    <w:rsid w:val="003C3CF7"/>
    <w:rsid w:val="003C6266"/>
    <w:rsid w:val="003C65B8"/>
    <w:rsid w:val="003C6AA3"/>
    <w:rsid w:val="003D1DEB"/>
    <w:rsid w:val="003D5549"/>
    <w:rsid w:val="003D5D41"/>
    <w:rsid w:val="003D7425"/>
    <w:rsid w:val="003E02D2"/>
    <w:rsid w:val="003E23D0"/>
    <w:rsid w:val="003E3367"/>
    <w:rsid w:val="003E4D5D"/>
    <w:rsid w:val="003E6018"/>
    <w:rsid w:val="003F2153"/>
    <w:rsid w:val="003F2426"/>
    <w:rsid w:val="003F2982"/>
    <w:rsid w:val="003F2C9E"/>
    <w:rsid w:val="003F302E"/>
    <w:rsid w:val="003F40C8"/>
    <w:rsid w:val="003F4F21"/>
    <w:rsid w:val="003F5C10"/>
    <w:rsid w:val="003F62EA"/>
    <w:rsid w:val="003F726A"/>
    <w:rsid w:val="00404052"/>
    <w:rsid w:val="00404577"/>
    <w:rsid w:val="00404ABC"/>
    <w:rsid w:val="0040635F"/>
    <w:rsid w:val="00406F24"/>
    <w:rsid w:val="0040756E"/>
    <w:rsid w:val="00407B18"/>
    <w:rsid w:val="00407DF3"/>
    <w:rsid w:val="0041014E"/>
    <w:rsid w:val="004101E4"/>
    <w:rsid w:val="00412710"/>
    <w:rsid w:val="0041290B"/>
    <w:rsid w:val="00413147"/>
    <w:rsid w:val="0041465D"/>
    <w:rsid w:val="0041576D"/>
    <w:rsid w:val="00415E90"/>
    <w:rsid w:val="0041607C"/>
    <w:rsid w:val="004166C6"/>
    <w:rsid w:val="00420338"/>
    <w:rsid w:val="00420D4D"/>
    <w:rsid w:val="00421D1E"/>
    <w:rsid w:val="004264CD"/>
    <w:rsid w:val="00430BDD"/>
    <w:rsid w:val="00430F77"/>
    <w:rsid w:val="004313B1"/>
    <w:rsid w:val="00433C26"/>
    <w:rsid w:val="004367C6"/>
    <w:rsid w:val="00436CF1"/>
    <w:rsid w:val="004374AB"/>
    <w:rsid w:val="004423BC"/>
    <w:rsid w:val="00442744"/>
    <w:rsid w:val="004435EC"/>
    <w:rsid w:val="00447308"/>
    <w:rsid w:val="004479E9"/>
    <w:rsid w:val="00453FF4"/>
    <w:rsid w:val="00455556"/>
    <w:rsid w:val="00457486"/>
    <w:rsid w:val="004611E7"/>
    <w:rsid w:val="004621EB"/>
    <w:rsid w:val="004658D6"/>
    <w:rsid w:val="00465C85"/>
    <w:rsid w:val="00466E40"/>
    <w:rsid w:val="00467FC2"/>
    <w:rsid w:val="00471A65"/>
    <w:rsid w:val="0047418C"/>
    <w:rsid w:val="00475366"/>
    <w:rsid w:val="004762F0"/>
    <w:rsid w:val="00476D5F"/>
    <w:rsid w:val="00477C23"/>
    <w:rsid w:val="0048027A"/>
    <w:rsid w:val="0048118F"/>
    <w:rsid w:val="00482635"/>
    <w:rsid w:val="00486764"/>
    <w:rsid w:val="00486C86"/>
    <w:rsid w:val="00491287"/>
    <w:rsid w:val="00491F02"/>
    <w:rsid w:val="00492831"/>
    <w:rsid w:val="00494052"/>
    <w:rsid w:val="0049453B"/>
    <w:rsid w:val="00494C6F"/>
    <w:rsid w:val="0049695D"/>
    <w:rsid w:val="00496B42"/>
    <w:rsid w:val="00497738"/>
    <w:rsid w:val="00497DB0"/>
    <w:rsid w:val="00497F87"/>
    <w:rsid w:val="004A1932"/>
    <w:rsid w:val="004A19A0"/>
    <w:rsid w:val="004A2720"/>
    <w:rsid w:val="004A2BBD"/>
    <w:rsid w:val="004A3097"/>
    <w:rsid w:val="004A33D9"/>
    <w:rsid w:val="004A3571"/>
    <w:rsid w:val="004A56E0"/>
    <w:rsid w:val="004A5F81"/>
    <w:rsid w:val="004A705F"/>
    <w:rsid w:val="004B1C4C"/>
    <w:rsid w:val="004B1D2A"/>
    <w:rsid w:val="004B3149"/>
    <w:rsid w:val="004B34E7"/>
    <w:rsid w:val="004B4F7F"/>
    <w:rsid w:val="004B7E61"/>
    <w:rsid w:val="004B7E90"/>
    <w:rsid w:val="004C16B5"/>
    <w:rsid w:val="004C4D6C"/>
    <w:rsid w:val="004C66D8"/>
    <w:rsid w:val="004D290E"/>
    <w:rsid w:val="004D2A92"/>
    <w:rsid w:val="004D366C"/>
    <w:rsid w:val="004D38EF"/>
    <w:rsid w:val="004D3FD6"/>
    <w:rsid w:val="004D49D2"/>
    <w:rsid w:val="004D554B"/>
    <w:rsid w:val="004D60C8"/>
    <w:rsid w:val="004D647D"/>
    <w:rsid w:val="004D64C7"/>
    <w:rsid w:val="004D6B3A"/>
    <w:rsid w:val="004D7239"/>
    <w:rsid w:val="004D77ED"/>
    <w:rsid w:val="004E13D9"/>
    <w:rsid w:val="004E1F4D"/>
    <w:rsid w:val="004E23F9"/>
    <w:rsid w:val="004E2818"/>
    <w:rsid w:val="004E2920"/>
    <w:rsid w:val="004E33E2"/>
    <w:rsid w:val="004E44B8"/>
    <w:rsid w:val="004E46DD"/>
    <w:rsid w:val="004F04C4"/>
    <w:rsid w:val="004F2869"/>
    <w:rsid w:val="004F29DC"/>
    <w:rsid w:val="004F33E2"/>
    <w:rsid w:val="00501097"/>
    <w:rsid w:val="00501531"/>
    <w:rsid w:val="005041BD"/>
    <w:rsid w:val="00505246"/>
    <w:rsid w:val="0050544A"/>
    <w:rsid w:val="00510628"/>
    <w:rsid w:val="005123E3"/>
    <w:rsid w:val="00512DA8"/>
    <w:rsid w:val="00513931"/>
    <w:rsid w:val="005149D8"/>
    <w:rsid w:val="00515EC5"/>
    <w:rsid w:val="00515F46"/>
    <w:rsid w:val="005162C7"/>
    <w:rsid w:val="0051685D"/>
    <w:rsid w:val="00516D87"/>
    <w:rsid w:val="005203B1"/>
    <w:rsid w:val="00522756"/>
    <w:rsid w:val="00522EE0"/>
    <w:rsid w:val="00525006"/>
    <w:rsid w:val="005274AB"/>
    <w:rsid w:val="00527F53"/>
    <w:rsid w:val="005318DC"/>
    <w:rsid w:val="005366C5"/>
    <w:rsid w:val="0054112B"/>
    <w:rsid w:val="005414FE"/>
    <w:rsid w:val="005426B1"/>
    <w:rsid w:val="00546750"/>
    <w:rsid w:val="00546B28"/>
    <w:rsid w:val="00550618"/>
    <w:rsid w:val="00550D8C"/>
    <w:rsid w:val="00551AA9"/>
    <w:rsid w:val="00551B64"/>
    <w:rsid w:val="00553441"/>
    <w:rsid w:val="00554438"/>
    <w:rsid w:val="00554FE9"/>
    <w:rsid w:val="005561D7"/>
    <w:rsid w:val="00556EE6"/>
    <w:rsid w:val="00562584"/>
    <w:rsid w:val="00563D90"/>
    <w:rsid w:val="005658D3"/>
    <w:rsid w:val="00565F73"/>
    <w:rsid w:val="005661FF"/>
    <w:rsid w:val="00567A2E"/>
    <w:rsid w:val="00570197"/>
    <w:rsid w:val="005707EA"/>
    <w:rsid w:val="005736C1"/>
    <w:rsid w:val="005738A5"/>
    <w:rsid w:val="00575030"/>
    <w:rsid w:val="00575343"/>
    <w:rsid w:val="00575612"/>
    <w:rsid w:val="005768F0"/>
    <w:rsid w:val="00576EAF"/>
    <w:rsid w:val="00577CAE"/>
    <w:rsid w:val="0058055C"/>
    <w:rsid w:val="00580FB6"/>
    <w:rsid w:val="00581CF6"/>
    <w:rsid w:val="00582A50"/>
    <w:rsid w:val="00582EEA"/>
    <w:rsid w:val="00584C97"/>
    <w:rsid w:val="005858B9"/>
    <w:rsid w:val="00586FD6"/>
    <w:rsid w:val="00590C43"/>
    <w:rsid w:val="00591728"/>
    <w:rsid w:val="005917EC"/>
    <w:rsid w:val="005919CF"/>
    <w:rsid w:val="00597913"/>
    <w:rsid w:val="005A0F5C"/>
    <w:rsid w:val="005A2443"/>
    <w:rsid w:val="005A2F04"/>
    <w:rsid w:val="005A3ECC"/>
    <w:rsid w:val="005A5FCD"/>
    <w:rsid w:val="005A6712"/>
    <w:rsid w:val="005A7714"/>
    <w:rsid w:val="005B0654"/>
    <w:rsid w:val="005B0BEB"/>
    <w:rsid w:val="005B2E5A"/>
    <w:rsid w:val="005B3DF9"/>
    <w:rsid w:val="005B4129"/>
    <w:rsid w:val="005B41D1"/>
    <w:rsid w:val="005B45A8"/>
    <w:rsid w:val="005B6C54"/>
    <w:rsid w:val="005B6FBE"/>
    <w:rsid w:val="005C1013"/>
    <w:rsid w:val="005C17FA"/>
    <w:rsid w:val="005C2A52"/>
    <w:rsid w:val="005C40E3"/>
    <w:rsid w:val="005C584D"/>
    <w:rsid w:val="005C5F98"/>
    <w:rsid w:val="005C6C0C"/>
    <w:rsid w:val="005C75F7"/>
    <w:rsid w:val="005C7A7C"/>
    <w:rsid w:val="005D3D2B"/>
    <w:rsid w:val="005D5870"/>
    <w:rsid w:val="005D6758"/>
    <w:rsid w:val="005E02E3"/>
    <w:rsid w:val="005E0EBE"/>
    <w:rsid w:val="005E304D"/>
    <w:rsid w:val="005E3ACA"/>
    <w:rsid w:val="005E52B4"/>
    <w:rsid w:val="005E5FD4"/>
    <w:rsid w:val="005E6D4F"/>
    <w:rsid w:val="005E7320"/>
    <w:rsid w:val="005F088F"/>
    <w:rsid w:val="005F14EC"/>
    <w:rsid w:val="005F181B"/>
    <w:rsid w:val="005F3421"/>
    <w:rsid w:val="005F4542"/>
    <w:rsid w:val="005F4AC3"/>
    <w:rsid w:val="005F4B7A"/>
    <w:rsid w:val="005F510E"/>
    <w:rsid w:val="005F5EFB"/>
    <w:rsid w:val="005F6E79"/>
    <w:rsid w:val="005F767A"/>
    <w:rsid w:val="005F7AD3"/>
    <w:rsid w:val="00601599"/>
    <w:rsid w:val="00601E5B"/>
    <w:rsid w:val="0060248D"/>
    <w:rsid w:val="00602B1B"/>
    <w:rsid w:val="00602D98"/>
    <w:rsid w:val="0060338F"/>
    <w:rsid w:val="006050C9"/>
    <w:rsid w:val="006067FF"/>
    <w:rsid w:val="00610934"/>
    <w:rsid w:val="00611EF4"/>
    <w:rsid w:val="006121F0"/>
    <w:rsid w:val="00614CF9"/>
    <w:rsid w:val="00615EE1"/>
    <w:rsid w:val="00616B76"/>
    <w:rsid w:val="00621596"/>
    <w:rsid w:val="00621A52"/>
    <w:rsid w:val="006228F6"/>
    <w:rsid w:val="00623BC3"/>
    <w:rsid w:val="0062422D"/>
    <w:rsid w:val="0062426C"/>
    <w:rsid w:val="00625F08"/>
    <w:rsid w:val="006266A2"/>
    <w:rsid w:val="00626A9F"/>
    <w:rsid w:val="006304DC"/>
    <w:rsid w:val="006311CF"/>
    <w:rsid w:val="006318CF"/>
    <w:rsid w:val="006329CD"/>
    <w:rsid w:val="00633BC7"/>
    <w:rsid w:val="00633BE5"/>
    <w:rsid w:val="006367FE"/>
    <w:rsid w:val="0063750A"/>
    <w:rsid w:val="0064004E"/>
    <w:rsid w:val="006406D7"/>
    <w:rsid w:val="00643F4B"/>
    <w:rsid w:val="00644A45"/>
    <w:rsid w:val="00645058"/>
    <w:rsid w:val="006470C4"/>
    <w:rsid w:val="00647AE0"/>
    <w:rsid w:val="00647DFF"/>
    <w:rsid w:val="00651AE5"/>
    <w:rsid w:val="00652CC2"/>
    <w:rsid w:val="00654263"/>
    <w:rsid w:val="00654350"/>
    <w:rsid w:val="006548FF"/>
    <w:rsid w:val="00655645"/>
    <w:rsid w:val="00655B1C"/>
    <w:rsid w:val="00661989"/>
    <w:rsid w:val="006654DC"/>
    <w:rsid w:val="006657C1"/>
    <w:rsid w:val="00666E07"/>
    <w:rsid w:val="0066718C"/>
    <w:rsid w:val="006672A5"/>
    <w:rsid w:val="00671703"/>
    <w:rsid w:val="006738B0"/>
    <w:rsid w:val="00674B7E"/>
    <w:rsid w:val="0067506E"/>
    <w:rsid w:val="0067735A"/>
    <w:rsid w:val="00677A8C"/>
    <w:rsid w:val="00681A71"/>
    <w:rsid w:val="00683878"/>
    <w:rsid w:val="0068594B"/>
    <w:rsid w:val="00685A79"/>
    <w:rsid w:val="006860E2"/>
    <w:rsid w:val="00687022"/>
    <w:rsid w:val="00687F00"/>
    <w:rsid w:val="00690443"/>
    <w:rsid w:val="006923B0"/>
    <w:rsid w:val="006931CC"/>
    <w:rsid w:val="00693343"/>
    <w:rsid w:val="006937AA"/>
    <w:rsid w:val="00694B95"/>
    <w:rsid w:val="00696087"/>
    <w:rsid w:val="0069612C"/>
    <w:rsid w:val="00696605"/>
    <w:rsid w:val="006A2E6D"/>
    <w:rsid w:val="006A3165"/>
    <w:rsid w:val="006A409B"/>
    <w:rsid w:val="006A6A5B"/>
    <w:rsid w:val="006B1E41"/>
    <w:rsid w:val="006B211B"/>
    <w:rsid w:val="006B30F0"/>
    <w:rsid w:val="006B3419"/>
    <w:rsid w:val="006B3C1D"/>
    <w:rsid w:val="006B4AA8"/>
    <w:rsid w:val="006C060C"/>
    <w:rsid w:val="006C1692"/>
    <w:rsid w:val="006C2ED2"/>
    <w:rsid w:val="006C2F3B"/>
    <w:rsid w:val="006C4B49"/>
    <w:rsid w:val="006C5DFF"/>
    <w:rsid w:val="006C621A"/>
    <w:rsid w:val="006C7415"/>
    <w:rsid w:val="006D0285"/>
    <w:rsid w:val="006D0D5D"/>
    <w:rsid w:val="006D427E"/>
    <w:rsid w:val="006D537F"/>
    <w:rsid w:val="006D6974"/>
    <w:rsid w:val="006D6EB1"/>
    <w:rsid w:val="006E3420"/>
    <w:rsid w:val="006E3A3E"/>
    <w:rsid w:val="006E42B4"/>
    <w:rsid w:val="006E5094"/>
    <w:rsid w:val="006E624D"/>
    <w:rsid w:val="006E700C"/>
    <w:rsid w:val="006E709C"/>
    <w:rsid w:val="006F15D7"/>
    <w:rsid w:val="006F1EC6"/>
    <w:rsid w:val="006F2137"/>
    <w:rsid w:val="006F241D"/>
    <w:rsid w:val="006F278E"/>
    <w:rsid w:val="006F59D5"/>
    <w:rsid w:val="007022F3"/>
    <w:rsid w:val="007037B2"/>
    <w:rsid w:val="00703F5B"/>
    <w:rsid w:val="00704BBC"/>
    <w:rsid w:val="00704ECD"/>
    <w:rsid w:val="007052AF"/>
    <w:rsid w:val="00705D2C"/>
    <w:rsid w:val="00706490"/>
    <w:rsid w:val="007074FF"/>
    <w:rsid w:val="007079B7"/>
    <w:rsid w:val="00711618"/>
    <w:rsid w:val="00711941"/>
    <w:rsid w:val="0071366C"/>
    <w:rsid w:val="00715B34"/>
    <w:rsid w:val="00715C46"/>
    <w:rsid w:val="00717139"/>
    <w:rsid w:val="007172CE"/>
    <w:rsid w:val="007177C7"/>
    <w:rsid w:val="00720286"/>
    <w:rsid w:val="0072050C"/>
    <w:rsid w:val="007217F2"/>
    <w:rsid w:val="00721925"/>
    <w:rsid w:val="00723191"/>
    <w:rsid w:val="00723330"/>
    <w:rsid w:val="007239F7"/>
    <w:rsid w:val="0072555F"/>
    <w:rsid w:val="00725A92"/>
    <w:rsid w:val="00727C43"/>
    <w:rsid w:val="00730128"/>
    <w:rsid w:val="00734A06"/>
    <w:rsid w:val="00736620"/>
    <w:rsid w:val="00737224"/>
    <w:rsid w:val="00737C46"/>
    <w:rsid w:val="00740760"/>
    <w:rsid w:val="00741517"/>
    <w:rsid w:val="0074478B"/>
    <w:rsid w:val="00744F28"/>
    <w:rsid w:val="0074624F"/>
    <w:rsid w:val="00746251"/>
    <w:rsid w:val="00746DB7"/>
    <w:rsid w:val="0074709E"/>
    <w:rsid w:val="00750EAE"/>
    <w:rsid w:val="007525AB"/>
    <w:rsid w:val="00752E1A"/>
    <w:rsid w:val="00754C76"/>
    <w:rsid w:val="00754F57"/>
    <w:rsid w:val="007554A0"/>
    <w:rsid w:val="00755C2E"/>
    <w:rsid w:val="00757A7D"/>
    <w:rsid w:val="00760EC3"/>
    <w:rsid w:val="00761E6E"/>
    <w:rsid w:val="007623FB"/>
    <w:rsid w:val="0076247F"/>
    <w:rsid w:val="00762F22"/>
    <w:rsid w:val="00764295"/>
    <w:rsid w:val="0076613C"/>
    <w:rsid w:val="0076794B"/>
    <w:rsid w:val="0076795B"/>
    <w:rsid w:val="0077210B"/>
    <w:rsid w:val="007721F2"/>
    <w:rsid w:val="00773692"/>
    <w:rsid w:val="00776C14"/>
    <w:rsid w:val="00776D18"/>
    <w:rsid w:val="00780879"/>
    <w:rsid w:val="00780E88"/>
    <w:rsid w:val="007813F4"/>
    <w:rsid w:val="007829C8"/>
    <w:rsid w:val="00784AB0"/>
    <w:rsid w:val="007928E2"/>
    <w:rsid w:val="00792FCA"/>
    <w:rsid w:val="007933F2"/>
    <w:rsid w:val="00794931"/>
    <w:rsid w:val="00796CB0"/>
    <w:rsid w:val="007A140B"/>
    <w:rsid w:val="007A17E5"/>
    <w:rsid w:val="007A3A0D"/>
    <w:rsid w:val="007A70BD"/>
    <w:rsid w:val="007A7508"/>
    <w:rsid w:val="007B0323"/>
    <w:rsid w:val="007B068F"/>
    <w:rsid w:val="007B0F03"/>
    <w:rsid w:val="007B2ECA"/>
    <w:rsid w:val="007B4096"/>
    <w:rsid w:val="007B4F8F"/>
    <w:rsid w:val="007B521D"/>
    <w:rsid w:val="007B6DA5"/>
    <w:rsid w:val="007B7E96"/>
    <w:rsid w:val="007C2359"/>
    <w:rsid w:val="007C246D"/>
    <w:rsid w:val="007C38A0"/>
    <w:rsid w:val="007C7042"/>
    <w:rsid w:val="007D0A5E"/>
    <w:rsid w:val="007D21D8"/>
    <w:rsid w:val="007D2415"/>
    <w:rsid w:val="007D27DD"/>
    <w:rsid w:val="007D2948"/>
    <w:rsid w:val="007D2E94"/>
    <w:rsid w:val="007D323C"/>
    <w:rsid w:val="007D3956"/>
    <w:rsid w:val="007D5C34"/>
    <w:rsid w:val="007E00A7"/>
    <w:rsid w:val="007E00AD"/>
    <w:rsid w:val="007E0CF1"/>
    <w:rsid w:val="007E1005"/>
    <w:rsid w:val="007E21E4"/>
    <w:rsid w:val="007E4DAA"/>
    <w:rsid w:val="007E50E3"/>
    <w:rsid w:val="007E53B2"/>
    <w:rsid w:val="007E5810"/>
    <w:rsid w:val="007E7681"/>
    <w:rsid w:val="007E76F3"/>
    <w:rsid w:val="007E7BB6"/>
    <w:rsid w:val="007E7E4C"/>
    <w:rsid w:val="007E7EBD"/>
    <w:rsid w:val="007F05C8"/>
    <w:rsid w:val="007F08E1"/>
    <w:rsid w:val="007F0D07"/>
    <w:rsid w:val="007F4873"/>
    <w:rsid w:val="007F6215"/>
    <w:rsid w:val="007F74D5"/>
    <w:rsid w:val="007F7B9B"/>
    <w:rsid w:val="007F7C88"/>
    <w:rsid w:val="00800A20"/>
    <w:rsid w:val="00801106"/>
    <w:rsid w:val="008013DA"/>
    <w:rsid w:val="00801ABB"/>
    <w:rsid w:val="00801D29"/>
    <w:rsid w:val="0080219F"/>
    <w:rsid w:val="00802633"/>
    <w:rsid w:val="00803CBB"/>
    <w:rsid w:val="00804D33"/>
    <w:rsid w:val="00805C54"/>
    <w:rsid w:val="008078C6"/>
    <w:rsid w:val="008103EF"/>
    <w:rsid w:val="00810A91"/>
    <w:rsid w:val="00813C58"/>
    <w:rsid w:val="0081416F"/>
    <w:rsid w:val="008141FD"/>
    <w:rsid w:val="0081513A"/>
    <w:rsid w:val="00816FDF"/>
    <w:rsid w:val="00816FEF"/>
    <w:rsid w:val="00820512"/>
    <w:rsid w:val="00820C06"/>
    <w:rsid w:val="0082179E"/>
    <w:rsid w:val="008221B1"/>
    <w:rsid w:val="00822DEC"/>
    <w:rsid w:val="00824A18"/>
    <w:rsid w:val="0083021B"/>
    <w:rsid w:val="00831042"/>
    <w:rsid w:val="00831B9F"/>
    <w:rsid w:val="00831FD2"/>
    <w:rsid w:val="008334BC"/>
    <w:rsid w:val="00833CA8"/>
    <w:rsid w:val="008365B6"/>
    <w:rsid w:val="00836B4D"/>
    <w:rsid w:val="008379B4"/>
    <w:rsid w:val="008408E6"/>
    <w:rsid w:val="00841105"/>
    <w:rsid w:val="008417DD"/>
    <w:rsid w:val="008423F6"/>
    <w:rsid w:val="00842C6A"/>
    <w:rsid w:val="0084623A"/>
    <w:rsid w:val="00846678"/>
    <w:rsid w:val="0085113F"/>
    <w:rsid w:val="0085200F"/>
    <w:rsid w:val="00853077"/>
    <w:rsid w:val="00853952"/>
    <w:rsid w:val="00853F6F"/>
    <w:rsid w:val="00854679"/>
    <w:rsid w:val="00860EF2"/>
    <w:rsid w:val="00860F4B"/>
    <w:rsid w:val="00862948"/>
    <w:rsid w:val="008651CF"/>
    <w:rsid w:val="00871EA2"/>
    <w:rsid w:val="008728DF"/>
    <w:rsid w:val="00872AD1"/>
    <w:rsid w:val="0087312C"/>
    <w:rsid w:val="0087557A"/>
    <w:rsid w:val="008767A7"/>
    <w:rsid w:val="008772FC"/>
    <w:rsid w:val="008776C9"/>
    <w:rsid w:val="00880A7F"/>
    <w:rsid w:val="00881534"/>
    <w:rsid w:val="0088206A"/>
    <w:rsid w:val="008858D4"/>
    <w:rsid w:val="008866C1"/>
    <w:rsid w:val="00886F61"/>
    <w:rsid w:val="00895803"/>
    <w:rsid w:val="008A085D"/>
    <w:rsid w:val="008A08DF"/>
    <w:rsid w:val="008A25B1"/>
    <w:rsid w:val="008A3872"/>
    <w:rsid w:val="008A3BC5"/>
    <w:rsid w:val="008A4D31"/>
    <w:rsid w:val="008A556E"/>
    <w:rsid w:val="008B02C2"/>
    <w:rsid w:val="008B085E"/>
    <w:rsid w:val="008B0919"/>
    <w:rsid w:val="008B1B2A"/>
    <w:rsid w:val="008B3409"/>
    <w:rsid w:val="008B6CF0"/>
    <w:rsid w:val="008C04CD"/>
    <w:rsid w:val="008C19FF"/>
    <w:rsid w:val="008C2635"/>
    <w:rsid w:val="008C2DCD"/>
    <w:rsid w:val="008C48D6"/>
    <w:rsid w:val="008C4B54"/>
    <w:rsid w:val="008C6DAF"/>
    <w:rsid w:val="008C72FB"/>
    <w:rsid w:val="008C72FD"/>
    <w:rsid w:val="008D0325"/>
    <w:rsid w:val="008D07E6"/>
    <w:rsid w:val="008D0D6E"/>
    <w:rsid w:val="008D1828"/>
    <w:rsid w:val="008D2487"/>
    <w:rsid w:val="008D5824"/>
    <w:rsid w:val="008D66B8"/>
    <w:rsid w:val="008D7166"/>
    <w:rsid w:val="008E00E3"/>
    <w:rsid w:val="008E050A"/>
    <w:rsid w:val="008E0589"/>
    <w:rsid w:val="008E0872"/>
    <w:rsid w:val="008E0FF1"/>
    <w:rsid w:val="008E1316"/>
    <w:rsid w:val="008E2041"/>
    <w:rsid w:val="008E2885"/>
    <w:rsid w:val="008E40D1"/>
    <w:rsid w:val="008E59FE"/>
    <w:rsid w:val="008E6884"/>
    <w:rsid w:val="008F00E2"/>
    <w:rsid w:val="008F02BB"/>
    <w:rsid w:val="008F12E9"/>
    <w:rsid w:val="008F1447"/>
    <w:rsid w:val="008F4857"/>
    <w:rsid w:val="008F567E"/>
    <w:rsid w:val="008F5F8D"/>
    <w:rsid w:val="00900E7A"/>
    <w:rsid w:val="0090203F"/>
    <w:rsid w:val="009057EE"/>
    <w:rsid w:val="00906C4F"/>
    <w:rsid w:val="009073B1"/>
    <w:rsid w:val="009076C4"/>
    <w:rsid w:val="0090770C"/>
    <w:rsid w:val="00907B6E"/>
    <w:rsid w:val="00907B74"/>
    <w:rsid w:val="00913069"/>
    <w:rsid w:val="00913738"/>
    <w:rsid w:val="00915708"/>
    <w:rsid w:val="00915A29"/>
    <w:rsid w:val="0091605A"/>
    <w:rsid w:val="0091732B"/>
    <w:rsid w:val="00920066"/>
    <w:rsid w:val="00921058"/>
    <w:rsid w:val="0092120B"/>
    <w:rsid w:val="009224D3"/>
    <w:rsid w:val="00923BE5"/>
    <w:rsid w:val="00923C04"/>
    <w:rsid w:val="009242AD"/>
    <w:rsid w:val="00927E2F"/>
    <w:rsid w:val="00927FB9"/>
    <w:rsid w:val="0093173B"/>
    <w:rsid w:val="00932BC1"/>
    <w:rsid w:val="00932E1B"/>
    <w:rsid w:val="00935540"/>
    <w:rsid w:val="00935567"/>
    <w:rsid w:val="009410D1"/>
    <w:rsid w:val="00941E99"/>
    <w:rsid w:val="00942D1D"/>
    <w:rsid w:val="009436E0"/>
    <w:rsid w:val="00944E78"/>
    <w:rsid w:val="0094610D"/>
    <w:rsid w:val="009465E3"/>
    <w:rsid w:val="00946BA4"/>
    <w:rsid w:val="00946D6F"/>
    <w:rsid w:val="00947CE0"/>
    <w:rsid w:val="0095072C"/>
    <w:rsid w:val="00950CB6"/>
    <w:rsid w:val="00951AA3"/>
    <w:rsid w:val="009522CE"/>
    <w:rsid w:val="00954C53"/>
    <w:rsid w:val="00956978"/>
    <w:rsid w:val="00956BE7"/>
    <w:rsid w:val="009576AE"/>
    <w:rsid w:val="009579DF"/>
    <w:rsid w:val="00960031"/>
    <w:rsid w:val="00960E33"/>
    <w:rsid w:val="00961B41"/>
    <w:rsid w:val="00962884"/>
    <w:rsid w:val="00962A39"/>
    <w:rsid w:val="00963D81"/>
    <w:rsid w:val="0096425A"/>
    <w:rsid w:val="00965584"/>
    <w:rsid w:val="00965839"/>
    <w:rsid w:val="00966185"/>
    <w:rsid w:val="009666FB"/>
    <w:rsid w:val="00971272"/>
    <w:rsid w:val="00974666"/>
    <w:rsid w:val="00974C36"/>
    <w:rsid w:val="00976264"/>
    <w:rsid w:val="009826C5"/>
    <w:rsid w:val="009828FB"/>
    <w:rsid w:val="009846E8"/>
    <w:rsid w:val="0098779B"/>
    <w:rsid w:val="00991377"/>
    <w:rsid w:val="00991483"/>
    <w:rsid w:val="00991564"/>
    <w:rsid w:val="00991F63"/>
    <w:rsid w:val="00994992"/>
    <w:rsid w:val="00994ED7"/>
    <w:rsid w:val="0099547A"/>
    <w:rsid w:val="00996367"/>
    <w:rsid w:val="009972E6"/>
    <w:rsid w:val="009A17C5"/>
    <w:rsid w:val="009A1948"/>
    <w:rsid w:val="009A30C1"/>
    <w:rsid w:val="009A320A"/>
    <w:rsid w:val="009A53B2"/>
    <w:rsid w:val="009A60F6"/>
    <w:rsid w:val="009A747E"/>
    <w:rsid w:val="009A79A8"/>
    <w:rsid w:val="009A7CE4"/>
    <w:rsid w:val="009B09BA"/>
    <w:rsid w:val="009B0DEE"/>
    <w:rsid w:val="009B1233"/>
    <w:rsid w:val="009B4452"/>
    <w:rsid w:val="009B4CCA"/>
    <w:rsid w:val="009B5296"/>
    <w:rsid w:val="009B5444"/>
    <w:rsid w:val="009C0AFE"/>
    <w:rsid w:val="009C0E13"/>
    <w:rsid w:val="009C2F41"/>
    <w:rsid w:val="009C302D"/>
    <w:rsid w:val="009C39DA"/>
    <w:rsid w:val="009C3F5F"/>
    <w:rsid w:val="009C6579"/>
    <w:rsid w:val="009C7DEC"/>
    <w:rsid w:val="009D268B"/>
    <w:rsid w:val="009D280C"/>
    <w:rsid w:val="009D40FE"/>
    <w:rsid w:val="009D5098"/>
    <w:rsid w:val="009D522C"/>
    <w:rsid w:val="009D583C"/>
    <w:rsid w:val="009D5A97"/>
    <w:rsid w:val="009D6947"/>
    <w:rsid w:val="009D7791"/>
    <w:rsid w:val="009D7F25"/>
    <w:rsid w:val="009E1187"/>
    <w:rsid w:val="009E22CC"/>
    <w:rsid w:val="009E2CCB"/>
    <w:rsid w:val="009E5373"/>
    <w:rsid w:val="009E73C7"/>
    <w:rsid w:val="009E758C"/>
    <w:rsid w:val="009E776D"/>
    <w:rsid w:val="009F1F2F"/>
    <w:rsid w:val="009F23BB"/>
    <w:rsid w:val="009F2C81"/>
    <w:rsid w:val="009F406D"/>
    <w:rsid w:val="009F46DF"/>
    <w:rsid w:val="00A007CF"/>
    <w:rsid w:val="00A03AEC"/>
    <w:rsid w:val="00A03CF0"/>
    <w:rsid w:val="00A04F91"/>
    <w:rsid w:val="00A05333"/>
    <w:rsid w:val="00A05E27"/>
    <w:rsid w:val="00A06FC6"/>
    <w:rsid w:val="00A07031"/>
    <w:rsid w:val="00A07B6E"/>
    <w:rsid w:val="00A07F5C"/>
    <w:rsid w:val="00A12D80"/>
    <w:rsid w:val="00A13F9D"/>
    <w:rsid w:val="00A162F1"/>
    <w:rsid w:val="00A163D3"/>
    <w:rsid w:val="00A20CE5"/>
    <w:rsid w:val="00A21CC0"/>
    <w:rsid w:val="00A237C0"/>
    <w:rsid w:val="00A25363"/>
    <w:rsid w:val="00A25467"/>
    <w:rsid w:val="00A25AE7"/>
    <w:rsid w:val="00A2751A"/>
    <w:rsid w:val="00A27AAC"/>
    <w:rsid w:val="00A27DE9"/>
    <w:rsid w:val="00A30CCC"/>
    <w:rsid w:val="00A3279F"/>
    <w:rsid w:val="00A3332A"/>
    <w:rsid w:val="00A334B1"/>
    <w:rsid w:val="00A34E1B"/>
    <w:rsid w:val="00A35776"/>
    <w:rsid w:val="00A3608E"/>
    <w:rsid w:val="00A42783"/>
    <w:rsid w:val="00A46758"/>
    <w:rsid w:val="00A46ACF"/>
    <w:rsid w:val="00A46D15"/>
    <w:rsid w:val="00A46DC0"/>
    <w:rsid w:val="00A51995"/>
    <w:rsid w:val="00A524B6"/>
    <w:rsid w:val="00A52B86"/>
    <w:rsid w:val="00A5344C"/>
    <w:rsid w:val="00A53EE0"/>
    <w:rsid w:val="00A56691"/>
    <w:rsid w:val="00A567A0"/>
    <w:rsid w:val="00A60282"/>
    <w:rsid w:val="00A62A9E"/>
    <w:rsid w:val="00A63C57"/>
    <w:rsid w:val="00A65B3D"/>
    <w:rsid w:val="00A66047"/>
    <w:rsid w:val="00A66189"/>
    <w:rsid w:val="00A66A04"/>
    <w:rsid w:val="00A66BFC"/>
    <w:rsid w:val="00A66DBD"/>
    <w:rsid w:val="00A72B45"/>
    <w:rsid w:val="00A75432"/>
    <w:rsid w:val="00A75648"/>
    <w:rsid w:val="00A75A10"/>
    <w:rsid w:val="00A75C26"/>
    <w:rsid w:val="00A76957"/>
    <w:rsid w:val="00A80277"/>
    <w:rsid w:val="00A8390F"/>
    <w:rsid w:val="00A8401C"/>
    <w:rsid w:val="00A85ED3"/>
    <w:rsid w:val="00A87172"/>
    <w:rsid w:val="00A9254C"/>
    <w:rsid w:val="00A92C8B"/>
    <w:rsid w:val="00A93937"/>
    <w:rsid w:val="00A97C01"/>
    <w:rsid w:val="00AA05C0"/>
    <w:rsid w:val="00AA1EF1"/>
    <w:rsid w:val="00AA300C"/>
    <w:rsid w:val="00AA34FC"/>
    <w:rsid w:val="00AA3726"/>
    <w:rsid w:val="00AA498A"/>
    <w:rsid w:val="00AA49A6"/>
    <w:rsid w:val="00AA59F6"/>
    <w:rsid w:val="00AA7376"/>
    <w:rsid w:val="00AB01B9"/>
    <w:rsid w:val="00AB1760"/>
    <w:rsid w:val="00AB1FDC"/>
    <w:rsid w:val="00AB2444"/>
    <w:rsid w:val="00AB4AD6"/>
    <w:rsid w:val="00AC0F56"/>
    <w:rsid w:val="00AC2102"/>
    <w:rsid w:val="00AC4739"/>
    <w:rsid w:val="00AC6944"/>
    <w:rsid w:val="00AC73DA"/>
    <w:rsid w:val="00AC77D4"/>
    <w:rsid w:val="00AC7AD2"/>
    <w:rsid w:val="00AC7D51"/>
    <w:rsid w:val="00AD0462"/>
    <w:rsid w:val="00AD0DDB"/>
    <w:rsid w:val="00AD0F1D"/>
    <w:rsid w:val="00AD1AD3"/>
    <w:rsid w:val="00AD5D06"/>
    <w:rsid w:val="00AD69EE"/>
    <w:rsid w:val="00AD7C4D"/>
    <w:rsid w:val="00AD7C70"/>
    <w:rsid w:val="00AE3B08"/>
    <w:rsid w:val="00AE3EC9"/>
    <w:rsid w:val="00AE452A"/>
    <w:rsid w:val="00AE4E5C"/>
    <w:rsid w:val="00AF10E8"/>
    <w:rsid w:val="00AF2492"/>
    <w:rsid w:val="00AF2616"/>
    <w:rsid w:val="00AF2900"/>
    <w:rsid w:val="00AF31A2"/>
    <w:rsid w:val="00AF6C7A"/>
    <w:rsid w:val="00AF7123"/>
    <w:rsid w:val="00B02101"/>
    <w:rsid w:val="00B0228B"/>
    <w:rsid w:val="00B03A5A"/>
    <w:rsid w:val="00B04E11"/>
    <w:rsid w:val="00B057FE"/>
    <w:rsid w:val="00B0701F"/>
    <w:rsid w:val="00B10B38"/>
    <w:rsid w:val="00B12A12"/>
    <w:rsid w:val="00B130AA"/>
    <w:rsid w:val="00B13A38"/>
    <w:rsid w:val="00B155C0"/>
    <w:rsid w:val="00B16E20"/>
    <w:rsid w:val="00B2032D"/>
    <w:rsid w:val="00B20631"/>
    <w:rsid w:val="00B23C8B"/>
    <w:rsid w:val="00B243A8"/>
    <w:rsid w:val="00B24771"/>
    <w:rsid w:val="00B24E03"/>
    <w:rsid w:val="00B25C88"/>
    <w:rsid w:val="00B267E6"/>
    <w:rsid w:val="00B302A2"/>
    <w:rsid w:val="00B303E9"/>
    <w:rsid w:val="00B30801"/>
    <w:rsid w:val="00B30890"/>
    <w:rsid w:val="00B31A2D"/>
    <w:rsid w:val="00B31CDF"/>
    <w:rsid w:val="00B3269D"/>
    <w:rsid w:val="00B3342B"/>
    <w:rsid w:val="00B34347"/>
    <w:rsid w:val="00B34726"/>
    <w:rsid w:val="00B369B6"/>
    <w:rsid w:val="00B36D98"/>
    <w:rsid w:val="00B40693"/>
    <w:rsid w:val="00B41E6E"/>
    <w:rsid w:val="00B50422"/>
    <w:rsid w:val="00B50D1E"/>
    <w:rsid w:val="00B50EF4"/>
    <w:rsid w:val="00B52DB1"/>
    <w:rsid w:val="00B547DA"/>
    <w:rsid w:val="00B54C1F"/>
    <w:rsid w:val="00B5506E"/>
    <w:rsid w:val="00B63D73"/>
    <w:rsid w:val="00B651F3"/>
    <w:rsid w:val="00B657A3"/>
    <w:rsid w:val="00B65C17"/>
    <w:rsid w:val="00B65D5B"/>
    <w:rsid w:val="00B67517"/>
    <w:rsid w:val="00B713DF"/>
    <w:rsid w:val="00B71C24"/>
    <w:rsid w:val="00B72131"/>
    <w:rsid w:val="00B72341"/>
    <w:rsid w:val="00B7323A"/>
    <w:rsid w:val="00B759D2"/>
    <w:rsid w:val="00B76FF2"/>
    <w:rsid w:val="00B7746A"/>
    <w:rsid w:val="00B82262"/>
    <w:rsid w:val="00B82842"/>
    <w:rsid w:val="00B82926"/>
    <w:rsid w:val="00B82EF6"/>
    <w:rsid w:val="00B82F46"/>
    <w:rsid w:val="00B833FB"/>
    <w:rsid w:val="00B857CB"/>
    <w:rsid w:val="00B860FB"/>
    <w:rsid w:val="00B867CC"/>
    <w:rsid w:val="00B86A35"/>
    <w:rsid w:val="00B90B2D"/>
    <w:rsid w:val="00B910E4"/>
    <w:rsid w:val="00B916EE"/>
    <w:rsid w:val="00B927B3"/>
    <w:rsid w:val="00B94080"/>
    <w:rsid w:val="00B952C9"/>
    <w:rsid w:val="00B9568D"/>
    <w:rsid w:val="00B95D6F"/>
    <w:rsid w:val="00B95E14"/>
    <w:rsid w:val="00BA08BB"/>
    <w:rsid w:val="00BA0F60"/>
    <w:rsid w:val="00BA1F90"/>
    <w:rsid w:val="00BA689D"/>
    <w:rsid w:val="00BA6C4A"/>
    <w:rsid w:val="00BA7F6F"/>
    <w:rsid w:val="00BB2165"/>
    <w:rsid w:val="00BB3204"/>
    <w:rsid w:val="00BB385E"/>
    <w:rsid w:val="00BB7A9B"/>
    <w:rsid w:val="00BC0F0F"/>
    <w:rsid w:val="00BC1B7B"/>
    <w:rsid w:val="00BC4856"/>
    <w:rsid w:val="00BC661B"/>
    <w:rsid w:val="00BC706D"/>
    <w:rsid w:val="00BC7966"/>
    <w:rsid w:val="00BD2022"/>
    <w:rsid w:val="00BD304E"/>
    <w:rsid w:val="00BD567C"/>
    <w:rsid w:val="00BD67D0"/>
    <w:rsid w:val="00BD713D"/>
    <w:rsid w:val="00BD71E4"/>
    <w:rsid w:val="00BD725D"/>
    <w:rsid w:val="00BE0712"/>
    <w:rsid w:val="00BE07D9"/>
    <w:rsid w:val="00BE1886"/>
    <w:rsid w:val="00BE3234"/>
    <w:rsid w:val="00BE37D0"/>
    <w:rsid w:val="00BE3A67"/>
    <w:rsid w:val="00BE4D0F"/>
    <w:rsid w:val="00BF12AD"/>
    <w:rsid w:val="00BF3D36"/>
    <w:rsid w:val="00BF41FD"/>
    <w:rsid w:val="00BF7039"/>
    <w:rsid w:val="00C01745"/>
    <w:rsid w:val="00C03A16"/>
    <w:rsid w:val="00C05ED1"/>
    <w:rsid w:val="00C05FAC"/>
    <w:rsid w:val="00C07805"/>
    <w:rsid w:val="00C0781A"/>
    <w:rsid w:val="00C10A87"/>
    <w:rsid w:val="00C11CD2"/>
    <w:rsid w:val="00C146E4"/>
    <w:rsid w:val="00C15AAC"/>
    <w:rsid w:val="00C165E8"/>
    <w:rsid w:val="00C16777"/>
    <w:rsid w:val="00C17111"/>
    <w:rsid w:val="00C17C45"/>
    <w:rsid w:val="00C20DF3"/>
    <w:rsid w:val="00C23E36"/>
    <w:rsid w:val="00C31479"/>
    <w:rsid w:val="00C3273B"/>
    <w:rsid w:val="00C334D9"/>
    <w:rsid w:val="00C33F8A"/>
    <w:rsid w:val="00C354CB"/>
    <w:rsid w:val="00C35A85"/>
    <w:rsid w:val="00C35C3F"/>
    <w:rsid w:val="00C35FFF"/>
    <w:rsid w:val="00C41A0A"/>
    <w:rsid w:val="00C41EB6"/>
    <w:rsid w:val="00C41F61"/>
    <w:rsid w:val="00C42DEF"/>
    <w:rsid w:val="00C44B2F"/>
    <w:rsid w:val="00C4658C"/>
    <w:rsid w:val="00C46A83"/>
    <w:rsid w:val="00C51C28"/>
    <w:rsid w:val="00C54383"/>
    <w:rsid w:val="00C54579"/>
    <w:rsid w:val="00C55867"/>
    <w:rsid w:val="00C56CB9"/>
    <w:rsid w:val="00C5750E"/>
    <w:rsid w:val="00C60B1F"/>
    <w:rsid w:val="00C61969"/>
    <w:rsid w:val="00C61FFE"/>
    <w:rsid w:val="00C622C6"/>
    <w:rsid w:val="00C6277B"/>
    <w:rsid w:val="00C63DE7"/>
    <w:rsid w:val="00C64184"/>
    <w:rsid w:val="00C64E30"/>
    <w:rsid w:val="00C66C55"/>
    <w:rsid w:val="00C67548"/>
    <w:rsid w:val="00C67612"/>
    <w:rsid w:val="00C706FF"/>
    <w:rsid w:val="00C70E56"/>
    <w:rsid w:val="00C718E5"/>
    <w:rsid w:val="00C71DEE"/>
    <w:rsid w:val="00C720A4"/>
    <w:rsid w:val="00C721E1"/>
    <w:rsid w:val="00C731BA"/>
    <w:rsid w:val="00C7501A"/>
    <w:rsid w:val="00C80F91"/>
    <w:rsid w:val="00C81066"/>
    <w:rsid w:val="00C81F2F"/>
    <w:rsid w:val="00C82B1E"/>
    <w:rsid w:val="00C840FC"/>
    <w:rsid w:val="00C86327"/>
    <w:rsid w:val="00C924C8"/>
    <w:rsid w:val="00C927F3"/>
    <w:rsid w:val="00C93505"/>
    <w:rsid w:val="00C96282"/>
    <w:rsid w:val="00C964C2"/>
    <w:rsid w:val="00C97897"/>
    <w:rsid w:val="00C97DB5"/>
    <w:rsid w:val="00CA04B4"/>
    <w:rsid w:val="00CA0A59"/>
    <w:rsid w:val="00CA0FA7"/>
    <w:rsid w:val="00CA22D6"/>
    <w:rsid w:val="00CA2A10"/>
    <w:rsid w:val="00CA3AB6"/>
    <w:rsid w:val="00CA3F4F"/>
    <w:rsid w:val="00CA4CF9"/>
    <w:rsid w:val="00CA5B81"/>
    <w:rsid w:val="00CA6BBE"/>
    <w:rsid w:val="00CB0A01"/>
    <w:rsid w:val="00CB1B54"/>
    <w:rsid w:val="00CB1C94"/>
    <w:rsid w:val="00CB20D9"/>
    <w:rsid w:val="00CB2FD7"/>
    <w:rsid w:val="00CB3DC9"/>
    <w:rsid w:val="00CB6103"/>
    <w:rsid w:val="00CC1230"/>
    <w:rsid w:val="00CC1538"/>
    <w:rsid w:val="00CC16F7"/>
    <w:rsid w:val="00CC1763"/>
    <w:rsid w:val="00CC5059"/>
    <w:rsid w:val="00CC6E49"/>
    <w:rsid w:val="00CD33DA"/>
    <w:rsid w:val="00CD5344"/>
    <w:rsid w:val="00CE192F"/>
    <w:rsid w:val="00CE327A"/>
    <w:rsid w:val="00CE41BE"/>
    <w:rsid w:val="00CF2357"/>
    <w:rsid w:val="00CF48C0"/>
    <w:rsid w:val="00CF4BFA"/>
    <w:rsid w:val="00CF6833"/>
    <w:rsid w:val="00D02B2F"/>
    <w:rsid w:val="00D02E50"/>
    <w:rsid w:val="00D10063"/>
    <w:rsid w:val="00D1269B"/>
    <w:rsid w:val="00D145E3"/>
    <w:rsid w:val="00D1503D"/>
    <w:rsid w:val="00D1594F"/>
    <w:rsid w:val="00D16100"/>
    <w:rsid w:val="00D17FCA"/>
    <w:rsid w:val="00D2042E"/>
    <w:rsid w:val="00D212F6"/>
    <w:rsid w:val="00D21D65"/>
    <w:rsid w:val="00D23D1A"/>
    <w:rsid w:val="00D243BC"/>
    <w:rsid w:val="00D2452B"/>
    <w:rsid w:val="00D268D8"/>
    <w:rsid w:val="00D26DFA"/>
    <w:rsid w:val="00D2782A"/>
    <w:rsid w:val="00D309DE"/>
    <w:rsid w:val="00D32161"/>
    <w:rsid w:val="00D3275E"/>
    <w:rsid w:val="00D33AB5"/>
    <w:rsid w:val="00D33DBF"/>
    <w:rsid w:val="00D34179"/>
    <w:rsid w:val="00D356FE"/>
    <w:rsid w:val="00D35BA0"/>
    <w:rsid w:val="00D36D43"/>
    <w:rsid w:val="00D37594"/>
    <w:rsid w:val="00D402B2"/>
    <w:rsid w:val="00D403A5"/>
    <w:rsid w:val="00D40BEF"/>
    <w:rsid w:val="00D42061"/>
    <w:rsid w:val="00D42117"/>
    <w:rsid w:val="00D42911"/>
    <w:rsid w:val="00D43824"/>
    <w:rsid w:val="00D44545"/>
    <w:rsid w:val="00D45C93"/>
    <w:rsid w:val="00D46106"/>
    <w:rsid w:val="00D464F7"/>
    <w:rsid w:val="00D47207"/>
    <w:rsid w:val="00D527A8"/>
    <w:rsid w:val="00D53703"/>
    <w:rsid w:val="00D538D6"/>
    <w:rsid w:val="00D5395F"/>
    <w:rsid w:val="00D53D80"/>
    <w:rsid w:val="00D55F86"/>
    <w:rsid w:val="00D56155"/>
    <w:rsid w:val="00D56CE9"/>
    <w:rsid w:val="00D6049A"/>
    <w:rsid w:val="00D61940"/>
    <w:rsid w:val="00D61B1E"/>
    <w:rsid w:val="00D61F1E"/>
    <w:rsid w:val="00D62193"/>
    <w:rsid w:val="00D62EED"/>
    <w:rsid w:val="00D659F2"/>
    <w:rsid w:val="00D65BB6"/>
    <w:rsid w:val="00D666D3"/>
    <w:rsid w:val="00D67283"/>
    <w:rsid w:val="00D67E27"/>
    <w:rsid w:val="00D7211B"/>
    <w:rsid w:val="00D7256A"/>
    <w:rsid w:val="00D7305D"/>
    <w:rsid w:val="00D74AA5"/>
    <w:rsid w:val="00D74ADE"/>
    <w:rsid w:val="00D76F7F"/>
    <w:rsid w:val="00D776C4"/>
    <w:rsid w:val="00D81328"/>
    <w:rsid w:val="00D82DA8"/>
    <w:rsid w:val="00D8412D"/>
    <w:rsid w:val="00D84181"/>
    <w:rsid w:val="00D842D8"/>
    <w:rsid w:val="00D87155"/>
    <w:rsid w:val="00D8721A"/>
    <w:rsid w:val="00D87945"/>
    <w:rsid w:val="00D912BF"/>
    <w:rsid w:val="00D928C0"/>
    <w:rsid w:val="00D92976"/>
    <w:rsid w:val="00D95831"/>
    <w:rsid w:val="00D968C7"/>
    <w:rsid w:val="00D975BD"/>
    <w:rsid w:val="00D975D6"/>
    <w:rsid w:val="00D97E05"/>
    <w:rsid w:val="00DA0503"/>
    <w:rsid w:val="00DA0B9C"/>
    <w:rsid w:val="00DA3D70"/>
    <w:rsid w:val="00DA3F27"/>
    <w:rsid w:val="00DA413E"/>
    <w:rsid w:val="00DA46DD"/>
    <w:rsid w:val="00DA4811"/>
    <w:rsid w:val="00DA57B9"/>
    <w:rsid w:val="00DA6029"/>
    <w:rsid w:val="00DA68AA"/>
    <w:rsid w:val="00DB12FE"/>
    <w:rsid w:val="00DB28DC"/>
    <w:rsid w:val="00DB3C01"/>
    <w:rsid w:val="00DB3D1E"/>
    <w:rsid w:val="00DB526F"/>
    <w:rsid w:val="00DB76F3"/>
    <w:rsid w:val="00DC062A"/>
    <w:rsid w:val="00DC06AC"/>
    <w:rsid w:val="00DC472F"/>
    <w:rsid w:val="00DC4808"/>
    <w:rsid w:val="00DC672C"/>
    <w:rsid w:val="00DC70E5"/>
    <w:rsid w:val="00DD087A"/>
    <w:rsid w:val="00DD1D1B"/>
    <w:rsid w:val="00DD27D6"/>
    <w:rsid w:val="00DD3381"/>
    <w:rsid w:val="00DD41F0"/>
    <w:rsid w:val="00DD61AD"/>
    <w:rsid w:val="00DD6909"/>
    <w:rsid w:val="00DE0279"/>
    <w:rsid w:val="00DE1179"/>
    <w:rsid w:val="00DE1287"/>
    <w:rsid w:val="00DE19DE"/>
    <w:rsid w:val="00DE3674"/>
    <w:rsid w:val="00DE3A04"/>
    <w:rsid w:val="00DE3D6C"/>
    <w:rsid w:val="00DE77F8"/>
    <w:rsid w:val="00DF0040"/>
    <w:rsid w:val="00DF1731"/>
    <w:rsid w:val="00DF56A5"/>
    <w:rsid w:val="00DF5BFB"/>
    <w:rsid w:val="00E00430"/>
    <w:rsid w:val="00E01760"/>
    <w:rsid w:val="00E04888"/>
    <w:rsid w:val="00E049F0"/>
    <w:rsid w:val="00E0509F"/>
    <w:rsid w:val="00E05161"/>
    <w:rsid w:val="00E0562E"/>
    <w:rsid w:val="00E05A12"/>
    <w:rsid w:val="00E10D86"/>
    <w:rsid w:val="00E116E1"/>
    <w:rsid w:val="00E11C7E"/>
    <w:rsid w:val="00E11F6B"/>
    <w:rsid w:val="00E14969"/>
    <w:rsid w:val="00E1557B"/>
    <w:rsid w:val="00E16907"/>
    <w:rsid w:val="00E2081E"/>
    <w:rsid w:val="00E21504"/>
    <w:rsid w:val="00E2268A"/>
    <w:rsid w:val="00E22E93"/>
    <w:rsid w:val="00E23788"/>
    <w:rsid w:val="00E24383"/>
    <w:rsid w:val="00E2493F"/>
    <w:rsid w:val="00E26FF0"/>
    <w:rsid w:val="00E3231E"/>
    <w:rsid w:val="00E343E2"/>
    <w:rsid w:val="00E3508E"/>
    <w:rsid w:val="00E35FF3"/>
    <w:rsid w:val="00E374BE"/>
    <w:rsid w:val="00E404D8"/>
    <w:rsid w:val="00E41329"/>
    <w:rsid w:val="00E4150D"/>
    <w:rsid w:val="00E41A08"/>
    <w:rsid w:val="00E42A7D"/>
    <w:rsid w:val="00E434B3"/>
    <w:rsid w:val="00E452DA"/>
    <w:rsid w:val="00E45577"/>
    <w:rsid w:val="00E509D2"/>
    <w:rsid w:val="00E50EDB"/>
    <w:rsid w:val="00E51C71"/>
    <w:rsid w:val="00E528C4"/>
    <w:rsid w:val="00E52EB8"/>
    <w:rsid w:val="00E533E8"/>
    <w:rsid w:val="00E53850"/>
    <w:rsid w:val="00E538C0"/>
    <w:rsid w:val="00E54EB6"/>
    <w:rsid w:val="00E55684"/>
    <w:rsid w:val="00E57811"/>
    <w:rsid w:val="00E579FA"/>
    <w:rsid w:val="00E57CA4"/>
    <w:rsid w:val="00E618E6"/>
    <w:rsid w:val="00E623EE"/>
    <w:rsid w:val="00E6377A"/>
    <w:rsid w:val="00E63B3A"/>
    <w:rsid w:val="00E6440B"/>
    <w:rsid w:val="00E64A44"/>
    <w:rsid w:val="00E6549C"/>
    <w:rsid w:val="00E66751"/>
    <w:rsid w:val="00E67696"/>
    <w:rsid w:val="00E71940"/>
    <w:rsid w:val="00E7247E"/>
    <w:rsid w:val="00E724B3"/>
    <w:rsid w:val="00E72811"/>
    <w:rsid w:val="00E72D51"/>
    <w:rsid w:val="00E741E8"/>
    <w:rsid w:val="00E757EB"/>
    <w:rsid w:val="00E75C97"/>
    <w:rsid w:val="00E7679E"/>
    <w:rsid w:val="00E767D2"/>
    <w:rsid w:val="00E76ABD"/>
    <w:rsid w:val="00E77C1E"/>
    <w:rsid w:val="00E81084"/>
    <w:rsid w:val="00E82167"/>
    <w:rsid w:val="00E829F5"/>
    <w:rsid w:val="00E82FCC"/>
    <w:rsid w:val="00E8335D"/>
    <w:rsid w:val="00E84E50"/>
    <w:rsid w:val="00E851A9"/>
    <w:rsid w:val="00E856C9"/>
    <w:rsid w:val="00E85EB7"/>
    <w:rsid w:val="00E86795"/>
    <w:rsid w:val="00E909DD"/>
    <w:rsid w:val="00E91D8F"/>
    <w:rsid w:val="00E91F54"/>
    <w:rsid w:val="00E9334A"/>
    <w:rsid w:val="00E93613"/>
    <w:rsid w:val="00E94FE6"/>
    <w:rsid w:val="00E95F91"/>
    <w:rsid w:val="00E96F69"/>
    <w:rsid w:val="00E9770D"/>
    <w:rsid w:val="00EA0C35"/>
    <w:rsid w:val="00EA11CD"/>
    <w:rsid w:val="00EA2D1D"/>
    <w:rsid w:val="00EA4866"/>
    <w:rsid w:val="00EA65EB"/>
    <w:rsid w:val="00EA6DF2"/>
    <w:rsid w:val="00EB1E46"/>
    <w:rsid w:val="00EB3574"/>
    <w:rsid w:val="00EB507D"/>
    <w:rsid w:val="00EC01F8"/>
    <w:rsid w:val="00EC1EE1"/>
    <w:rsid w:val="00EC3043"/>
    <w:rsid w:val="00EC4823"/>
    <w:rsid w:val="00EC5988"/>
    <w:rsid w:val="00EC71FA"/>
    <w:rsid w:val="00EC7AF5"/>
    <w:rsid w:val="00ED0BC4"/>
    <w:rsid w:val="00ED1A81"/>
    <w:rsid w:val="00ED4092"/>
    <w:rsid w:val="00ED7B11"/>
    <w:rsid w:val="00ED7C8C"/>
    <w:rsid w:val="00EE0CD3"/>
    <w:rsid w:val="00EE1C7C"/>
    <w:rsid w:val="00EE27A6"/>
    <w:rsid w:val="00EE3E52"/>
    <w:rsid w:val="00EE58DA"/>
    <w:rsid w:val="00EE5CBF"/>
    <w:rsid w:val="00EE5E36"/>
    <w:rsid w:val="00EE67AF"/>
    <w:rsid w:val="00EF1515"/>
    <w:rsid w:val="00EF2CC8"/>
    <w:rsid w:val="00EF3159"/>
    <w:rsid w:val="00EF5C08"/>
    <w:rsid w:val="00EF6453"/>
    <w:rsid w:val="00EF6CD7"/>
    <w:rsid w:val="00EF79BB"/>
    <w:rsid w:val="00F0074B"/>
    <w:rsid w:val="00F00A43"/>
    <w:rsid w:val="00F02CFE"/>
    <w:rsid w:val="00F0639E"/>
    <w:rsid w:val="00F066E8"/>
    <w:rsid w:val="00F068D1"/>
    <w:rsid w:val="00F10816"/>
    <w:rsid w:val="00F11838"/>
    <w:rsid w:val="00F11E10"/>
    <w:rsid w:val="00F11E8F"/>
    <w:rsid w:val="00F12243"/>
    <w:rsid w:val="00F12783"/>
    <w:rsid w:val="00F134EA"/>
    <w:rsid w:val="00F14DC0"/>
    <w:rsid w:val="00F14F4F"/>
    <w:rsid w:val="00F15691"/>
    <w:rsid w:val="00F16010"/>
    <w:rsid w:val="00F16857"/>
    <w:rsid w:val="00F17762"/>
    <w:rsid w:val="00F21A7A"/>
    <w:rsid w:val="00F22ED6"/>
    <w:rsid w:val="00F2347C"/>
    <w:rsid w:val="00F23580"/>
    <w:rsid w:val="00F23886"/>
    <w:rsid w:val="00F24008"/>
    <w:rsid w:val="00F243EC"/>
    <w:rsid w:val="00F250E7"/>
    <w:rsid w:val="00F26F09"/>
    <w:rsid w:val="00F27EF5"/>
    <w:rsid w:val="00F3052A"/>
    <w:rsid w:val="00F30AE1"/>
    <w:rsid w:val="00F31D57"/>
    <w:rsid w:val="00F32EFB"/>
    <w:rsid w:val="00F330AB"/>
    <w:rsid w:val="00F3319B"/>
    <w:rsid w:val="00F34BF8"/>
    <w:rsid w:val="00F34D6B"/>
    <w:rsid w:val="00F368D3"/>
    <w:rsid w:val="00F377FD"/>
    <w:rsid w:val="00F40B96"/>
    <w:rsid w:val="00F411E5"/>
    <w:rsid w:val="00F42705"/>
    <w:rsid w:val="00F436BB"/>
    <w:rsid w:val="00F4443B"/>
    <w:rsid w:val="00F464AB"/>
    <w:rsid w:val="00F509BE"/>
    <w:rsid w:val="00F509DC"/>
    <w:rsid w:val="00F5476F"/>
    <w:rsid w:val="00F54B67"/>
    <w:rsid w:val="00F56A11"/>
    <w:rsid w:val="00F6081E"/>
    <w:rsid w:val="00F6430D"/>
    <w:rsid w:val="00F650CB"/>
    <w:rsid w:val="00F66D45"/>
    <w:rsid w:val="00F67F9A"/>
    <w:rsid w:val="00F72180"/>
    <w:rsid w:val="00F74665"/>
    <w:rsid w:val="00F80A94"/>
    <w:rsid w:val="00F83352"/>
    <w:rsid w:val="00F85392"/>
    <w:rsid w:val="00F8558A"/>
    <w:rsid w:val="00F920D8"/>
    <w:rsid w:val="00F926BE"/>
    <w:rsid w:val="00F93346"/>
    <w:rsid w:val="00F948AA"/>
    <w:rsid w:val="00F95E83"/>
    <w:rsid w:val="00F971DD"/>
    <w:rsid w:val="00F977F8"/>
    <w:rsid w:val="00FA1B24"/>
    <w:rsid w:val="00FA2C95"/>
    <w:rsid w:val="00FA42E5"/>
    <w:rsid w:val="00FA52A2"/>
    <w:rsid w:val="00FA58D7"/>
    <w:rsid w:val="00FB1880"/>
    <w:rsid w:val="00FB3F4C"/>
    <w:rsid w:val="00FB6CB2"/>
    <w:rsid w:val="00FB7F88"/>
    <w:rsid w:val="00FC0D6C"/>
    <w:rsid w:val="00FC0FB3"/>
    <w:rsid w:val="00FC111E"/>
    <w:rsid w:val="00FC3E17"/>
    <w:rsid w:val="00FC40E5"/>
    <w:rsid w:val="00FC491B"/>
    <w:rsid w:val="00FC5508"/>
    <w:rsid w:val="00FC5EBE"/>
    <w:rsid w:val="00FC630C"/>
    <w:rsid w:val="00FC6CC8"/>
    <w:rsid w:val="00FC712F"/>
    <w:rsid w:val="00FD072F"/>
    <w:rsid w:val="00FD0FD9"/>
    <w:rsid w:val="00FD2E0D"/>
    <w:rsid w:val="00FD2F74"/>
    <w:rsid w:val="00FD3F3C"/>
    <w:rsid w:val="00FD47C5"/>
    <w:rsid w:val="00FD622E"/>
    <w:rsid w:val="00FD6797"/>
    <w:rsid w:val="00FD67A3"/>
    <w:rsid w:val="00FD7788"/>
    <w:rsid w:val="00FD7914"/>
    <w:rsid w:val="00FE3D56"/>
    <w:rsid w:val="00FE6F73"/>
    <w:rsid w:val="00FE7626"/>
    <w:rsid w:val="00FE7684"/>
    <w:rsid w:val="00FE794F"/>
    <w:rsid w:val="00FF057F"/>
    <w:rsid w:val="00FF0E8C"/>
    <w:rsid w:val="00FF17C0"/>
    <w:rsid w:val="00FF41CA"/>
    <w:rsid w:val="00FF43B2"/>
    <w:rsid w:val="00FF45F2"/>
    <w:rsid w:val="00FF5889"/>
    <w:rsid w:val="00FF64FD"/>
    <w:rsid w:val="00FF68D9"/>
    <w:rsid w:val="00FF78D8"/>
    <w:rsid w:val="10CE1472"/>
    <w:rsid w:val="307AB8D0"/>
    <w:rsid w:val="4645EB13"/>
    <w:rsid w:val="7714DC5C"/>
    <w:rsid w:val="7759B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EDC1"/>
  <w15:chartTrackingRefBased/>
  <w15:docId w15:val="{DF2EF4CB-1E7A-494A-BEA4-9903F447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87"/>
    <w:pPr>
      <w:widowControl w:val="0"/>
      <w:autoSpaceDE w:val="0"/>
      <w:autoSpaceDN w:val="0"/>
      <w:spacing w:before="120" w:after="120" w:line="240" w:lineRule="auto"/>
    </w:pPr>
    <w:rPr>
      <w:rFonts w:ascii="Avenir Next" w:eastAsia="AvenirNext LT Pro Bold" w:hAnsi="Avenir Next" w:cs="AvenirNext LT Pro Bold"/>
      <w:color w:val="575F61"/>
      <w:kern w:val="0"/>
      <w:sz w:val="24"/>
      <w:lang w:val="en-GB"/>
      <w14:ligatures w14:val="none"/>
    </w:rPr>
  </w:style>
  <w:style w:type="paragraph" w:styleId="Heading1">
    <w:name w:val="heading 1"/>
    <w:next w:val="BodyText"/>
    <w:link w:val="Heading1Char"/>
    <w:autoRedefine/>
    <w:uiPriority w:val="9"/>
    <w:qFormat/>
    <w:rsid w:val="005C584D"/>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kern w:val="0"/>
      <w:sz w:val="48"/>
      <w:szCs w:val="48"/>
      <w:lang w:val="en-US"/>
      <w14:ligatures w14:val="none"/>
    </w:rPr>
  </w:style>
  <w:style w:type="paragraph" w:styleId="Heading2">
    <w:name w:val="heading 2"/>
    <w:basedOn w:val="Heading1"/>
    <w:next w:val="BodyText"/>
    <w:link w:val="Heading2Char"/>
    <w:autoRedefine/>
    <w:uiPriority w:val="9"/>
    <w:unhideWhenUsed/>
    <w:qFormat/>
    <w:rsid w:val="00FC111E"/>
    <w:pPr>
      <w:spacing w:before="360"/>
      <w:outlineLvl w:val="1"/>
    </w:pPr>
    <w:rPr>
      <w:bCs w:val="0"/>
      <w:color w:val="248EB9"/>
      <w:spacing w:val="-6"/>
      <w:sz w:val="36"/>
      <w:szCs w:val="36"/>
      <w:lang w:val="en-GB"/>
    </w:rPr>
  </w:style>
  <w:style w:type="paragraph" w:styleId="Heading3">
    <w:name w:val="heading 3"/>
    <w:basedOn w:val="Normal"/>
    <w:next w:val="Normal"/>
    <w:link w:val="Heading3Char"/>
    <w:autoRedefine/>
    <w:uiPriority w:val="9"/>
    <w:unhideWhenUsed/>
    <w:qFormat/>
    <w:rsid w:val="00FC111E"/>
    <w:pPr>
      <w:spacing w:before="240"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5C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4D"/>
    <w:rPr>
      <w:rFonts w:ascii="Avenir Next Demi Bold" w:eastAsia="AvenirNextLTPro-Demi" w:hAnsi="Avenir Next Demi Bold" w:cs="AvenirNextLTPro-Demi"/>
      <w:b/>
      <w:bCs/>
      <w:color w:val="1598CB"/>
      <w:kern w:val="0"/>
      <w:sz w:val="48"/>
      <w:szCs w:val="48"/>
      <w:lang w:val="en-US"/>
      <w14:ligatures w14:val="none"/>
    </w:rPr>
  </w:style>
  <w:style w:type="character" w:customStyle="1" w:styleId="Heading2Char">
    <w:name w:val="Heading 2 Char"/>
    <w:basedOn w:val="DefaultParagraphFont"/>
    <w:link w:val="Heading2"/>
    <w:uiPriority w:val="9"/>
    <w:rsid w:val="00FC111E"/>
    <w:rPr>
      <w:rFonts w:ascii="Avenir Next Demi Bold" w:eastAsia="AvenirNextLTPro-Demi" w:hAnsi="Avenir Next Demi Bold" w:cs="AvenirNextLTPro-Demi"/>
      <w:b/>
      <w:color w:val="248EB9"/>
      <w:spacing w:val="-6"/>
      <w:kern w:val="0"/>
      <w:sz w:val="36"/>
      <w:szCs w:val="36"/>
      <w:lang w:val="en-GB"/>
      <w14:ligatures w14:val="none"/>
    </w:rPr>
  </w:style>
  <w:style w:type="character" w:customStyle="1" w:styleId="Heading3Char">
    <w:name w:val="Heading 3 Char"/>
    <w:basedOn w:val="DefaultParagraphFont"/>
    <w:link w:val="Heading3"/>
    <w:uiPriority w:val="9"/>
    <w:rsid w:val="00FC111E"/>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5C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4D"/>
    <w:rPr>
      <w:rFonts w:eastAsiaTheme="majorEastAsia" w:cstheme="majorBidi"/>
      <w:color w:val="272727" w:themeColor="text1" w:themeTint="D8"/>
    </w:rPr>
  </w:style>
  <w:style w:type="paragraph" w:styleId="Title">
    <w:name w:val="Title"/>
    <w:basedOn w:val="Normal"/>
    <w:link w:val="TitleChar"/>
    <w:uiPriority w:val="10"/>
    <w:qFormat/>
    <w:rsid w:val="005C584D"/>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5C584D"/>
    <w:rPr>
      <w:rFonts w:ascii="Avenir Next Demi Bold" w:eastAsia="AvenirNextLTPro-Demi" w:hAnsi="Avenir Next Demi Bold" w:cs="AvenirNextLTPro-Demi"/>
      <w:b/>
      <w:bCs/>
      <w:spacing w:val="-14"/>
      <w:kern w:val="0"/>
      <w:sz w:val="56"/>
      <w:szCs w:val="56"/>
      <w:lang w:val="en-US"/>
      <w14:ligatures w14:val="none"/>
    </w:rPr>
  </w:style>
  <w:style w:type="paragraph" w:styleId="Subtitle">
    <w:name w:val="Subtitle"/>
    <w:basedOn w:val="Normal"/>
    <w:next w:val="Normal"/>
    <w:link w:val="SubtitleChar"/>
    <w:uiPriority w:val="11"/>
    <w:qFormat/>
    <w:rsid w:val="005C58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C584D"/>
    <w:rPr>
      <w:rFonts w:eastAsiaTheme="minorEastAsia"/>
      <w:color w:val="5A5A5A" w:themeColor="text1" w:themeTint="A5"/>
      <w:spacing w:val="15"/>
      <w:kern w:val="0"/>
      <w:lang w:val="en-US"/>
      <w14:ligatures w14:val="none"/>
    </w:rPr>
  </w:style>
  <w:style w:type="paragraph" w:styleId="Quote">
    <w:name w:val="Quote"/>
    <w:basedOn w:val="Normal"/>
    <w:next w:val="Normal"/>
    <w:link w:val="QuoteChar"/>
    <w:uiPriority w:val="29"/>
    <w:qFormat/>
    <w:rsid w:val="005C584D"/>
    <w:pPr>
      <w:spacing w:before="160"/>
      <w:jc w:val="center"/>
    </w:pPr>
    <w:rPr>
      <w:i/>
      <w:iCs/>
      <w:color w:val="404040" w:themeColor="text1" w:themeTint="BF"/>
    </w:rPr>
  </w:style>
  <w:style w:type="character" w:customStyle="1" w:styleId="QuoteChar">
    <w:name w:val="Quote Char"/>
    <w:basedOn w:val="DefaultParagraphFont"/>
    <w:link w:val="Quote"/>
    <w:uiPriority w:val="29"/>
    <w:rsid w:val="005C584D"/>
    <w:rPr>
      <w:i/>
      <w:iCs/>
      <w:color w:val="404040" w:themeColor="text1" w:themeTint="BF"/>
    </w:rPr>
  </w:style>
  <w:style w:type="paragraph" w:styleId="ListParagraph">
    <w:name w:val="List Paragraph"/>
    <w:aliases w:val="Bullets 2,Recommendation,List Paragraph1,List Paragraph11,Bullet point,#List Paragraph"/>
    <w:basedOn w:val="Normal"/>
    <w:next w:val="Normal"/>
    <w:link w:val="ListParagraphChar"/>
    <w:autoRedefine/>
    <w:uiPriority w:val="34"/>
    <w:qFormat/>
    <w:rsid w:val="00ED4092"/>
    <w:pPr>
      <w:widowControl/>
      <w:numPr>
        <w:numId w:val="19"/>
      </w:numPr>
      <w:autoSpaceDE/>
      <w:autoSpaceDN/>
      <w:spacing w:before="0" w:after="160" w:line="259" w:lineRule="auto"/>
      <w:contextualSpacing/>
    </w:pPr>
  </w:style>
  <w:style w:type="character" w:styleId="IntenseEmphasis">
    <w:name w:val="Intense Emphasis"/>
    <w:basedOn w:val="DefaultParagraphFont"/>
    <w:uiPriority w:val="21"/>
    <w:qFormat/>
    <w:rsid w:val="005C584D"/>
    <w:rPr>
      <w:i/>
      <w:iCs/>
      <w:color w:val="4472C4" w:themeColor="accent1"/>
    </w:rPr>
  </w:style>
  <w:style w:type="paragraph" w:styleId="IntenseQuote">
    <w:name w:val="Intense Quote"/>
    <w:basedOn w:val="Normal"/>
    <w:next w:val="Normal"/>
    <w:link w:val="IntenseQuoteChar"/>
    <w:uiPriority w:val="30"/>
    <w:qFormat/>
    <w:rsid w:val="005C5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584D"/>
    <w:rPr>
      <w:rFonts w:ascii="Avenir Next" w:eastAsia="AvenirNext LT Pro Bold" w:hAnsi="Avenir Next" w:cs="AvenirNext LT Pro Bold"/>
      <w:i/>
      <w:iCs/>
      <w:color w:val="4472C4" w:themeColor="accent1"/>
      <w:kern w:val="0"/>
      <w:sz w:val="24"/>
      <w:lang w:val="en-US"/>
      <w14:ligatures w14:val="none"/>
    </w:rPr>
  </w:style>
  <w:style w:type="character" w:styleId="IntenseReference">
    <w:name w:val="Intense Reference"/>
    <w:basedOn w:val="DefaultParagraphFont"/>
    <w:uiPriority w:val="32"/>
    <w:qFormat/>
    <w:rsid w:val="005C584D"/>
    <w:rPr>
      <w:b/>
      <w:bCs/>
      <w:smallCaps/>
      <w:color w:val="4472C4" w:themeColor="accent1"/>
      <w:spacing w:val="5"/>
    </w:rPr>
  </w:style>
  <w:style w:type="paragraph" w:styleId="TOC1">
    <w:name w:val="toc 1"/>
    <w:basedOn w:val="Normal"/>
    <w:uiPriority w:val="39"/>
    <w:qFormat/>
    <w:rsid w:val="005C584D"/>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5C584D"/>
    <w:rPr>
      <w:szCs w:val="24"/>
    </w:rPr>
  </w:style>
  <w:style w:type="character" w:customStyle="1" w:styleId="BodyTextChar">
    <w:name w:val="Body Text Char"/>
    <w:basedOn w:val="DefaultParagraphFont"/>
    <w:link w:val="BodyText"/>
    <w:uiPriority w:val="1"/>
    <w:rsid w:val="005C584D"/>
    <w:rPr>
      <w:rFonts w:ascii="Avenir Next" w:eastAsia="AvenirNext LT Pro Bold" w:hAnsi="Avenir Next" w:cs="AvenirNext LT Pro Bold"/>
      <w:color w:val="575F61"/>
      <w:kern w:val="0"/>
      <w:sz w:val="24"/>
      <w:szCs w:val="24"/>
      <w:lang w:val="en-US"/>
      <w14:ligatures w14:val="none"/>
    </w:rPr>
  </w:style>
  <w:style w:type="paragraph" w:customStyle="1" w:styleId="TableParagraph">
    <w:name w:val="Table Paragraph"/>
    <w:basedOn w:val="Normal"/>
    <w:uiPriority w:val="1"/>
    <w:qFormat/>
    <w:rsid w:val="005C584D"/>
    <w:rPr>
      <w:rFonts w:eastAsia="AvenirNextLTPro-Demi" w:cs="AvenirNextLTPro-Demi"/>
      <w:sz w:val="20"/>
    </w:rPr>
  </w:style>
  <w:style w:type="paragraph" w:customStyle="1" w:styleId="Bullets">
    <w:name w:val="Bullets"/>
    <w:basedOn w:val="BodyText"/>
    <w:next w:val="BodyText"/>
    <w:autoRedefine/>
    <w:qFormat/>
    <w:rsid w:val="005C584D"/>
    <w:pPr>
      <w:numPr>
        <w:numId w:val="1"/>
      </w:numPr>
      <w:spacing w:before="0"/>
      <w:ind w:left="426"/>
      <w:contextualSpacing/>
    </w:pPr>
  </w:style>
  <w:style w:type="paragraph" w:customStyle="1" w:styleId="Breakout">
    <w:name w:val="Breakout"/>
    <w:basedOn w:val="BodyText"/>
    <w:next w:val="BodyText"/>
    <w:autoRedefine/>
    <w:qFormat/>
    <w:rsid w:val="00D87945"/>
    <w:pPr>
      <w:spacing w:after="0" w:line="440" w:lineRule="exact"/>
    </w:pPr>
    <w:rPr>
      <w:i/>
      <w:iCs/>
      <w:spacing w:val="-2"/>
      <w:sz w:val="36"/>
      <w:szCs w:val="36"/>
    </w:rPr>
  </w:style>
  <w:style w:type="paragraph" w:styleId="TOCHeading">
    <w:name w:val="TOC Heading"/>
    <w:basedOn w:val="Heading1"/>
    <w:next w:val="Normal"/>
    <w:uiPriority w:val="39"/>
    <w:unhideWhenUsed/>
    <w:qFormat/>
    <w:rsid w:val="005C584D"/>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A72B45"/>
    <w:pPr>
      <w:tabs>
        <w:tab w:val="right" w:leader="dot" w:pos="9016"/>
      </w:tabs>
      <w:spacing w:after="0"/>
      <w:ind w:left="240"/>
    </w:pPr>
    <w:rPr>
      <w:rFonts w:ascii="Avenir Next Demi Bold" w:eastAsia="AvenirNextLTPro-Demi" w:hAnsi="Avenir Next Demi Bold" w:cs="AvenirNextLTPro-Demi"/>
      <w:noProof/>
      <w:spacing w:val="-6"/>
      <w:sz w:val="20"/>
      <w:szCs w:val="20"/>
    </w:rPr>
  </w:style>
  <w:style w:type="character" w:styleId="Hyperlink">
    <w:name w:val="Hyperlink"/>
    <w:basedOn w:val="DefaultParagraphFont"/>
    <w:uiPriority w:val="99"/>
    <w:unhideWhenUsed/>
    <w:rsid w:val="005C584D"/>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5C584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C584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C584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C584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C584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C584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C584D"/>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5C584D"/>
    <w:pPr>
      <w:tabs>
        <w:tab w:val="center" w:pos="4513"/>
        <w:tab w:val="right" w:pos="9026"/>
      </w:tabs>
      <w:spacing w:before="0" w:after="0"/>
    </w:pPr>
  </w:style>
  <w:style w:type="character" w:customStyle="1" w:styleId="FooterChar">
    <w:name w:val="Footer Char"/>
    <w:basedOn w:val="DefaultParagraphFont"/>
    <w:link w:val="Footer"/>
    <w:uiPriority w:val="99"/>
    <w:rsid w:val="005C584D"/>
    <w:rPr>
      <w:rFonts w:ascii="Avenir Next" w:eastAsia="AvenirNext LT Pro Bold" w:hAnsi="Avenir Next" w:cs="AvenirNext LT Pro Bold"/>
      <w:color w:val="575F61"/>
      <w:kern w:val="0"/>
      <w:sz w:val="24"/>
      <w:lang w:val="en-US"/>
      <w14:ligatures w14:val="none"/>
    </w:rPr>
  </w:style>
  <w:style w:type="character" w:styleId="PageNumber">
    <w:name w:val="page number"/>
    <w:basedOn w:val="DefaultParagraphFont"/>
    <w:uiPriority w:val="99"/>
    <w:semiHidden/>
    <w:unhideWhenUsed/>
    <w:rsid w:val="005C584D"/>
    <w:rPr>
      <w:rFonts w:ascii="AvenirNext LT Pro Regular" w:hAnsi="AvenirNext LT Pro Regular"/>
    </w:rPr>
  </w:style>
  <w:style w:type="paragraph" w:styleId="Header">
    <w:name w:val="header"/>
    <w:basedOn w:val="Normal"/>
    <w:link w:val="HeaderChar"/>
    <w:uiPriority w:val="99"/>
    <w:unhideWhenUsed/>
    <w:rsid w:val="005C584D"/>
    <w:pPr>
      <w:tabs>
        <w:tab w:val="center" w:pos="4513"/>
        <w:tab w:val="right" w:pos="9026"/>
      </w:tabs>
      <w:spacing w:before="0" w:after="0"/>
    </w:pPr>
  </w:style>
  <w:style w:type="character" w:customStyle="1" w:styleId="HeaderChar">
    <w:name w:val="Header Char"/>
    <w:basedOn w:val="DefaultParagraphFont"/>
    <w:link w:val="Header"/>
    <w:uiPriority w:val="99"/>
    <w:rsid w:val="005C584D"/>
    <w:rPr>
      <w:rFonts w:ascii="Avenir Next" w:eastAsia="AvenirNext LT Pro Bold" w:hAnsi="Avenir Next" w:cs="AvenirNext LT Pro Bold"/>
      <w:color w:val="575F61"/>
      <w:kern w:val="0"/>
      <w:sz w:val="24"/>
      <w:lang w:val="en-US"/>
      <w14:ligatures w14:val="none"/>
    </w:rPr>
  </w:style>
  <w:style w:type="table" w:customStyle="1" w:styleId="Table">
    <w:name w:val="Table"/>
    <w:basedOn w:val="TableNormal"/>
    <w:uiPriority w:val="99"/>
    <w:rsid w:val="005C584D"/>
    <w:pPr>
      <w:spacing w:after="0" w:line="240" w:lineRule="auto"/>
    </w:pPr>
    <w:rPr>
      <w:rFonts w:ascii="Avenir Next" w:hAnsi="Avenir Next"/>
      <w:color w:val="575F61"/>
      <w:kern w:val="0"/>
      <w:sz w:val="20"/>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5C58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5C584D"/>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5C584D"/>
    <w:rPr>
      <w:sz w:val="16"/>
      <w:szCs w:val="16"/>
    </w:rPr>
  </w:style>
  <w:style w:type="paragraph" w:styleId="CommentText">
    <w:name w:val="annotation text"/>
    <w:basedOn w:val="Normal"/>
    <w:link w:val="CommentTextChar"/>
    <w:uiPriority w:val="99"/>
    <w:unhideWhenUsed/>
    <w:rsid w:val="005C584D"/>
    <w:rPr>
      <w:sz w:val="20"/>
      <w:szCs w:val="20"/>
    </w:rPr>
  </w:style>
  <w:style w:type="character" w:customStyle="1" w:styleId="CommentTextChar">
    <w:name w:val="Comment Text Char"/>
    <w:basedOn w:val="DefaultParagraphFont"/>
    <w:link w:val="CommentText"/>
    <w:uiPriority w:val="99"/>
    <w:rsid w:val="005C584D"/>
    <w:rPr>
      <w:rFonts w:ascii="Avenir Next" w:eastAsia="AvenirNext LT Pro Bold" w:hAnsi="Avenir Next" w:cs="AvenirNext LT Pro Bold"/>
      <w:color w:val="575F6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C584D"/>
    <w:rPr>
      <w:b/>
      <w:bCs/>
    </w:rPr>
  </w:style>
  <w:style w:type="character" w:customStyle="1" w:styleId="CommentSubjectChar">
    <w:name w:val="Comment Subject Char"/>
    <w:basedOn w:val="CommentTextChar"/>
    <w:link w:val="CommentSubject"/>
    <w:uiPriority w:val="99"/>
    <w:semiHidden/>
    <w:rsid w:val="005C584D"/>
    <w:rPr>
      <w:rFonts w:ascii="Avenir Next" w:eastAsia="AvenirNext LT Pro Bold" w:hAnsi="Avenir Next" w:cs="AvenirNext LT Pro Bold"/>
      <w:b/>
      <w:bCs/>
      <w:color w:val="575F61"/>
      <w:kern w:val="0"/>
      <w:sz w:val="20"/>
      <w:szCs w:val="20"/>
      <w:lang w:val="en-US"/>
      <w14:ligatures w14:val="none"/>
    </w:rPr>
  </w:style>
  <w:style w:type="paragraph" w:styleId="BalloonText">
    <w:name w:val="Balloon Text"/>
    <w:basedOn w:val="Normal"/>
    <w:link w:val="BalloonTextChar"/>
    <w:uiPriority w:val="99"/>
    <w:semiHidden/>
    <w:unhideWhenUsed/>
    <w:rsid w:val="005C58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D"/>
    <w:rPr>
      <w:rFonts w:ascii="Segoe UI" w:eastAsia="AvenirNext LT Pro Bold" w:hAnsi="Segoe UI" w:cs="Segoe UI"/>
      <w:color w:val="575F61"/>
      <w:kern w:val="0"/>
      <w:sz w:val="18"/>
      <w:szCs w:val="18"/>
      <w:lang w:val="en-US"/>
      <w14:ligatures w14:val="none"/>
    </w:rPr>
  </w:style>
  <w:style w:type="paragraph" w:styleId="FootnoteText">
    <w:name w:val="footnote text"/>
    <w:basedOn w:val="Normal"/>
    <w:link w:val="FootnoteTextChar"/>
    <w:uiPriority w:val="99"/>
    <w:semiHidden/>
    <w:unhideWhenUsed/>
    <w:rsid w:val="005C584D"/>
    <w:pPr>
      <w:spacing w:before="0" w:after="0"/>
    </w:pPr>
    <w:rPr>
      <w:sz w:val="20"/>
      <w:szCs w:val="20"/>
    </w:rPr>
  </w:style>
  <w:style w:type="character" w:customStyle="1" w:styleId="FootnoteTextChar">
    <w:name w:val="Footnote Text Char"/>
    <w:basedOn w:val="DefaultParagraphFont"/>
    <w:link w:val="FootnoteText"/>
    <w:uiPriority w:val="99"/>
    <w:semiHidden/>
    <w:rsid w:val="005C584D"/>
    <w:rPr>
      <w:rFonts w:ascii="Avenir Next" w:eastAsia="AvenirNext LT Pro Bold" w:hAnsi="Avenir Next" w:cs="AvenirNext LT Pro Bold"/>
      <w:color w:val="575F61"/>
      <w:kern w:val="0"/>
      <w:sz w:val="20"/>
      <w:szCs w:val="20"/>
      <w:lang w:val="en-US"/>
      <w14:ligatures w14:val="none"/>
    </w:rPr>
  </w:style>
  <w:style w:type="character" w:styleId="FootnoteReference">
    <w:name w:val="footnote reference"/>
    <w:basedOn w:val="DefaultParagraphFont"/>
    <w:uiPriority w:val="99"/>
    <w:semiHidden/>
    <w:unhideWhenUsed/>
    <w:rsid w:val="005C584D"/>
    <w:rPr>
      <w:vertAlign w:val="superscript"/>
    </w:rPr>
  </w:style>
  <w:style w:type="paragraph" w:styleId="Revision">
    <w:name w:val="Revision"/>
    <w:hidden/>
    <w:uiPriority w:val="99"/>
    <w:semiHidden/>
    <w:rsid w:val="005C584D"/>
    <w:pPr>
      <w:spacing w:after="0" w:line="240" w:lineRule="auto"/>
    </w:pPr>
    <w:rPr>
      <w:rFonts w:ascii="Avenir Next" w:eastAsia="AvenirNext LT Pro Bold" w:hAnsi="Avenir Next" w:cs="AvenirNext LT Pro Bold"/>
      <w:color w:val="575F61"/>
      <w:kern w:val="0"/>
      <w:sz w:val="24"/>
      <w:lang w:val="en-US"/>
      <w14:ligatures w14:val="none"/>
    </w:rPr>
  </w:style>
  <w:style w:type="paragraph" w:customStyle="1" w:styleId="Default">
    <w:name w:val="Default"/>
    <w:rsid w:val="005C58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5">
    <w:name w:val="Pa5"/>
    <w:basedOn w:val="Default"/>
    <w:next w:val="Default"/>
    <w:uiPriority w:val="99"/>
    <w:rsid w:val="005C584D"/>
    <w:pPr>
      <w:spacing w:line="181" w:lineRule="atLeast"/>
    </w:pPr>
    <w:rPr>
      <w:color w:val="auto"/>
    </w:rPr>
  </w:style>
  <w:style w:type="paragraph" w:customStyle="1" w:styleId="Pa9">
    <w:name w:val="Pa9"/>
    <w:basedOn w:val="Default"/>
    <w:next w:val="Default"/>
    <w:uiPriority w:val="99"/>
    <w:rsid w:val="005C584D"/>
    <w:pPr>
      <w:spacing w:line="181" w:lineRule="atLeast"/>
    </w:pPr>
    <w:rPr>
      <w:color w:val="auto"/>
    </w:rPr>
  </w:style>
  <w:style w:type="paragraph" w:customStyle="1" w:styleId="Pa8">
    <w:name w:val="Pa8"/>
    <w:basedOn w:val="Default"/>
    <w:next w:val="Default"/>
    <w:uiPriority w:val="99"/>
    <w:rsid w:val="005C584D"/>
    <w:pPr>
      <w:spacing w:line="181" w:lineRule="atLeast"/>
    </w:pPr>
    <w:rPr>
      <w:color w:val="auto"/>
    </w:rPr>
  </w:style>
  <w:style w:type="table" w:styleId="PlainTable4">
    <w:name w:val="Plain Table 4"/>
    <w:basedOn w:val="TableNormal"/>
    <w:uiPriority w:val="44"/>
    <w:rsid w:val="005C584D"/>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5C584D"/>
    <w:pPr>
      <w:spacing w:line="181" w:lineRule="atLeast"/>
    </w:pPr>
    <w:rPr>
      <w:color w:val="auto"/>
    </w:rPr>
  </w:style>
  <w:style w:type="paragraph" w:customStyle="1" w:styleId="Pa28">
    <w:name w:val="Pa28"/>
    <w:basedOn w:val="Default"/>
    <w:next w:val="Default"/>
    <w:uiPriority w:val="99"/>
    <w:rsid w:val="005C584D"/>
    <w:pPr>
      <w:spacing w:line="201" w:lineRule="atLeast"/>
    </w:pPr>
    <w:rPr>
      <w:rFonts w:ascii="Sora" w:hAnsi="Sora" w:cstheme="minorBidi"/>
      <w:color w:val="auto"/>
    </w:rPr>
  </w:style>
  <w:style w:type="paragraph" w:customStyle="1" w:styleId="Pa7">
    <w:name w:val="Pa7"/>
    <w:basedOn w:val="Default"/>
    <w:next w:val="Default"/>
    <w:uiPriority w:val="99"/>
    <w:rsid w:val="005C584D"/>
    <w:pPr>
      <w:spacing w:line="181" w:lineRule="atLeast"/>
    </w:pPr>
    <w:rPr>
      <w:color w:val="auto"/>
    </w:rPr>
  </w:style>
  <w:style w:type="table" w:styleId="ListTable2">
    <w:name w:val="List Table 2"/>
    <w:basedOn w:val="TableNormal"/>
    <w:uiPriority w:val="47"/>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5C584D"/>
    <w:pPr>
      <w:widowControl w:val="0"/>
      <w:autoSpaceDE w:val="0"/>
      <w:autoSpaceDN w:val="0"/>
      <w:spacing w:after="0" w:line="240" w:lineRule="auto"/>
    </w:pPr>
    <w:rPr>
      <w:color w:val="2E74B5" w:themeColor="accent5" w:themeShade="BF"/>
      <w:kern w:val="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7">
    <w:name w:val="A7"/>
    <w:uiPriority w:val="99"/>
    <w:rsid w:val="005C584D"/>
    <w:rPr>
      <w:rFonts w:cs="Sora"/>
      <w:b/>
      <w:bCs/>
      <w:color w:val="000000"/>
      <w:sz w:val="20"/>
      <w:szCs w:val="20"/>
    </w:rPr>
  </w:style>
  <w:style w:type="character" w:styleId="Strong">
    <w:name w:val="Strong"/>
    <w:basedOn w:val="DefaultParagraphFont"/>
    <w:uiPriority w:val="22"/>
    <w:qFormat/>
    <w:rsid w:val="005C584D"/>
    <w:rPr>
      <w:b/>
      <w:bCs/>
    </w:rPr>
  </w:style>
  <w:style w:type="paragraph" w:styleId="NormalWeb">
    <w:name w:val="Normal (Web)"/>
    <w:basedOn w:val="Normal"/>
    <w:uiPriority w:val="99"/>
    <w:semiHidden/>
    <w:unhideWhenUsed/>
    <w:rsid w:val="005C584D"/>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5C584D"/>
    <w:rPr>
      <w:i/>
      <w:iCs/>
    </w:rPr>
  </w:style>
  <w:style w:type="character" w:styleId="UnresolvedMention">
    <w:name w:val="Unresolved Mention"/>
    <w:basedOn w:val="DefaultParagraphFont"/>
    <w:uiPriority w:val="99"/>
    <w:semiHidden/>
    <w:unhideWhenUsed/>
    <w:rsid w:val="005C584D"/>
    <w:rPr>
      <w:color w:val="605E5C"/>
      <w:shd w:val="clear" w:color="auto" w:fill="E1DFDD"/>
    </w:rPr>
  </w:style>
  <w:style w:type="paragraph" w:customStyle="1" w:styleId="Bulletindent">
    <w:name w:val="Bullet indent"/>
    <w:basedOn w:val="Bullets"/>
    <w:qFormat/>
    <w:rsid w:val="005C584D"/>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5C584D"/>
    <w:rPr>
      <w:color w:val="954F72" w:themeColor="followedHyperlink"/>
      <w:u w:val="single"/>
    </w:rPr>
  </w:style>
  <w:style w:type="paragraph" w:customStyle="1" w:styleId="EndNoteBibliographyTitle">
    <w:name w:val="EndNote Bibliography Title"/>
    <w:basedOn w:val="Normal"/>
    <w:link w:val="EndNoteBibliographyTitleChar"/>
    <w:rsid w:val="005C584D"/>
    <w:pPr>
      <w:spacing w:after="0"/>
      <w:jc w:val="center"/>
    </w:pPr>
    <w:rPr>
      <w:noProof/>
      <w:szCs w:val="24"/>
    </w:rPr>
  </w:style>
  <w:style w:type="character" w:customStyle="1" w:styleId="EndNoteBibliographyTitleChar">
    <w:name w:val="EndNote Bibliography Title Char"/>
    <w:basedOn w:val="BodyTextChar"/>
    <w:link w:val="EndNoteBibliographyTitle"/>
    <w:rsid w:val="005C584D"/>
    <w:rPr>
      <w:rFonts w:ascii="Avenir Next" w:eastAsia="AvenirNext LT Pro Bold" w:hAnsi="Avenir Next" w:cs="AvenirNext LT Pro Bold"/>
      <w:noProof/>
      <w:color w:val="575F61"/>
      <w:kern w:val="0"/>
      <w:sz w:val="24"/>
      <w:szCs w:val="24"/>
      <w:lang w:val="en-US"/>
      <w14:ligatures w14:val="none"/>
    </w:rPr>
  </w:style>
  <w:style w:type="paragraph" w:customStyle="1" w:styleId="EndNoteBibliography">
    <w:name w:val="EndNote Bibliography"/>
    <w:basedOn w:val="Normal"/>
    <w:link w:val="EndNoteBibliographyChar"/>
    <w:rsid w:val="005C584D"/>
    <w:rPr>
      <w:noProof/>
      <w:szCs w:val="24"/>
    </w:rPr>
  </w:style>
  <w:style w:type="character" w:customStyle="1" w:styleId="EndNoteBibliographyChar">
    <w:name w:val="EndNote Bibliography Char"/>
    <w:basedOn w:val="BodyTextChar"/>
    <w:link w:val="EndNoteBibliography"/>
    <w:rsid w:val="005C584D"/>
    <w:rPr>
      <w:rFonts w:ascii="Avenir Next" w:eastAsia="AvenirNext LT Pro Bold" w:hAnsi="Avenir Next" w:cs="AvenirNext LT Pro Bold"/>
      <w:noProof/>
      <w:color w:val="575F61"/>
      <w:kern w:val="0"/>
      <w:sz w:val="24"/>
      <w:szCs w:val="24"/>
      <w:lang w:val="en-US"/>
      <w14:ligatures w14:val="none"/>
    </w:rPr>
  </w:style>
  <w:style w:type="character" w:styleId="SubtleEmphasis">
    <w:name w:val="Subtle Emphasis"/>
    <w:basedOn w:val="DefaultParagraphFont"/>
    <w:uiPriority w:val="19"/>
    <w:qFormat/>
    <w:rsid w:val="005C584D"/>
    <w:rPr>
      <w:i/>
      <w:iCs/>
      <w:color w:val="404040" w:themeColor="text1" w:themeTint="BF"/>
    </w:rPr>
  </w:style>
  <w:style w:type="character" w:customStyle="1" w:styleId="ListParagraphChar">
    <w:name w:val="List Paragraph Char"/>
    <w:aliases w:val="Bullets 2 Char,Recommendation Char,List Paragraph1 Char,List Paragraph11 Char,Bullet point Char,#List Paragraph Char"/>
    <w:link w:val="ListParagraph"/>
    <w:uiPriority w:val="34"/>
    <w:locked/>
    <w:rsid w:val="00ED4092"/>
    <w:rPr>
      <w:rFonts w:ascii="Avenir Next" w:eastAsia="AvenirNext LT Pro Bold" w:hAnsi="Avenir Next" w:cs="AvenirNext LT Pro Bold"/>
      <w:color w:val="575F61"/>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7683">
      <w:bodyDiv w:val="1"/>
      <w:marLeft w:val="0"/>
      <w:marRight w:val="0"/>
      <w:marTop w:val="0"/>
      <w:marBottom w:val="0"/>
      <w:divBdr>
        <w:top w:val="none" w:sz="0" w:space="0" w:color="auto"/>
        <w:left w:val="none" w:sz="0" w:space="0" w:color="auto"/>
        <w:bottom w:val="none" w:sz="0" w:space="0" w:color="auto"/>
        <w:right w:val="none" w:sz="0" w:space="0" w:color="auto"/>
      </w:divBdr>
    </w:div>
    <w:div w:id="884947647">
      <w:bodyDiv w:val="1"/>
      <w:marLeft w:val="0"/>
      <w:marRight w:val="0"/>
      <w:marTop w:val="0"/>
      <w:marBottom w:val="0"/>
      <w:divBdr>
        <w:top w:val="none" w:sz="0" w:space="0" w:color="auto"/>
        <w:left w:val="none" w:sz="0" w:space="0" w:color="auto"/>
        <w:bottom w:val="none" w:sz="0" w:space="0" w:color="auto"/>
        <w:right w:val="none" w:sz="0" w:space="0" w:color="auto"/>
      </w:divBdr>
    </w:div>
    <w:div w:id="990790146">
      <w:bodyDiv w:val="1"/>
      <w:marLeft w:val="0"/>
      <w:marRight w:val="0"/>
      <w:marTop w:val="0"/>
      <w:marBottom w:val="0"/>
      <w:divBdr>
        <w:top w:val="none" w:sz="0" w:space="0" w:color="auto"/>
        <w:left w:val="none" w:sz="0" w:space="0" w:color="auto"/>
        <w:bottom w:val="none" w:sz="0" w:space="0" w:color="auto"/>
        <w:right w:val="none" w:sz="0" w:space="0" w:color="auto"/>
      </w:divBdr>
    </w:div>
    <w:div w:id="1364329122">
      <w:bodyDiv w:val="1"/>
      <w:marLeft w:val="0"/>
      <w:marRight w:val="0"/>
      <w:marTop w:val="0"/>
      <w:marBottom w:val="0"/>
      <w:divBdr>
        <w:top w:val="none" w:sz="0" w:space="0" w:color="auto"/>
        <w:left w:val="none" w:sz="0" w:space="0" w:color="auto"/>
        <w:bottom w:val="none" w:sz="0" w:space="0" w:color="auto"/>
        <w:right w:val="none" w:sz="0" w:space="0" w:color="auto"/>
      </w:divBdr>
    </w:div>
    <w:div w:id="1636788351">
      <w:bodyDiv w:val="1"/>
      <w:marLeft w:val="0"/>
      <w:marRight w:val="0"/>
      <w:marTop w:val="0"/>
      <w:marBottom w:val="0"/>
      <w:divBdr>
        <w:top w:val="none" w:sz="0" w:space="0" w:color="auto"/>
        <w:left w:val="none" w:sz="0" w:space="0" w:color="auto"/>
        <w:bottom w:val="none" w:sz="0" w:space="0" w:color="auto"/>
        <w:right w:val="none" w:sz="0" w:space="0" w:color="auto"/>
      </w:divBdr>
    </w:div>
    <w:div w:id="1711689250">
      <w:bodyDiv w:val="1"/>
      <w:marLeft w:val="0"/>
      <w:marRight w:val="0"/>
      <w:marTop w:val="0"/>
      <w:marBottom w:val="0"/>
      <w:divBdr>
        <w:top w:val="none" w:sz="0" w:space="0" w:color="auto"/>
        <w:left w:val="none" w:sz="0" w:space="0" w:color="auto"/>
        <w:bottom w:val="none" w:sz="0" w:space="0" w:color="auto"/>
        <w:right w:val="none" w:sz="0" w:space="0" w:color="auto"/>
      </w:divBdr>
    </w:div>
    <w:div w:id="18709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glicare-tas.org.au/research/unsafe-and-unhoused/" TargetMode="External"/><Relationship Id="rId18" Type="http://schemas.openxmlformats.org/officeDocument/2006/relationships/chart" Target="charts/chart3.xml"/><Relationship Id="rId39" Type="http://schemas.openxmlformats.org/officeDocument/2006/relationships/image" Target="media/image19.png"/><Relationship Id="rId21" Type="http://schemas.microsoft.com/office/2014/relationships/chartEx" Target="charts/chartEx1.xml"/><Relationship Id="rId42" Type="http://schemas.openxmlformats.org/officeDocument/2006/relationships/chart" Target="charts/chart8.xml"/><Relationship Id="rId47" Type="http://schemas.openxmlformats.org/officeDocument/2006/relationships/image" Target="media/image2.png"/><Relationship Id="rId50" Type="http://schemas.openxmlformats.org/officeDocument/2006/relationships/hyperlink" Target="https://www.abs.gov.au/statistics/people/housing/estimating-homelessness-census/latest-release" TargetMode="External"/><Relationship Id="rId55" Type="http://schemas.openxmlformats.org/officeDocument/2006/relationships/hyperlink" Target="https://www.abs.gov.au/AUSSTATS/abs@.nsf/Lookup/2050.0Main+Features12006?OpenDocument" TargetMode="External"/><Relationship Id="rId63" Type="http://schemas.openxmlformats.org/officeDocument/2006/relationships/hyperlink" Target="https://www.tasmanianhousingstrategy.ta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2.xml"/><Relationship Id="rId11" Type="http://schemas.openxmlformats.org/officeDocument/2006/relationships/footer" Target="footer1.xml"/><Relationship Id="rId40" Type="http://schemas.openxmlformats.org/officeDocument/2006/relationships/chart" Target="charts/chart6.xml"/><Relationship Id="rId45" Type="http://schemas.openxmlformats.org/officeDocument/2006/relationships/chart" Target="charts/chart10.xml"/><Relationship Id="rId53" Type="http://schemas.openxmlformats.org/officeDocument/2006/relationships/hyperlink" Target="https://www.anglicare-tas.org.au/research/sarc-more-houses-needed-report-october-2024/" TargetMode="External"/><Relationship Id="rId58" Type="http://schemas.openxmlformats.org/officeDocument/2006/relationships/hyperlink" Target="https://www.homestasmania.com.au/engage/Information-for-Partners/about-housing-connect-reform"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49" Type="http://schemas.openxmlformats.org/officeDocument/2006/relationships/hyperlink" Target="https://www.anglicare-tas.org.au/research/unsafe-and-unhoused/" TargetMode="External"/><Relationship Id="rId57" Type="http://schemas.openxmlformats.org/officeDocument/2006/relationships/hyperlink" Target="https://www.homestasmania.com.au/about-us/Publications/housing-dashboard." TargetMode="External"/><Relationship Id="rId61" Type="http://schemas.openxmlformats.org/officeDocument/2006/relationships/hyperlink" Target="https://www.pc.gov.au/ongoing/report-on-government-services/2025/housing-and-homelessness" TargetMode="External"/><Relationship Id="rId10" Type="http://schemas.openxmlformats.org/officeDocument/2006/relationships/endnotes" Target="endnotes.xml"/><Relationship Id="rId19" Type="http://schemas.openxmlformats.org/officeDocument/2006/relationships/chart" Target="charts/chart4.xml"/><Relationship Id="rId44" Type="http://schemas.openxmlformats.org/officeDocument/2006/relationships/chart" Target="charts/chart9.xml"/><Relationship Id="rId52" Type="http://schemas.openxmlformats.org/officeDocument/2006/relationships/hyperlink" Target="https://www.anglicare-tas.org.au/housing-connect-snapshot/" TargetMode="External"/><Relationship Id="rId60" Type="http://schemas.openxmlformats.org/officeDocument/2006/relationships/hyperlink" Target="https://nhsac.gov.au/reports-and-submissions/state-housing-system-2024" TargetMode="External"/><Relationship Id="rId65" Type="http://schemas.openxmlformats.org/officeDocument/2006/relationships/hyperlink" Target="https://tutas.org.au/publications/tasmanian-r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glicare-tas.org.au/research/sarc-more-houses-needed-report-october-2024/" TargetMode="External"/><Relationship Id="rId43" Type="http://schemas.openxmlformats.org/officeDocument/2006/relationships/image" Target="media/image1.png"/><Relationship Id="rId48" Type="http://schemas.openxmlformats.org/officeDocument/2006/relationships/hyperlink" Target="https://www.anglicare-tas.org.au/research/unsafe-and-unhoused/" TargetMode="External"/><Relationship Id="rId56" Type="http://schemas.openxmlformats.org/officeDocument/2006/relationships/hyperlink" Target="https://homelessnessaustralia.org.au/homelessness-resources/" TargetMode="External"/><Relationship Id="rId64" Type="http://schemas.openxmlformats.org/officeDocument/2006/relationships/hyperlink" Target="https://www.anglicare-tas.org.au/research/unsafe-and-unhoused/" TargetMode="External"/><Relationship Id="rId8" Type="http://schemas.openxmlformats.org/officeDocument/2006/relationships/webSettings" Target="webSettings.xml"/><Relationship Id="rId51" Type="http://schemas.openxmlformats.org/officeDocument/2006/relationships/hyperlink" Target="https://www.abs.gov.au/statistics/economy/price-indexes-and-inflation/wage-price-index-australia"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anglicare-tas.org.au/rental-affordability-snapshot/" TargetMode="External"/><Relationship Id="rId46" Type="http://schemas.openxmlformats.org/officeDocument/2006/relationships/chart" Target="charts/chart11.xml"/><Relationship Id="rId59" Type="http://schemas.openxmlformats.org/officeDocument/2006/relationships/hyperlink" Target="https://homelessnessnsw.org.au/wp-content/uploads/2023/08/waithood-report-final-2023-1.pdf" TargetMode="External"/><Relationship Id="rId67"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chart" Target="charts/chart7.xml"/><Relationship Id="rId54" Type="http://schemas.openxmlformats.org/officeDocument/2006/relationships/hyperlink" Target="https://www.anglicare-tas.org.au/rental-affordability-snapshot/" TargetMode="External"/><Relationship Id="rId62" Type="http://schemas.openxmlformats.org/officeDocument/2006/relationships/hyperlink" Target="https://tascoss.org.au/state-of-housing/" TargetMode="Externa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tas-fileserv1.anglicare-tas.org.au\Program%20Share\SARC\2.%20Research,%20Policy%20and%20Advocacy\Projects\Recurring%20projects\Housing%20Connect%20Snapshot\3.%20Mar%202025\3%20Research\3.%20Mar%20Qtr%202025\Q3%20Statewide%20FD%20-%20Client%20Surve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as-fileserv1.anglicare-tas.org.au\Program%20Share\SARC\2.%20Research,%20Policy%20and%20Advocacy\Projects\Recurring%20projects\Housing%20Connect%20Snapshot\3.%20Mar%202025\4%20Writing\Q3%2024_25%20charts%20for%20graphic%20designer.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https://anglicaretasmania-my.sharepoint.com/personal/maryb_anglicare-tas_org_au/Documents/Documents/March%202025%20Charts%20-%20working%20spreadsheet%200605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anglicaretasmania-my.sharepoint.com/personal/maryb_anglicare-tas_org_au/Documents/Documents/March%202025%20Charts%20-%20working%20spreadsheet%200605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3.%20Mar%202025\4%20Writing\Q3%2024_25%20charts%20for%20graphic%20designer.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tas-fileserv1.anglicare-tas.org.au\Program%20Share\SARC\2.%20Research,%20Policy%20and%20Advocacy\Projects\Recurring%20projects\Housing%20Connect%20Snapshot\3.%20Mar%202025\3%20Research\March%202025%20Charts%20-%20working%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Rental</a:t>
            </a:r>
            <a:r>
              <a:rPr lang="en-AU" baseline="0"/>
              <a:t> vacancy rate</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'Vacancy rate'!$B$2</c:f>
              <c:strCache>
                <c:ptCount val="1"/>
                <c:pt idx="0">
                  <c:v>Hobart</c:v>
                </c:pt>
              </c:strCache>
            </c:strRef>
          </c:tx>
          <c:spPr>
            <a:ln w="25400" cap="rnd">
              <a:solidFill>
                <a:schemeClr val="accent1"/>
              </a:solidFill>
              <a:round/>
            </a:ln>
            <a:effectLst/>
          </c:spPr>
          <c:marker>
            <c:symbol val="none"/>
          </c:marker>
          <c:cat>
            <c:numRef>
              <c:f>'Vacancy rate'!$A$6:$A$18</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'Vacancy rate'!$B$6:$B$18</c:f>
              <c:numCache>
                <c:formatCode>0.0%</c:formatCode>
                <c:ptCount val="13"/>
                <c:pt idx="0">
                  <c:v>1.2999999999999999E-2</c:v>
                </c:pt>
                <c:pt idx="1">
                  <c:v>1.4E-2</c:v>
                </c:pt>
                <c:pt idx="2">
                  <c:v>1.4E-2</c:v>
                </c:pt>
                <c:pt idx="3">
                  <c:v>1.4999999999999999E-2</c:v>
                </c:pt>
                <c:pt idx="4">
                  <c:v>1.7999999999999999E-2</c:v>
                </c:pt>
                <c:pt idx="5">
                  <c:v>1.0999999999999999E-2</c:v>
                </c:pt>
                <c:pt idx="6">
                  <c:v>8.0000000000000002E-3</c:v>
                </c:pt>
                <c:pt idx="7">
                  <c:v>6.0000000000000001E-3</c:v>
                </c:pt>
                <c:pt idx="8">
                  <c:v>7.0000000000000001E-3</c:v>
                </c:pt>
                <c:pt idx="9">
                  <c:v>6.0000000000000001E-3</c:v>
                </c:pt>
                <c:pt idx="10">
                  <c:v>3.0000000000000001E-3</c:v>
                </c:pt>
                <c:pt idx="11">
                  <c:v>6.0000000000000001E-3</c:v>
                </c:pt>
                <c:pt idx="12">
                  <c:v>5.0000000000000001E-3</c:v>
                </c:pt>
              </c:numCache>
            </c:numRef>
          </c:val>
          <c:smooth val="0"/>
          <c:extLst>
            <c:ext xmlns:c16="http://schemas.microsoft.com/office/drawing/2014/chart" uri="{C3380CC4-5D6E-409C-BE32-E72D297353CC}">
              <c16:uniqueId val="{00000000-68BA-48FD-8F49-5AA05EE71D7F}"/>
            </c:ext>
          </c:extLst>
        </c:ser>
        <c:ser>
          <c:idx val="1"/>
          <c:order val="1"/>
          <c:tx>
            <c:strRef>
              <c:f>'Vacancy rate'!$C$2</c:f>
              <c:strCache>
                <c:ptCount val="1"/>
                <c:pt idx="0">
                  <c:v>Burnie</c:v>
                </c:pt>
              </c:strCache>
            </c:strRef>
          </c:tx>
          <c:spPr>
            <a:ln w="25400" cap="rnd">
              <a:solidFill>
                <a:schemeClr val="accent2"/>
              </a:solidFill>
              <a:round/>
            </a:ln>
            <a:effectLst/>
          </c:spPr>
          <c:marker>
            <c:symbol val="none"/>
          </c:marker>
          <c:cat>
            <c:numRef>
              <c:f>'Vacancy rate'!$A$6:$A$18</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'Vacancy rate'!$C$6:$C$18</c:f>
              <c:numCache>
                <c:formatCode>0.0%</c:formatCode>
                <c:ptCount val="13"/>
                <c:pt idx="0">
                  <c:v>7.0000000000000001E-3</c:v>
                </c:pt>
                <c:pt idx="1">
                  <c:v>5.0000000000000001E-3</c:v>
                </c:pt>
                <c:pt idx="2">
                  <c:v>6.0000000000000001E-3</c:v>
                </c:pt>
                <c:pt idx="3">
                  <c:v>8.0000000000000002E-3</c:v>
                </c:pt>
                <c:pt idx="4">
                  <c:v>8.0000000000000002E-3</c:v>
                </c:pt>
                <c:pt idx="5">
                  <c:v>7.0000000000000001E-3</c:v>
                </c:pt>
                <c:pt idx="6">
                  <c:v>5.0000000000000001E-3</c:v>
                </c:pt>
                <c:pt idx="7">
                  <c:v>3.0000000000000001E-3</c:v>
                </c:pt>
                <c:pt idx="8">
                  <c:v>4.0000000000000001E-3</c:v>
                </c:pt>
                <c:pt idx="9">
                  <c:v>5.0000000000000001E-3</c:v>
                </c:pt>
                <c:pt idx="10">
                  <c:v>3.0000000000000001E-3</c:v>
                </c:pt>
                <c:pt idx="11">
                  <c:v>3.0000000000000001E-3</c:v>
                </c:pt>
                <c:pt idx="12">
                  <c:v>4.0000000000000001E-3</c:v>
                </c:pt>
              </c:numCache>
            </c:numRef>
          </c:val>
          <c:smooth val="0"/>
          <c:extLst>
            <c:ext xmlns:c16="http://schemas.microsoft.com/office/drawing/2014/chart" uri="{C3380CC4-5D6E-409C-BE32-E72D297353CC}">
              <c16:uniqueId val="{00000001-68BA-48FD-8F49-5AA05EE71D7F}"/>
            </c:ext>
          </c:extLst>
        </c:ser>
        <c:ser>
          <c:idx val="2"/>
          <c:order val="2"/>
          <c:tx>
            <c:strRef>
              <c:f>'Vacancy rate'!$D$2</c:f>
              <c:strCache>
                <c:ptCount val="1"/>
                <c:pt idx="0">
                  <c:v>Launceston</c:v>
                </c:pt>
              </c:strCache>
            </c:strRef>
          </c:tx>
          <c:spPr>
            <a:ln w="25400" cap="rnd">
              <a:solidFill>
                <a:schemeClr val="accent3"/>
              </a:solidFill>
              <a:round/>
            </a:ln>
            <a:effectLst/>
          </c:spPr>
          <c:marker>
            <c:symbol val="none"/>
          </c:marker>
          <c:cat>
            <c:numRef>
              <c:f>'Vacancy rate'!$A$6:$A$18</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'Vacancy rate'!$D$6:$D$18</c:f>
              <c:numCache>
                <c:formatCode>0.0%</c:formatCode>
                <c:ptCount val="13"/>
                <c:pt idx="0">
                  <c:v>1.2999999999999999E-2</c:v>
                </c:pt>
                <c:pt idx="1">
                  <c:v>1.2E-2</c:v>
                </c:pt>
                <c:pt idx="2">
                  <c:v>0.01</c:v>
                </c:pt>
                <c:pt idx="3">
                  <c:v>1.0999999999999999E-2</c:v>
                </c:pt>
                <c:pt idx="4">
                  <c:v>1.2999999999999999E-2</c:v>
                </c:pt>
                <c:pt idx="5">
                  <c:v>0.01</c:v>
                </c:pt>
                <c:pt idx="6">
                  <c:v>8.0000000000000002E-3</c:v>
                </c:pt>
                <c:pt idx="7">
                  <c:v>8.0000000000000002E-3</c:v>
                </c:pt>
                <c:pt idx="8">
                  <c:v>8.9999999999999993E-3</c:v>
                </c:pt>
                <c:pt idx="9">
                  <c:v>8.9999999999999993E-3</c:v>
                </c:pt>
                <c:pt idx="10">
                  <c:v>5.0000000000000001E-3</c:v>
                </c:pt>
                <c:pt idx="11">
                  <c:v>8.9999999999999993E-3</c:v>
                </c:pt>
                <c:pt idx="12">
                  <c:v>8.0000000000000002E-3</c:v>
                </c:pt>
              </c:numCache>
            </c:numRef>
          </c:val>
          <c:smooth val="0"/>
          <c:extLst>
            <c:ext xmlns:c16="http://schemas.microsoft.com/office/drawing/2014/chart" uri="{C3380CC4-5D6E-409C-BE32-E72D297353CC}">
              <c16:uniqueId val="{00000002-68BA-48FD-8F49-5AA05EE71D7F}"/>
            </c:ext>
          </c:extLst>
        </c:ser>
        <c:ser>
          <c:idx val="3"/>
          <c:order val="3"/>
          <c:tx>
            <c:strRef>
              <c:f>'Vacancy rate'!$E$2</c:f>
              <c:strCache>
                <c:ptCount val="1"/>
                <c:pt idx="0">
                  <c:v>Target rate 3%</c:v>
                </c:pt>
              </c:strCache>
            </c:strRef>
          </c:tx>
          <c:spPr>
            <a:ln w="25400" cap="rnd">
              <a:solidFill>
                <a:srgbClr val="00B050"/>
              </a:solidFill>
              <a:round/>
            </a:ln>
            <a:effectLst/>
          </c:spPr>
          <c:marker>
            <c:symbol val="none"/>
          </c:marker>
          <c:cat>
            <c:numRef>
              <c:f>'Vacancy rate'!$A$6:$A$18</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'Vacancy rate'!$E$6:$E$18</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68BA-48FD-8F49-5AA05EE71D7F}"/>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11'!$B$9</c:f>
              <c:strCache>
                <c:ptCount val="1"/>
                <c:pt idx="0">
                  <c:v>Start of support period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11'!$A$10:$A$14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11'!$B$10:$B$14</c:f>
              <c:numCache>
                <c:formatCode>0.0%</c:formatCode>
                <c:ptCount val="5"/>
                <c:pt idx="0">
                  <c:v>0.68446943078004219</c:v>
                </c:pt>
                <c:pt idx="1">
                  <c:v>1.8973998594518624E-2</c:v>
                </c:pt>
                <c:pt idx="2">
                  <c:v>8.0112438510189746E-2</c:v>
                </c:pt>
                <c:pt idx="3">
                  <c:v>0.11103302881236823</c:v>
                </c:pt>
                <c:pt idx="4">
                  <c:v>0.11806043569922699</c:v>
                </c:pt>
              </c:numCache>
            </c:numRef>
          </c:val>
          <c:extLst>
            <c:ext xmlns:c16="http://schemas.microsoft.com/office/drawing/2014/chart" uri="{C3380CC4-5D6E-409C-BE32-E72D297353CC}">
              <c16:uniqueId val="{00000000-CB77-4E0F-8B30-65EDA3075A8F}"/>
            </c:ext>
          </c:extLst>
        </c:ser>
        <c:ser>
          <c:idx val="1"/>
          <c:order val="1"/>
          <c:tx>
            <c:strRef>
              <c:f>'Figure 11'!$C$9</c:f>
              <c:strCache>
                <c:ptCount val="1"/>
                <c:pt idx="0">
                  <c:v>End of support period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11'!$A$10:$A$14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11'!$C$10:$C$14</c:f>
              <c:numCache>
                <c:formatCode>0.0%</c:formatCode>
                <c:ptCount val="5"/>
                <c:pt idx="0">
                  <c:v>0.70884658454647254</c:v>
                </c:pt>
                <c:pt idx="1">
                  <c:v>3.2474804031354984E-2</c:v>
                </c:pt>
                <c:pt idx="2">
                  <c:v>5.7110862262038077E-2</c:v>
                </c:pt>
                <c:pt idx="3">
                  <c:v>0.12094064949608063</c:v>
                </c:pt>
                <c:pt idx="4">
                  <c:v>6.0470324748040316E-2</c:v>
                </c:pt>
              </c:numCache>
            </c:numRef>
          </c:val>
          <c:extLst>
            <c:ext xmlns:c16="http://schemas.microsoft.com/office/drawing/2014/chart" uri="{C3380CC4-5D6E-409C-BE32-E72D297353CC}">
              <c16:uniqueId val="{00000001-CB77-4E0F-8B30-65EDA3075A8F}"/>
            </c:ext>
          </c:extLst>
        </c:ser>
        <c:dLbls>
          <c:showLegendKey val="0"/>
          <c:showVal val="0"/>
          <c:showCatName val="0"/>
          <c:showSerName val="0"/>
          <c:showPercent val="0"/>
          <c:showBubbleSize val="0"/>
        </c:dLbls>
        <c:gapWidth val="219"/>
        <c:overlap val="-27"/>
        <c:axId val="349636095"/>
        <c:axId val="349636575"/>
      </c:barChart>
      <c:catAx>
        <c:axId val="34963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636575"/>
        <c:crosses val="autoZero"/>
        <c:auto val="1"/>
        <c:lblAlgn val="ctr"/>
        <c:lblOffset val="100"/>
        <c:noMultiLvlLbl val="0"/>
      </c:catAx>
      <c:valAx>
        <c:axId val="3496365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3496360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9B7-4C81-BBB3-79877655B378}"/>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69B7-4C81-BBB3-79877655B3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B7-4C81-BBB3-79877655B3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9B7-4C81-BBB3-79877655B3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9B7-4C81-BBB3-79877655B378}"/>
              </c:ext>
            </c:extLst>
          </c:dPt>
          <c:dLbls>
            <c:dLbl>
              <c:idx val="0"/>
              <c:layout>
                <c:manualLayout>
                  <c:x val="-8.71091790828976E-2"/>
                  <c:y val="-0.16932007381009395"/>
                </c:manualLayout>
              </c:layout>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9B7-4C81-BBB3-79877655B378}"/>
                </c:ext>
              </c:extLst>
            </c:dLbl>
            <c:dLbl>
              <c:idx val="1"/>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3-69B7-4C81-BBB3-79877655B378}"/>
                </c:ext>
              </c:extLst>
            </c:dLbl>
            <c:dLbl>
              <c:idx val="2"/>
              <c:delete val="1"/>
              <c:extLst>
                <c:ext xmlns:c15="http://schemas.microsoft.com/office/drawing/2012/chart" uri="{CE6537A1-D6FC-4f65-9D91-7224C49458BB}"/>
                <c:ext xmlns:c16="http://schemas.microsoft.com/office/drawing/2014/chart" uri="{C3380CC4-5D6E-409C-BE32-E72D297353CC}">
                  <c16:uniqueId val="{00000005-69B7-4C81-BBB3-79877655B378}"/>
                </c:ext>
              </c:extLst>
            </c:dLbl>
            <c:dLbl>
              <c:idx val="3"/>
              <c:delete val="1"/>
              <c:extLst>
                <c:ext xmlns:c15="http://schemas.microsoft.com/office/drawing/2012/chart" uri="{CE6537A1-D6FC-4f65-9D91-7224C49458BB}"/>
                <c:ext xmlns:c16="http://schemas.microsoft.com/office/drawing/2014/chart" uri="{C3380CC4-5D6E-409C-BE32-E72D297353CC}">
                  <c16:uniqueId val="{00000007-69B7-4C81-BBB3-79877655B378}"/>
                </c:ext>
              </c:extLst>
            </c:dLbl>
            <c:dLbl>
              <c:idx val="4"/>
              <c:delete val="1"/>
              <c:extLst>
                <c:ext xmlns:c15="http://schemas.microsoft.com/office/drawing/2012/chart" uri="{CE6537A1-D6FC-4f65-9D91-7224C49458BB}"/>
                <c:ext xmlns:c16="http://schemas.microsoft.com/office/drawing/2014/chart" uri="{C3380CC4-5D6E-409C-BE32-E72D297353CC}">
                  <c16:uniqueId val="{00000009-69B7-4C81-BBB3-79877655B3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Statewide!$A$2:$A$6</c:f>
              <c:strCache>
                <c:ptCount val="5"/>
                <c:pt idx="0">
                  <c:v>Very satisfied</c:v>
                </c:pt>
                <c:pt idx="1">
                  <c:v>Satisfied</c:v>
                </c:pt>
                <c:pt idx="2">
                  <c:v>Undecided</c:v>
                </c:pt>
                <c:pt idx="3">
                  <c:v>Dissatisfied</c:v>
                </c:pt>
                <c:pt idx="4">
                  <c:v>Very dissatisfied</c:v>
                </c:pt>
              </c:strCache>
            </c:strRef>
          </c:cat>
          <c:val>
            <c:numRef>
              <c:f>Statewide!$B$2:$B$6</c:f>
              <c:numCache>
                <c:formatCode>General</c:formatCode>
                <c:ptCount val="5"/>
                <c:pt idx="0">
                  <c:v>165</c:v>
                </c:pt>
                <c:pt idx="1">
                  <c:v>11</c:v>
                </c:pt>
                <c:pt idx="2">
                  <c:v>0</c:v>
                </c:pt>
                <c:pt idx="3">
                  <c:v>0</c:v>
                </c:pt>
                <c:pt idx="4">
                  <c:v>0</c:v>
                </c:pt>
              </c:numCache>
            </c:numRef>
          </c:val>
          <c:extLst>
            <c:ext xmlns:c16="http://schemas.microsoft.com/office/drawing/2014/chart" uri="{C3380CC4-5D6E-409C-BE32-E72D297353CC}">
              <c16:uniqueId val="{0000000A-69B7-4C81-BBB3-79877655B37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'Figure 2 '!$B$9</c:f>
              <c:strCache>
                <c:ptCount val="1"/>
                <c:pt idx="0">
                  <c:v>Weighted Median Rent Index, Tasmania</c:v>
                </c:pt>
              </c:strCache>
            </c:strRef>
          </c:tx>
          <c:marker>
            <c:symbol val="none"/>
          </c:marker>
          <c:cat>
            <c:numRef>
              <c:f>'Figure 2 '!$A$10:$A$28</c:f>
              <c:numCache>
                <c:formatCode>mmm\-yy</c:formatCode>
                <c:ptCount val="19"/>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pt idx="18">
                  <c:v>45717</c:v>
                </c:pt>
              </c:numCache>
            </c:numRef>
          </c:cat>
          <c:val>
            <c:numRef>
              <c:f>'Figure 2 '!$B$10:$B$28</c:f>
              <c:numCache>
                <c:formatCode>General</c:formatCode>
                <c:ptCount val="19"/>
                <c:pt idx="0">
                  <c:v>357</c:v>
                </c:pt>
                <c:pt idx="1">
                  <c:v>365</c:v>
                </c:pt>
                <c:pt idx="2">
                  <c:v>378</c:v>
                </c:pt>
                <c:pt idx="3">
                  <c:v>383</c:v>
                </c:pt>
                <c:pt idx="4">
                  <c:v>392</c:v>
                </c:pt>
                <c:pt idx="5">
                  <c:v>406</c:v>
                </c:pt>
                <c:pt idx="6">
                  <c:v>420</c:v>
                </c:pt>
                <c:pt idx="7">
                  <c:v>421</c:v>
                </c:pt>
                <c:pt idx="8">
                  <c:v>424</c:v>
                </c:pt>
                <c:pt idx="9">
                  <c:v>440</c:v>
                </c:pt>
                <c:pt idx="10">
                  <c:v>451</c:v>
                </c:pt>
                <c:pt idx="11">
                  <c:v>437</c:v>
                </c:pt>
                <c:pt idx="12">
                  <c:v>434</c:v>
                </c:pt>
                <c:pt idx="13">
                  <c:v>445</c:v>
                </c:pt>
                <c:pt idx="14">
                  <c:v>457</c:v>
                </c:pt>
                <c:pt idx="15">
                  <c:v>450</c:v>
                </c:pt>
                <c:pt idx="16">
                  <c:v>456</c:v>
                </c:pt>
                <c:pt idx="17">
                  <c:v>461</c:v>
                </c:pt>
                <c:pt idx="18">
                  <c:v>469</c:v>
                </c:pt>
              </c:numCache>
            </c:numRef>
          </c:val>
          <c:smooth val="0"/>
          <c:extLst>
            <c:ext xmlns:c16="http://schemas.microsoft.com/office/drawing/2014/chart" uri="{C3380CC4-5D6E-409C-BE32-E72D297353CC}">
              <c16:uniqueId val="{00000000-6227-4B47-BB46-FADF826DE708}"/>
            </c:ext>
          </c:extLst>
        </c:ser>
        <c:ser>
          <c:idx val="3"/>
          <c:order val="1"/>
          <c:tx>
            <c:strRef>
              <c:f>'Figure 2 '!$C$9</c:f>
              <c:strCache>
                <c:ptCount val="1"/>
                <c:pt idx="0">
                  <c:v>Wage Price Index, Tasmania</c:v>
                </c:pt>
              </c:strCache>
            </c:strRef>
          </c:tx>
          <c:marker>
            <c:symbol val="none"/>
          </c:marker>
          <c:cat>
            <c:numRef>
              <c:f>'Figure 2 '!$A$10:$A$28</c:f>
              <c:numCache>
                <c:formatCode>mmm\-yy</c:formatCode>
                <c:ptCount val="19"/>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pt idx="18">
                  <c:v>45717</c:v>
                </c:pt>
              </c:numCache>
            </c:numRef>
          </c:cat>
          <c:val>
            <c:numRef>
              <c:f>'Figure 2 '!$C$10:$C$28</c:f>
              <c:numCache>
                <c:formatCode>General</c:formatCode>
                <c:ptCount val="19"/>
                <c:pt idx="0">
                  <c:v>136.1</c:v>
                </c:pt>
                <c:pt idx="1">
                  <c:v>136.6</c:v>
                </c:pt>
                <c:pt idx="2">
                  <c:v>137.69999999999999</c:v>
                </c:pt>
                <c:pt idx="3">
                  <c:v>138.4</c:v>
                </c:pt>
                <c:pt idx="4">
                  <c:v>139.80000000000001</c:v>
                </c:pt>
                <c:pt idx="5">
                  <c:v>140.69999999999999</c:v>
                </c:pt>
                <c:pt idx="6">
                  <c:v>141.5</c:v>
                </c:pt>
                <c:pt idx="7">
                  <c:v>142.4</c:v>
                </c:pt>
                <c:pt idx="8">
                  <c:v>144.80000000000001</c:v>
                </c:pt>
                <c:pt idx="9">
                  <c:v>145.69999999999999</c:v>
                </c:pt>
                <c:pt idx="10">
                  <c:v>147.30000000000001</c:v>
                </c:pt>
                <c:pt idx="11">
                  <c:v>147.9</c:v>
                </c:pt>
                <c:pt idx="12">
                  <c:v>151.19999999999999</c:v>
                </c:pt>
                <c:pt idx="13" formatCode="0.0">
                  <c:v>152</c:v>
                </c:pt>
                <c:pt idx="14">
                  <c:v>154.5</c:v>
                </c:pt>
                <c:pt idx="15">
                  <c:v>155.5</c:v>
                </c:pt>
                <c:pt idx="16">
                  <c:v>157.19999999999999</c:v>
                </c:pt>
                <c:pt idx="17" formatCode="0.0">
                  <c:v>158</c:v>
                </c:pt>
                <c:pt idx="18" formatCode="0.0">
                  <c:v>159.4</c:v>
                </c:pt>
              </c:numCache>
            </c:numRef>
          </c:val>
          <c:smooth val="0"/>
          <c:extLst>
            <c:ext xmlns:c16="http://schemas.microsoft.com/office/drawing/2014/chart" uri="{C3380CC4-5D6E-409C-BE32-E72D297353CC}">
              <c16:uniqueId val="{00000001-6227-4B47-BB46-FADF826DE708}"/>
            </c:ext>
          </c:extLst>
        </c:ser>
        <c:ser>
          <c:idx val="0"/>
          <c:order val="2"/>
          <c:tx>
            <c:strRef>
              <c:f>'Figure 2 '!$B$9</c:f>
              <c:strCache>
                <c:ptCount val="1"/>
                <c:pt idx="0">
                  <c:v>Weighted Median Rent Index, Tasmania</c:v>
                </c:pt>
              </c:strCache>
            </c:strRef>
          </c:tx>
          <c:spPr>
            <a:ln w="28575" cap="rnd">
              <a:solidFill>
                <a:schemeClr val="accent1"/>
              </a:solidFill>
              <a:round/>
            </a:ln>
            <a:effectLst/>
          </c:spPr>
          <c:marker>
            <c:symbol val="none"/>
          </c:marker>
          <c:cat>
            <c:numRef>
              <c:f>'Figure 2 '!$A$10:$A$28</c:f>
              <c:numCache>
                <c:formatCode>mmm\-yy</c:formatCode>
                <c:ptCount val="19"/>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pt idx="18">
                  <c:v>45717</c:v>
                </c:pt>
              </c:numCache>
            </c:numRef>
          </c:cat>
          <c:val>
            <c:numRef>
              <c:f>'Figure 2 '!$B$10:$B$28</c:f>
              <c:numCache>
                <c:formatCode>General</c:formatCode>
                <c:ptCount val="19"/>
                <c:pt idx="0">
                  <c:v>357</c:v>
                </c:pt>
                <c:pt idx="1">
                  <c:v>365</c:v>
                </c:pt>
                <c:pt idx="2">
                  <c:v>378</c:v>
                </c:pt>
                <c:pt idx="3">
                  <c:v>383</c:v>
                </c:pt>
                <c:pt idx="4">
                  <c:v>392</c:v>
                </c:pt>
                <c:pt idx="5">
                  <c:v>406</c:v>
                </c:pt>
                <c:pt idx="6">
                  <c:v>420</c:v>
                </c:pt>
                <c:pt idx="7">
                  <c:v>421</c:v>
                </c:pt>
                <c:pt idx="8">
                  <c:v>424</c:v>
                </c:pt>
                <c:pt idx="9">
                  <c:v>440</c:v>
                </c:pt>
                <c:pt idx="10">
                  <c:v>451</c:v>
                </c:pt>
                <c:pt idx="11">
                  <c:v>437</c:v>
                </c:pt>
                <c:pt idx="12">
                  <c:v>434</c:v>
                </c:pt>
                <c:pt idx="13">
                  <c:v>445</c:v>
                </c:pt>
                <c:pt idx="14">
                  <c:v>457</c:v>
                </c:pt>
                <c:pt idx="15">
                  <c:v>450</c:v>
                </c:pt>
                <c:pt idx="16">
                  <c:v>456</c:v>
                </c:pt>
                <c:pt idx="17">
                  <c:v>461</c:v>
                </c:pt>
                <c:pt idx="18">
                  <c:v>469</c:v>
                </c:pt>
              </c:numCache>
            </c:numRef>
          </c:val>
          <c:smooth val="0"/>
          <c:extLst>
            <c:ext xmlns:c16="http://schemas.microsoft.com/office/drawing/2014/chart" uri="{C3380CC4-5D6E-409C-BE32-E72D297353CC}">
              <c16:uniqueId val="{00000002-6227-4B47-BB46-FADF826DE708}"/>
            </c:ext>
          </c:extLst>
        </c:ser>
        <c:dLbls>
          <c:showLegendKey val="0"/>
          <c:showVal val="0"/>
          <c:showCatName val="0"/>
          <c:showSerName val="0"/>
          <c:showPercent val="0"/>
          <c:showBubbleSize val="0"/>
        </c:dLbls>
        <c:marker val="1"/>
        <c:smooth val="0"/>
        <c:axId val="1076696447"/>
        <c:axId val="1082516927"/>
      </c:lineChart>
      <c:lineChart>
        <c:grouping val="standard"/>
        <c:varyColors val="0"/>
        <c:ser>
          <c:idx val="1"/>
          <c:order val="3"/>
          <c:tx>
            <c:strRef>
              <c:f>'Figure 2 '!$C$9</c:f>
              <c:strCache>
                <c:ptCount val="1"/>
                <c:pt idx="0">
                  <c:v>Wage Price Index, Tasmania</c:v>
                </c:pt>
              </c:strCache>
            </c:strRef>
          </c:tx>
          <c:spPr>
            <a:ln w="28575" cap="rnd">
              <a:solidFill>
                <a:schemeClr val="accent2"/>
              </a:solidFill>
              <a:round/>
            </a:ln>
            <a:effectLst/>
          </c:spPr>
          <c:marker>
            <c:symbol val="none"/>
          </c:marker>
          <c:cat>
            <c:numRef>
              <c:f>'Figure 2 '!$A$10:$A$28</c:f>
              <c:numCache>
                <c:formatCode>mmm\-yy</c:formatCode>
                <c:ptCount val="19"/>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pt idx="18">
                  <c:v>45717</c:v>
                </c:pt>
              </c:numCache>
            </c:numRef>
          </c:cat>
          <c:val>
            <c:numRef>
              <c:f>'Figure 2 '!$C$10:$C$28</c:f>
              <c:numCache>
                <c:formatCode>General</c:formatCode>
                <c:ptCount val="19"/>
                <c:pt idx="0">
                  <c:v>136.1</c:v>
                </c:pt>
                <c:pt idx="1">
                  <c:v>136.6</c:v>
                </c:pt>
                <c:pt idx="2">
                  <c:v>137.69999999999999</c:v>
                </c:pt>
                <c:pt idx="3">
                  <c:v>138.4</c:v>
                </c:pt>
                <c:pt idx="4">
                  <c:v>139.80000000000001</c:v>
                </c:pt>
                <c:pt idx="5">
                  <c:v>140.69999999999999</c:v>
                </c:pt>
                <c:pt idx="6">
                  <c:v>141.5</c:v>
                </c:pt>
                <c:pt idx="7">
                  <c:v>142.4</c:v>
                </c:pt>
                <c:pt idx="8">
                  <c:v>144.80000000000001</c:v>
                </c:pt>
                <c:pt idx="9">
                  <c:v>145.69999999999999</c:v>
                </c:pt>
                <c:pt idx="10">
                  <c:v>147.30000000000001</c:v>
                </c:pt>
                <c:pt idx="11">
                  <c:v>147.9</c:v>
                </c:pt>
                <c:pt idx="12">
                  <c:v>151.19999999999999</c:v>
                </c:pt>
                <c:pt idx="13" formatCode="0.0">
                  <c:v>152</c:v>
                </c:pt>
                <c:pt idx="14">
                  <c:v>154.5</c:v>
                </c:pt>
                <c:pt idx="15">
                  <c:v>155.5</c:v>
                </c:pt>
                <c:pt idx="16">
                  <c:v>157.19999999999999</c:v>
                </c:pt>
                <c:pt idx="17" formatCode="0.0">
                  <c:v>158</c:v>
                </c:pt>
                <c:pt idx="18" formatCode="0.0">
                  <c:v>159.4</c:v>
                </c:pt>
              </c:numCache>
            </c:numRef>
          </c:val>
          <c:smooth val="0"/>
          <c:extLst>
            <c:ext xmlns:c16="http://schemas.microsoft.com/office/drawing/2014/chart" uri="{C3380CC4-5D6E-409C-BE32-E72D297353CC}">
              <c16:uniqueId val="{00000003-6227-4B47-BB46-FADF826DE708}"/>
            </c:ext>
          </c:extLst>
        </c:ser>
        <c:dLbls>
          <c:showLegendKey val="0"/>
          <c:showVal val="0"/>
          <c:showCatName val="0"/>
          <c:showSerName val="0"/>
          <c:showPercent val="0"/>
          <c:showBubbleSize val="0"/>
        </c:dLbls>
        <c:marker val="1"/>
        <c:smooth val="0"/>
        <c:axId val="1142281135"/>
        <c:axId val="1082534815"/>
      </c:lineChart>
      <c:dateAx>
        <c:axId val="107669644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2516927"/>
        <c:crosses val="autoZero"/>
        <c:auto val="1"/>
        <c:lblOffset val="100"/>
        <c:baseTimeUnit val="months"/>
      </c:dateAx>
      <c:valAx>
        <c:axId val="1082516927"/>
        <c:scaling>
          <c:orientation val="minMax"/>
          <c:min val="3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mn-lt"/>
                <a:ea typeface="+mn-ea"/>
                <a:cs typeface="+mn-cs"/>
              </a:defRPr>
            </a:pPr>
            <a:endParaRPr lang="en-US"/>
          </a:p>
        </c:txPr>
        <c:crossAx val="1076696447"/>
        <c:crosses val="autoZero"/>
        <c:crossBetween val="between"/>
      </c:valAx>
      <c:valAx>
        <c:axId val="1082534815"/>
        <c:scaling>
          <c:orientation val="minMax"/>
          <c:max val="180"/>
          <c:min val="1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en-US"/>
          </a:p>
        </c:txPr>
        <c:crossAx val="1142281135"/>
        <c:crosses val="max"/>
        <c:crossBetween val="between"/>
        <c:majorUnit val="10"/>
      </c:valAx>
      <c:dateAx>
        <c:axId val="1142281135"/>
        <c:scaling>
          <c:orientation val="minMax"/>
        </c:scaling>
        <c:delete val="1"/>
        <c:axPos val="b"/>
        <c:numFmt formatCode="mmm\-yy" sourceLinked="1"/>
        <c:majorTickMark val="out"/>
        <c:minorTickMark val="none"/>
        <c:tickLblPos val="nextTo"/>
        <c:crossAx val="1082534815"/>
        <c:crosses val="autoZero"/>
        <c:auto val="1"/>
        <c:lblOffset val="100"/>
        <c:baseTimeUnit val="months"/>
      </c:dateAx>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'Housing register'!$B$3</c:f>
              <c:strCache>
                <c:ptCount val="1"/>
                <c:pt idx="0">
                  <c:v>Applications on Tasmanian housing register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'Housing register'!$A$15:$A$19</c:f>
              <c:numCache>
                <c:formatCode>mmm\-yy</c:formatCode>
                <c:ptCount val="5"/>
                <c:pt idx="0">
                  <c:v>45352</c:v>
                </c:pt>
                <c:pt idx="1">
                  <c:v>45444</c:v>
                </c:pt>
                <c:pt idx="2">
                  <c:v>45536</c:v>
                </c:pt>
                <c:pt idx="3">
                  <c:v>45627</c:v>
                </c:pt>
                <c:pt idx="4">
                  <c:v>45717</c:v>
                </c:pt>
              </c:numCache>
            </c:numRef>
          </c:cat>
          <c:val>
            <c:numRef>
              <c:f>'Housing register'!$B$15:$B$19</c:f>
              <c:numCache>
                <c:formatCode>General</c:formatCode>
                <c:ptCount val="5"/>
                <c:pt idx="0">
                  <c:v>4710</c:v>
                </c:pt>
                <c:pt idx="1">
                  <c:v>4709</c:v>
                </c:pt>
                <c:pt idx="2">
                  <c:v>4892</c:v>
                </c:pt>
                <c:pt idx="3">
                  <c:v>4866</c:v>
                </c:pt>
                <c:pt idx="4">
                  <c:v>5069</c:v>
                </c:pt>
              </c:numCache>
            </c:numRef>
          </c:val>
          <c:extLst>
            <c:ext xmlns:c16="http://schemas.microsoft.com/office/drawing/2014/chart" uri="{C3380CC4-5D6E-409C-BE32-E72D297353CC}">
              <c16:uniqueId val="{00000000-139B-4180-AB45-82ADF429FAA6}"/>
            </c:ext>
          </c:extLst>
        </c:ser>
        <c:dLbls>
          <c:showLegendKey val="0"/>
          <c:showVal val="0"/>
          <c:showCatName val="0"/>
          <c:showSerName val="0"/>
          <c:showPercent val="0"/>
          <c:showBubbleSize val="0"/>
        </c:dLbls>
        <c:gapWidth val="0"/>
        <c:overlap val="-27"/>
        <c:axId val="843161984"/>
        <c:axId val="843162464"/>
      </c:barChart>
      <c:dateAx>
        <c:axId val="843161984"/>
        <c:scaling>
          <c:orientation val="minMax"/>
          <c:max val="45747"/>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162464"/>
        <c:crosses val="autoZero"/>
        <c:auto val="1"/>
        <c:lblOffset val="100"/>
        <c:baseTimeUnit val="months"/>
        <c:majorUnit val="3"/>
        <c:majorTimeUnit val="months"/>
      </c:dateAx>
      <c:valAx>
        <c:axId val="843162464"/>
        <c:scaling>
          <c:orientation val="minMax"/>
          <c:max val="6000"/>
          <c:min val="3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161984"/>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wait time for priority applicants in weeks          </a:t>
            </a:r>
          </a:p>
          <a:p>
            <a:pPr>
              <a:defRPr/>
            </a:pPr>
            <a:r>
              <a:rPr lang="en-US"/>
              <a:t>(12-month rolling average)</a:t>
            </a:r>
          </a:p>
        </c:rich>
      </c:tx>
      <c:layout>
        <c:manualLayout>
          <c:xMode val="edge"/>
          <c:yMode val="edge"/>
          <c:x val="0.1827380895569872"/>
          <c:y val="2.780996523754345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'Social housing wait time'!$B$3</c:f>
              <c:strCache>
                <c:ptCount val="1"/>
                <c:pt idx="0">
                  <c:v>Average wait time for priority applicants (12-month rolling average)</c:v>
                </c:pt>
              </c:strCache>
            </c:strRef>
          </c:tx>
          <c:spPr>
            <a:ln w="28575" cap="rnd">
              <a:solidFill>
                <a:schemeClr val="accent1"/>
              </a:solidFill>
              <a:round/>
            </a:ln>
            <a:effectLst/>
          </c:spPr>
          <c:marker>
            <c:symbol val="none"/>
          </c:marker>
          <c:cat>
            <c:numRef>
              <c:f>'Social housing wait time'!$A$13:$A$25</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'Social housing wait time'!$B$13:$B$25</c:f>
              <c:numCache>
                <c:formatCode>0.0</c:formatCode>
                <c:ptCount val="13"/>
                <c:pt idx="0">
                  <c:v>85.2</c:v>
                </c:pt>
                <c:pt idx="1">
                  <c:v>87</c:v>
                </c:pt>
                <c:pt idx="2">
                  <c:v>89</c:v>
                </c:pt>
                <c:pt idx="3">
                  <c:v>89.7</c:v>
                </c:pt>
                <c:pt idx="4">
                  <c:v>90.5</c:v>
                </c:pt>
                <c:pt idx="5">
                  <c:v>89</c:v>
                </c:pt>
                <c:pt idx="6">
                  <c:v>87.9</c:v>
                </c:pt>
                <c:pt idx="7">
                  <c:v>87.9</c:v>
                </c:pt>
                <c:pt idx="8">
                  <c:v>85.7</c:v>
                </c:pt>
                <c:pt idx="9">
                  <c:v>84.6</c:v>
                </c:pt>
                <c:pt idx="10">
                  <c:v>82.6</c:v>
                </c:pt>
                <c:pt idx="11">
                  <c:v>81.900000000000006</c:v>
                </c:pt>
                <c:pt idx="12">
                  <c:v>82.2</c:v>
                </c:pt>
              </c:numCache>
            </c:numRef>
          </c:val>
          <c:smooth val="0"/>
          <c:extLst>
            <c:ext xmlns:c16="http://schemas.microsoft.com/office/drawing/2014/chart" uri="{C3380CC4-5D6E-409C-BE32-E72D297353CC}">
              <c16:uniqueId val="{00000000-2A73-4732-ADDF-591E38A3F83F}"/>
            </c:ext>
          </c:extLst>
        </c:ser>
        <c:dLbls>
          <c:showLegendKey val="0"/>
          <c:showVal val="0"/>
          <c:showCatName val="0"/>
          <c:showSerName val="0"/>
          <c:showPercent val="0"/>
          <c:showBubbleSize val="0"/>
        </c:dLbls>
        <c:smooth val="0"/>
        <c:axId val="1749728047"/>
        <c:axId val="1389310239"/>
      </c:lineChart>
      <c:dateAx>
        <c:axId val="174972804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310239"/>
        <c:crosses val="autoZero"/>
        <c:auto val="1"/>
        <c:lblOffset val="100"/>
        <c:baseTimeUnit val="months"/>
      </c:dateAx>
      <c:valAx>
        <c:axId val="1389310239"/>
        <c:scaling>
          <c:orientation val="minMax"/>
          <c:max val="95"/>
          <c:min val="7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728047"/>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'Enquiries received'!$B$5</c:f>
              <c:strCache>
                <c:ptCount val="1"/>
                <c:pt idx="0">
                  <c:v>South</c:v>
                </c:pt>
              </c:strCache>
            </c:strRef>
          </c:tx>
          <c:spPr>
            <a:ln w="28575" cap="rnd">
              <a:solidFill>
                <a:schemeClr val="accent1"/>
              </a:solidFill>
              <a:round/>
            </a:ln>
            <a:effectLst/>
          </c:spPr>
          <c:marker>
            <c:symbol val="none"/>
          </c:marker>
          <c:cat>
            <c:numRef>
              <c:f>'Enquiries received'!$A$6:$A$14</c:f>
              <c:numCache>
                <c:formatCode>mmm\-yy</c:formatCode>
                <c:ptCount val="9"/>
                <c:pt idx="0">
                  <c:v>45474</c:v>
                </c:pt>
                <c:pt idx="1">
                  <c:v>45505</c:v>
                </c:pt>
                <c:pt idx="2">
                  <c:v>45536</c:v>
                </c:pt>
                <c:pt idx="3">
                  <c:v>45566</c:v>
                </c:pt>
                <c:pt idx="4">
                  <c:v>45597</c:v>
                </c:pt>
                <c:pt idx="5">
                  <c:v>45627</c:v>
                </c:pt>
                <c:pt idx="6">
                  <c:v>45658</c:v>
                </c:pt>
                <c:pt idx="7">
                  <c:v>45689</c:v>
                </c:pt>
                <c:pt idx="8">
                  <c:v>45717</c:v>
                </c:pt>
              </c:numCache>
            </c:numRef>
          </c:cat>
          <c:val>
            <c:numRef>
              <c:f>'Enquiries received'!$B$6:$B$14</c:f>
              <c:numCache>
                <c:formatCode>General</c:formatCode>
                <c:ptCount val="9"/>
                <c:pt idx="0">
                  <c:v>1964</c:v>
                </c:pt>
                <c:pt idx="1">
                  <c:v>2070</c:v>
                </c:pt>
                <c:pt idx="2">
                  <c:v>2013</c:v>
                </c:pt>
                <c:pt idx="3">
                  <c:v>2005</c:v>
                </c:pt>
                <c:pt idx="4">
                  <c:v>1784</c:v>
                </c:pt>
                <c:pt idx="5">
                  <c:v>1634</c:v>
                </c:pt>
                <c:pt idx="6">
                  <c:v>2422</c:v>
                </c:pt>
                <c:pt idx="7">
                  <c:v>2208</c:v>
                </c:pt>
                <c:pt idx="8">
                  <c:v>2307</c:v>
                </c:pt>
              </c:numCache>
            </c:numRef>
          </c:val>
          <c:smooth val="0"/>
          <c:extLst>
            <c:ext xmlns:c16="http://schemas.microsoft.com/office/drawing/2014/chart" uri="{C3380CC4-5D6E-409C-BE32-E72D297353CC}">
              <c16:uniqueId val="{00000000-FCFD-4234-B88D-437C888AD826}"/>
            </c:ext>
          </c:extLst>
        </c:ser>
        <c:ser>
          <c:idx val="1"/>
          <c:order val="1"/>
          <c:tx>
            <c:strRef>
              <c:f>'Enquiries received'!$C$5</c:f>
              <c:strCache>
                <c:ptCount val="1"/>
                <c:pt idx="0">
                  <c:v>North</c:v>
                </c:pt>
              </c:strCache>
            </c:strRef>
          </c:tx>
          <c:spPr>
            <a:ln w="28575" cap="rnd">
              <a:solidFill>
                <a:schemeClr val="accent2"/>
              </a:solidFill>
              <a:round/>
            </a:ln>
            <a:effectLst/>
          </c:spPr>
          <c:marker>
            <c:symbol val="none"/>
          </c:marker>
          <c:cat>
            <c:numRef>
              <c:f>'Enquiries received'!$A$6:$A$14</c:f>
              <c:numCache>
                <c:formatCode>mmm\-yy</c:formatCode>
                <c:ptCount val="9"/>
                <c:pt idx="0">
                  <c:v>45474</c:v>
                </c:pt>
                <c:pt idx="1">
                  <c:v>45505</c:v>
                </c:pt>
                <c:pt idx="2">
                  <c:v>45536</c:v>
                </c:pt>
                <c:pt idx="3">
                  <c:v>45566</c:v>
                </c:pt>
                <c:pt idx="4">
                  <c:v>45597</c:v>
                </c:pt>
                <c:pt idx="5">
                  <c:v>45627</c:v>
                </c:pt>
                <c:pt idx="6">
                  <c:v>45658</c:v>
                </c:pt>
                <c:pt idx="7">
                  <c:v>45689</c:v>
                </c:pt>
                <c:pt idx="8">
                  <c:v>45717</c:v>
                </c:pt>
              </c:numCache>
            </c:numRef>
          </c:cat>
          <c:val>
            <c:numRef>
              <c:f>'Enquiries received'!$C$6:$C$14</c:f>
              <c:numCache>
                <c:formatCode>General</c:formatCode>
                <c:ptCount val="9"/>
                <c:pt idx="0">
                  <c:v>1082</c:v>
                </c:pt>
                <c:pt idx="1">
                  <c:v>1153</c:v>
                </c:pt>
                <c:pt idx="2">
                  <c:v>1054</c:v>
                </c:pt>
                <c:pt idx="3">
                  <c:v>1030</c:v>
                </c:pt>
                <c:pt idx="4">
                  <c:v>945</c:v>
                </c:pt>
                <c:pt idx="5">
                  <c:v>883</c:v>
                </c:pt>
                <c:pt idx="6">
                  <c:v>1172</c:v>
                </c:pt>
                <c:pt idx="7">
                  <c:v>1166</c:v>
                </c:pt>
                <c:pt idx="8">
                  <c:v>1202</c:v>
                </c:pt>
              </c:numCache>
            </c:numRef>
          </c:val>
          <c:smooth val="0"/>
          <c:extLst>
            <c:ext xmlns:c16="http://schemas.microsoft.com/office/drawing/2014/chart" uri="{C3380CC4-5D6E-409C-BE32-E72D297353CC}">
              <c16:uniqueId val="{00000001-FCFD-4234-B88D-437C888AD826}"/>
            </c:ext>
          </c:extLst>
        </c:ser>
        <c:ser>
          <c:idx val="2"/>
          <c:order val="2"/>
          <c:tx>
            <c:strRef>
              <c:f>'Enquiries received'!$D$5</c:f>
              <c:strCache>
                <c:ptCount val="1"/>
                <c:pt idx="0">
                  <c:v>North West</c:v>
                </c:pt>
              </c:strCache>
            </c:strRef>
          </c:tx>
          <c:spPr>
            <a:ln w="28575" cap="rnd">
              <a:solidFill>
                <a:schemeClr val="accent3"/>
              </a:solidFill>
              <a:round/>
            </a:ln>
            <a:effectLst/>
          </c:spPr>
          <c:marker>
            <c:symbol val="none"/>
          </c:marker>
          <c:cat>
            <c:numRef>
              <c:f>'Enquiries received'!$A$6:$A$14</c:f>
              <c:numCache>
                <c:formatCode>mmm\-yy</c:formatCode>
                <c:ptCount val="9"/>
                <c:pt idx="0">
                  <c:v>45474</c:v>
                </c:pt>
                <c:pt idx="1">
                  <c:v>45505</c:v>
                </c:pt>
                <c:pt idx="2">
                  <c:v>45536</c:v>
                </c:pt>
                <c:pt idx="3">
                  <c:v>45566</c:v>
                </c:pt>
                <c:pt idx="4">
                  <c:v>45597</c:v>
                </c:pt>
                <c:pt idx="5">
                  <c:v>45627</c:v>
                </c:pt>
                <c:pt idx="6">
                  <c:v>45658</c:v>
                </c:pt>
                <c:pt idx="7">
                  <c:v>45689</c:v>
                </c:pt>
                <c:pt idx="8">
                  <c:v>45717</c:v>
                </c:pt>
              </c:numCache>
            </c:numRef>
          </c:cat>
          <c:val>
            <c:numRef>
              <c:f>'Enquiries received'!$D$6:$D$14</c:f>
              <c:numCache>
                <c:formatCode>General</c:formatCode>
                <c:ptCount val="9"/>
                <c:pt idx="0">
                  <c:v>988</c:v>
                </c:pt>
                <c:pt idx="1">
                  <c:v>945</c:v>
                </c:pt>
                <c:pt idx="2">
                  <c:v>922</c:v>
                </c:pt>
                <c:pt idx="3">
                  <c:v>914</c:v>
                </c:pt>
                <c:pt idx="4">
                  <c:v>761</c:v>
                </c:pt>
                <c:pt idx="5">
                  <c:v>767</c:v>
                </c:pt>
                <c:pt idx="6">
                  <c:v>915</c:v>
                </c:pt>
                <c:pt idx="7">
                  <c:v>843</c:v>
                </c:pt>
                <c:pt idx="8">
                  <c:v>978</c:v>
                </c:pt>
              </c:numCache>
            </c:numRef>
          </c:val>
          <c:smooth val="0"/>
          <c:extLst>
            <c:ext xmlns:c16="http://schemas.microsoft.com/office/drawing/2014/chart" uri="{C3380CC4-5D6E-409C-BE32-E72D297353CC}">
              <c16:uniqueId val="{00000002-FCFD-4234-B88D-437C888AD826}"/>
            </c:ext>
          </c:extLst>
        </c:ser>
        <c:ser>
          <c:idx val="3"/>
          <c:order val="3"/>
          <c:tx>
            <c:strRef>
              <c:f>'Enquiries received'!$E$5</c:f>
              <c:strCache>
                <c:ptCount val="1"/>
                <c:pt idx="0">
                  <c:v>New enquiries statewide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'Enquiries received'!$A$6:$A$14</c:f>
              <c:numCache>
                <c:formatCode>mmm\-yy</c:formatCode>
                <c:ptCount val="9"/>
                <c:pt idx="0">
                  <c:v>45474</c:v>
                </c:pt>
                <c:pt idx="1">
                  <c:v>45505</c:v>
                </c:pt>
                <c:pt idx="2">
                  <c:v>45536</c:v>
                </c:pt>
                <c:pt idx="3">
                  <c:v>45566</c:v>
                </c:pt>
                <c:pt idx="4">
                  <c:v>45597</c:v>
                </c:pt>
                <c:pt idx="5">
                  <c:v>45627</c:v>
                </c:pt>
                <c:pt idx="6">
                  <c:v>45658</c:v>
                </c:pt>
                <c:pt idx="7">
                  <c:v>45689</c:v>
                </c:pt>
                <c:pt idx="8">
                  <c:v>45717</c:v>
                </c:pt>
              </c:numCache>
            </c:numRef>
          </c:cat>
          <c:val>
            <c:numRef>
              <c:f>'Enquiries received'!$E$6:$E$14</c:f>
            </c:numRef>
          </c:val>
          <c:smooth val="0"/>
          <c:extLst>
            <c:ext xmlns:c16="http://schemas.microsoft.com/office/drawing/2014/chart" uri="{C3380CC4-5D6E-409C-BE32-E72D297353CC}">
              <c16:uniqueId val="{00000003-FCFD-4234-B88D-437C888AD826}"/>
            </c:ext>
          </c:extLst>
        </c:ser>
        <c:ser>
          <c:idx val="4"/>
          <c:order val="4"/>
          <c:tx>
            <c:strRef>
              <c:f>'Enquiries received'!$F$5</c:f>
              <c:strCache>
                <c:ptCount val="1"/>
                <c:pt idx="0">
                  <c:v>Statewide</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'Enquiries received'!$A$6:$A$14</c:f>
              <c:numCache>
                <c:formatCode>mmm\-yy</c:formatCode>
                <c:ptCount val="9"/>
                <c:pt idx="0">
                  <c:v>45474</c:v>
                </c:pt>
                <c:pt idx="1">
                  <c:v>45505</c:v>
                </c:pt>
                <c:pt idx="2">
                  <c:v>45536</c:v>
                </c:pt>
                <c:pt idx="3">
                  <c:v>45566</c:v>
                </c:pt>
                <c:pt idx="4">
                  <c:v>45597</c:v>
                </c:pt>
                <c:pt idx="5">
                  <c:v>45627</c:v>
                </c:pt>
                <c:pt idx="6">
                  <c:v>45658</c:v>
                </c:pt>
                <c:pt idx="7">
                  <c:v>45689</c:v>
                </c:pt>
                <c:pt idx="8">
                  <c:v>45717</c:v>
                </c:pt>
              </c:numCache>
            </c:numRef>
          </c:cat>
          <c:val>
            <c:numRef>
              <c:f>'Enquiries received'!$F$6:$F$14</c:f>
              <c:numCache>
                <c:formatCode>General</c:formatCode>
                <c:ptCount val="9"/>
                <c:pt idx="0">
                  <c:v>4034</c:v>
                </c:pt>
                <c:pt idx="1">
                  <c:v>4168</c:v>
                </c:pt>
                <c:pt idx="2">
                  <c:v>3989</c:v>
                </c:pt>
                <c:pt idx="3">
                  <c:v>3949</c:v>
                </c:pt>
                <c:pt idx="4">
                  <c:v>3490</c:v>
                </c:pt>
                <c:pt idx="5">
                  <c:v>3284</c:v>
                </c:pt>
                <c:pt idx="6">
                  <c:v>4509</c:v>
                </c:pt>
                <c:pt idx="7" formatCode="0">
                  <c:v>4218</c:v>
                </c:pt>
                <c:pt idx="8">
                  <c:v>4488</c:v>
                </c:pt>
              </c:numCache>
            </c:numRef>
          </c:val>
          <c:smooth val="0"/>
          <c:extLst>
            <c:ext xmlns:c16="http://schemas.microsoft.com/office/drawing/2014/chart" uri="{C3380CC4-5D6E-409C-BE32-E72D297353CC}">
              <c16:uniqueId val="{00000004-FCFD-4234-B88D-437C888AD826}"/>
            </c:ext>
          </c:extLst>
        </c:ser>
        <c:dLbls>
          <c:showLegendKey val="0"/>
          <c:showVal val="0"/>
          <c:showCatName val="0"/>
          <c:showSerName val="0"/>
          <c:showPercent val="0"/>
          <c:showBubbleSize val="0"/>
        </c:dLbls>
        <c:smooth val="0"/>
        <c:axId val="1849933840"/>
        <c:axId val="1849939120"/>
      </c:lineChart>
      <c:dateAx>
        <c:axId val="184993384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939120"/>
        <c:crosses val="autoZero"/>
        <c:auto val="1"/>
        <c:lblOffset val="100"/>
        <c:baseTimeUnit val="months"/>
      </c:dateAx>
      <c:valAx>
        <c:axId val="184993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933840"/>
        <c:crosses val="autoZero"/>
        <c:crossBetween val="between"/>
        <c:majorUnit val="10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main'!$A$26:$A$33</c:f>
              <c:strCache>
                <c:ptCount val="8"/>
                <c:pt idx="0">
                  <c:v>Transition from custodial arrangements</c:v>
                </c:pt>
                <c:pt idx="1">
                  <c:v>Relationship/family breakdown</c:v>
                </c:pt>
                <c:pt idx="2">
                  <c:v>Financial difficulties</c:v>
                </c:pt>
                <c:pt idx="3">
                  <c:v>Previous accommodation ended</c:v>
                </c:pt>
                <c:pt idx="4">
                  <c:v>Domestic and family violence</c:v>
                </c:pt>
                <c:pt idx="5">
                  <c:v>Housing affordability stress</c:v>
                </c:pt>
                <c:pt idx="6">
                  <c:v>Inadequate or inappropriate dwelling conditions</c:v>
                </c:pt>
                <c:pt idx="7">
                  <c:v>Housing crisis (e.g. eviction)</c:v>
                </c:pt>
              </c:strCache>
            </c:strRef>
          </c:cat>
          <c:val>
            <c:numRef>
              <c:f>'Reasons seeking assist - main'!$B$26:$B$33</c:f>
              <c:numCache>
                <c:formatCode>0%</c:formatCode>
                <c:ptCount val="8"/>
                <c:pt idx="0">
                  <c:v>2.8812368236120871E-2</c:v>
                </c:pt>
                <c:pt idx="1">
                  <c:v>4.7083626141953619E-2</c:v>
                </c:pt>
                <c:pt idx="2">
                  <c:v>6.0435699226985246E-2</c:v>
                </c:pt>
                <c:pt idx="3">
                  <c:v>8.0112438510189746E-2</c:v>
                </c:pt>
                <c:pt idx="4">
                  <c:v>9.4869992972593117E-2</c:v>
                </c:pt>
                <c:pt idx="5">
                  <c:v>0.11665495432185524</c:v>
                </c:pt>
                <c:pt idx="6">
                  <c:v>0.21433591004919184</c:v>
                </c:pt>
                <c:pt idx="7">
                  <c:v>0.2297962052002811</c:v>
                </c:pt>
              </c:numCache>
            </c:numRef>
          </c:val>
          <c:extLst>
            <c:ext xmlns:c16="http://schemas.microsoft.com/office/drawing/2014/chart" uri="{C3380CC4-5D6E-409C-BE32-E72D297353CC}">
              <c16:uniqueId val="{00000000-625E-49C6-9933-5C6A8CF6A0E2}"/>
            </c:ext>
          </c:extLst>
        </c:ser>
        <c:dLbls>
          <c:showLegendKey val="0"/>
          <c:showVal val="0"/>
          <c:showCatName val="0"/>
          <c:showSerName val="0"/>
          <c:showPercent val="0"/>
          <c:showBubbleSize val="0"/>
        </c:dLbls>
        <c:gapWidth val="182"/>
        <c:axId val="1457544560"/>
        <c:axId val="1287523392"/>
      </c:barChart>
      <c:catAx>
        <c:axId val="145754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523392"/>
        <c:crosses val="autoZero"/>
        <c:auto val="1"/>
        <c:lblAlgn val="ctr"/>
        <c:lblOffset val="100"/>
        <c:noMultiLvlLbl val="0"/>
      </c:catAx>
      <c:valAx>
        <c:axId val="1287523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544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all'!$A$24:$A$33</c:f>
              <c:strCache>
                <c:ptCount val="10"/>
                <c:pt idx="0">
                  <c:v>Medical issues</c:v>
                </c:pt>
                <c:pt idx="1">
                  <c:v>Relationship/family breakdown</c:v>
                </c:pt>
                <c:pt idx="2">
                  <c:v>Mental health issues</c:v>
                </c:pt>
                <c:pt idx="3">
                  <c:v>Lack of family and/or community support</c:v>
                </c:pt>
                <c:pt idx="4">
                  <c:v>Domestic and family violence</c:v>
                </c:pt>
                <c:pt idx="5">
                  <c:v>Previous accommodation ended</c:v>
                </c:pt>
                <c:pt idx="6">
                  <c:v>Financial difficulties</c:v>
                </c:pt>
                <c:pt idx="7">
                  <c:v>Inadequate or inappropriate dwelling conditions</c:v>
                </c:pt>
                <c:pt idx="8">
                  <c:v>Housing affordability stress</c:v>
                </c:pt>
                <c:pt idx="9">
                  <c:v>Housing crisis (e.g. eviction)</c:v>
                </c:pt>
              </c:strCache>
            </c:strRef>
          </c:cat>
          <c:val>
            <c:numRef>
              <c:f>'Reasons seeking assist - all'!$B$24:$B$33</c:f>
              <c:numCache>
                <c:formatCode>0%</c:formatCode>
                <c:ptCount val="10"/>
                <c:pt idx="0">
                  <c:v>9.3464511595221358E-2</c:v>
                </c:pt>
                <c:pt idx="1">
                  <c:v>0.17498243148278286</c:v>
                </c:pt>
                <c:pt idx="2">
                  <c:v>0.17849613492621222</c:v>
                </c:pt>
                <c:pt idx="3">
                  <c:v>0.19325368938861559</c:v>
                </c:pt>
                <c:pt idx="4">
                  <c:v>0.19536191145467321</c:v>
                </c:pt>
                <c:pt idx="5">
                  <c:v>0.20590302178496134</c:v>
                </c:pt>
                <c:pt idx="6">
                  <c:v>0.37596626844694309</c:v>
                </c:pt>
                <c:pt idx="7">
                  <c:v>0.38510189739985945</c:v>
                </c:pt>
                <c:pt idx="8">
                  <c:v>0.41883345045678144</c:v>
                </c:pt>
                <c:pt idx="9">
                  <c:v>0.42445537596626842</c:v>
                </c:pt>
              </c:numCache>
            </c:numRef>
          </c:val>
          <c:extLst>
            <c:ext xmlns:c16="http://schemas.microsoft.com/office/drawing/2014/chart" uri="{C3380CC4-5D6E-409C-BE32-E72D297353CC}">
              <c16:uniqueId val="{00000000-5032-44FA-9BC2-7CB1687AEAF8}"/>
            </c:ext>
          </c:extLst>
        </c:ser>
        <c:dLbls>
          <c:showLegendKey val="0"/>
          <c:showVal val="0"/>
          <c:showCatName val="0"/>
          <c:showSerName val="0"/>
          <c:showPercent val="0"/>
          <c:showBubbleSize val="0"/>
        </c:dLbls>
        <c:gapWidth val="182"/>
        <c:axId val="1449171152"/>
        <c:axId val="1081467488"/>
      </c:barChart>
      <c:catAx>
        <c:axId val="144917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467488"/>
        <c:crosses val="autoZero"/>
        <c:auto val="1"/>
        <c:lblAlgn val="ctr"/>
        <c:lblOffset val="100"/>
        <c:noMultiLvlLbl val="0"/>
      </c:catAx>
      <c:valAx>
        <c:axId val="1081467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17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76164535916538"/>
          <c:y val="3.3256505188507063E-2"/>
          <c:w val="0.52207855140537718"/>
          <c:h val="0.84740708735911341"/>
        </c:manualLayout>
      </c:layout>
      <c:barChart>
        <c:barDir val="bar"/>
        <c:grouping val="stacked"/>
        <c:varyColors val="0"/>
        <c:ser>
          <c:idx val="0"/>
          <c:order val="0"/>
          <c:tx>
            <c:strRef>
              <c:f>'Needs top 10'!$B$6</c:f>
              <c:strCache>
                <c:ptCount val="1"/>
                <c:pt idx="0">
                  <c:v>Support or referral provided</c:v>
                </c:pt>
              </c:strCache>
            </c:strRef>
          </c:tx>
          <c:spPr>
            <a:solidFill>
              <a:schemeClr val="accent1"/>
            </a:solid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10'!$B$52:$B$61</c:f>
              <c:numCache>
                <c:formatCode>General</c:formatCode>
                <c:ptCount val="10"/>
                <c:pt idx="0">
                  <c:v>26</c:v>
                </c:pt>
                <c:pt idx="1">
                  <c:v>41</c:v>
                </c:pt>
                <c:pt idx="2">
                  <c:v>41</c:v>
                </c:pt>
                <c:pt idx="3">
                  <c:v>123</c:v>
                </c:pt>
                <c:pt idx="4">
                  <c:v>158</c:v>
                </c:pt>
                <c:pt idx="5">
                  <c:v>73</c:v>
                </c:pt>
                <c:pt idx="6">
                  <c:v>346</c:v>
                </c:pt>
                <c:pt idx="7">
                  <c:v>192</c:v>
                </c:pt>
                <c:pt idx="8">
                  <c:v>1091</c:v>
                </c:pt>
                <c:pt idx="9">
                  <c:v>1105</c:v>
                </c:pt>
              </c:numCache>
            </c:numRef>
          </c:val>
          <c:extLst>
            <c:ext xmlns:c16="http://schemas.microsoft.com/office/drawing/2014/chart" uri="{C3380CC4-5D6E-409C-BE32-E72D297353CC}">
              <c16:uniqueId val="{00000000-9960-453B-8406-DE498AEA7AFE}"/>
            </c:ext>
          </c:extLst>
        </c:ser>
        <c:ser>
          <c:idx val="1"/>
          <c:order val="1"/>
          <c:tx>
            <c:strRef>
              <c:f>'Needs top 10'!$C$6</c:f>
              <c:strCache>
                <c:ptCount val="1"/>
                <c:pt idx="0">
                  <c:v>Unmet need</c:v>
                </c:pt>
              </c:strCache>
            </c:strRef>
          </c:tx>
          <c:spPr>
            <a:solidFill>
              <a:schemeClr val="accent2"/>
            </a:solid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10'!$C$52:$C$61</c:f>
              <c:numCache>
                <c:formatCode>General</c:formatCode>
                <c:ptCount val="10"/>
                <c:pt idx="0">
                  <c:v>18</c:v>
                </c:pt>
                <c:pt idx="1">
                  <c:v>7</c:v>
                </c:pt>
                <c:pt idx="2">
                  <c:v>47</c:v>
                </c:pt>
                <c:pt idx="3">
                  <c:v>2</c:v>
                </c:pt>
                <c:pt idx="4">
                  <c:v>156</c:v>
                </c:pt>
                <c:pt idx="5">
                  <c:v>271</c:v>
                </c:pt>
                <c:pt idx="6">
                  <c:v>0</c:v>
                </c:pt>
                <c:pt idx="7">
                  <c:v>682</c:v>
                </c:pt>
                <c:pt idx="8">
                  <c:v>0</c:v>
                </c:pt>
                <c:pt idx="9">
                  <c:v>0</c:v>
                </c:pt>
              </c:numCache>
            </c:numRef>
          </c:val>
          <c:extLst>
            <c:ext xmlns:c16="http://schemas.microsoft.com/office/drawing/2014/chart" uri="{C3380CC4-5D6E-409C-BE32-E72D297353CC}">
              <c16:uniqueId val="{00000001-9960-453B-8406-DE498AEA7AFE}"/>
            </c:ext>
          </c:extLst>
        </c:ser>
        <c:ser>
          <c:idx val="2"/>
          <c:order val="2"/>
          <c:tx>
            <c:strRef>
              <c:f>'Needs top 10'!$D$6</c:f>
              <c:strCache>
                <c:ptCount val="1"/>
                <c:pt idx="0">
                  <c:v>% of support periods</c:v>
                </c:pt>
              </c:strCache>
            </c:strRef>
          </c:tx>
          <c:spPr>
            <a:no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10'!$D$52:$D$61</c:f>
              <c:numCache>
                <c:formatCode>0%</c:formatCode>
                <c:ptCount val="10"/>
                <c:pt idx="0">
                  <c:v>3.0920590302178495E-2</c:v>
                </c:pt>
                <c:pt idx="1">
                  <c:v>3.3731553056921992E-2</c:v>
                </c:pt>
                <c:pt idx="2">
                  <c:v>6.1841180604356991E-2</c:v>
                </c:pt>
                <c:pt idx="3">
                  <c:v>8.7842586085734364E-2</c:v>
                </c:pt>
                <c:pt idx="4">
                  <c:v>0.22066057624736471</c:v>
                </c:pt>
                <c:pt idx="5">
                  <c:v>0.24174279690794098</c:v>
                </c:pt>
                <c:pt idx="6">
                  <c:v>0.24314827828531271</c:v>
                </c:pt>
                <c:pt idx="7">
                  <c:v>0.61419536191145463</c:v>
                </c:pt>
                <c:pt idx="8">
                  <c:v>0.76669009135628952</c:v>
                </c:pt>
                <c:pt idx="9">
                  <c:v>0.77652846099789175</c:v>
                </c:pt>
              </c:numCache>
            </c:numRef>
          </c:val>
          <c:extLst>
            <c:ext xmlns:c16="http://schemas.microsoft.com/office/drawing/2014/chart" uri="{C3380CC4-5D6E-409C-BE32-E72D297353CC}">
              <c16:uniqueId val="{00000002-9960-453B-8406-DE498AEA7AFE}"/>
            </c:ext>
          </c:extLst>
        </c:ser>
        <c:dLbls>
          <c:showLegendKey val="0"/>
          <c:showVal val="0"/>
          <c:showCatName val="0"/>
          <c:showSerName val="0"/>
          <c:showPercent val="0"/>
          <c:showBubbleSize val="0"/>
        </c:dLbls>
        <c:gapWidth val="150"/>
        <c:overlap val="100"/>
        <c:axId val="1376671584"/>
        <c:axId val="965113024"/>
      </c:barChart>
      <c:catAx>
        <c:axId val="1376671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965113024"/>
        <c:crosses val="autoZero"/>
        <c:auto val="1"/>
        <c:lblAlgn val="ctr"/>
        <c:lblOffset val="100"/>
        <c:noMultiLvlLbl val="0"/>
      </c:catAx>
      <c:valAx>
        <c:axId val="965113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76671584"/>
        <c:crosses val="autoZero"/>
        <c:crossBetween val="between"/>
      </c:valAx>
      <c:spPr>
        <a:noFill/>
        <a:ln>
          <a:noFill/>
        </a:ln>
        <a:effectLst/>
      </c:spPr>
    </c:plotArea>
    <c:legend>
      <c:legendPos val="b"/>
      <c:legendEntry>
        <c:idx val="2"/>
        <c:delete val="1"/>
      </c:legendEntry>
      <c:layout>
        <c:manualLayout>
          <c:xMode val="edge"/>
          <c:yMode val="edge"/>
          <c:x val="0.27278078341473133"/>
          <c:y val="0.93640208881174625"/>
          <c:w val="0.45443843317053723"/>
          <c:h val="6.35979111882537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10'!$B$9</c:f>
              <c:strCache>
                <c:ptCount val="1"/>
                <c:pt idx="0">
                  <c:v>Start of support period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10'!$A$10:$A$14</c:f>
              <c:strCache>
                <c:ptCount val="5"/>
                <c:pt idx="0">
                  <c:v>Leased tenure - nominated on lease</c:v>
                </c:pt>
                <c:pt idx="1">
                  <c:v>Lease in place - not nominated on lease</c:v>
                </c:pt>
                <c:pt idx="2">
                  <c:v>Couch surfer</c:v>
                </c:pt>
                <c:pt idx="3">
                  <c:v>Boarder</c:v>
                </c:pt>
                <c:pt idx="4">
                  <c:v>Living with relative fee free</c:v>
                </c:pt>
              </c:strCache>
            </c:strRef>
          </c:cat>
          <c:val>
            <c:numRef>
              <c:f>'Figure 10'!$B$10:$B$14</c:f>
              <c:numCache>
                <c:formatCode>0.0%</c:formatCode>
                <c:ptCount val="5"/>
                <c:pt idx="0">
                  <c:v>0.34082923401264931</c:v>
                </c:pt>
                <c:pt idx="1">
                  <c:v>5.0597329585382995E-2</c:v>
                </c:pt>
                <c:pt idx="2">
                  <c:v>0.16233309908643712</c:v>
                </c:pt>
                <c:pt idx="3">
                  <c:v>8.1517919887561491E-2</c:v>
                </c:pt>
                <c:pt idx="4">
                  <c:v>5.7624736472241742E-2</c:v>
                </c:pt>
              </c:numCache>
            </c:numRef>
          </c:val>
          <c:extLst>
            <c:ext xmlns:c16="http://schemas.microsoft.com/office/drawing/2014/chart" uri="{C3380CC4-5D6E-409C-BE32-E72D297353CC}">
              <c16:uniqueId val="{00000000-787B-4D9B-B21F-1E2A320F5EDB}"/>
            </c:ext>
          </c:extLst>
        </c:ser>
        <c:ser>
          <c:idx val="1"/>
          <c:order val="1"/>
          <c:tx>
            <c:strRef>
              <c:f>'Figure 10'!$C$9</c:f>
              <c:strCache>
                <c:ptCount val="1"/>
                <c:pt idx="0">
                  <c:v>End of support period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10'!$A$10:$A$14</c:f>
              <c:strCache>
                <c:ptCount val="5"/>
                <c:pt idx="0">
                  <c:v>Leased tenure - nominated on lease</c:v>
                </c:pt>
                <c:pt idx="1">
                  <c:v>Lease in place - not nominated on lease</c:v>
                </c:pt>
                <c:pt idx="2">
                  <c:v>Couch surfer</c:v>
                </c:pt>
                <c:pt idx="3">
                  <c:v>Boarder</c:v>
                </c:pt>
                <c:pt idx="4">
                  <c:v>Living with relative fee free</c:v>
                </c:pt>
              </c:strCache>
            </c:strRef>
          </c:cat>
          <c:val>
            <c:numRef>
              <c:f>'Figure 10'!$C$10:$C$14</c:f>
              <c:numCache>
                <c:formatCode>0.0%</c:formatCode>
                <c:ptCount val="5"/>
                <c:pt idx="0">
                  <c:v>0.40649496080627101</c:v>
                </c:pt>
                <c:pt idx="1">
                  <c:v>3.5834266517357223E-2</c:v>
                </c:pt>
                <c:pt idx="2">
                  <c:v>0.15453527435610304</c:v>
                </c:pt>
                <c:pt idx="3">
                  <c:v>7.6147816349384098E-2</c:v>
                </c:pt>
                <c:pt idx="4">
                  <c:v>5.5991041433370664E-2</c:v>
                </c:pt>
              </c:numCache>
            </c:numRef>
          </c:val>
          <c:extLst>
            <c:ext xmlns:c16="http://schemas.microsoft.com/office/drawing/2014/chart" uri="{C3380CC4-5D6E-409C-BE32-E72D297353CC}">
              <c16:uniqueId val="{00000001-787B-4D9B-B21F-1E2A320F5EDB}"/>
            </c:ext>
          </c:extLst>
        </c:ser>
        <c:dLbls>
          <c:showLegendKey val="0"/>
          <c:showVal val="0"/>
          <c:showCatName val="0"/>
          <c:showSerName val="0"/>
          <c:showPercent val="0"/>
          <c:showBubbleSize val="0"/>
        </c:dLbls>
        <c:gapWidth val="219"/>
        <c:overlap val="-27"/>
        <c:axId val="563029167"/>
        <c:axId val="563029647"/>
      </c:barChart>
      <c:catAx>
        <c:axId val="56302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029647"/>
        <c:crosses val="autoZero"/>
        <c:auto val="1"/>
        <c:lblAlgn val="ctr"/>
        <c:lblOffset val="100"/>
        <c:noMultiLvlLbl val="0"/>
      </c:catAx>
      <c:valAx>
        <c:axId val="563029647"/>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029167"/>
        <c:crosses val="autoZero"/>
        <c:crossBetween val="between"/>
        <c:majorUnit val="0.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'Housing Circ''stances tree chart'!$B$23:$C$28</cx:f>
        <cx:lvl ptCount="6">
          <cx:pt idx="0">Renting private housing</cx:pt>
          <cx:pt idx="1">Other long-term housing</cx:pt>
          <cx:pt idx="2">Other marginally housed</cx:pt>
          <cx:pt idx="3">Emergency &amp; crisis accommodation</cx:pt>
          <cx:pt idx="4">Couch surfing</cx:pt>
          <cx:pt idx="5">Sleeping rough or in car, tent or improvised dwelling</cx:pt>
        </cx:lvl>
        <cx:lvl ptCount="6">
          <cx:pt idx="0">Long term housed</cx:pt>
          <cx:pt idx="2">Marginally housed</cx:pt>
          <cx:pt idx="5">Primary homeslessness</cx:pt>
        </cx:lvl>
      </cx:strDim>
      <cx:numDim type="size">
        <cx:f>'Housing Circ''stances tree chart'!$D$23:$D$28</cx:f>
        <cx:lvl ptCount="6" formatCode="General">
          <cx:pt idx="0">403</cx:pt>
          <cx:pt idx="1">131</cx:pt>
          <cx:pt idx="2">332</cx:pt>
          <cx:pt idx="3">158</cx:pt>
          <cx:pt idx="4">231</cx:pt>
          <cx:pt idx="5">168</cx:pt>
        </cx:lvl>
      </cx:numDim>
    </cx:data>
  </cx:chartData>
  <cx:chart>
    <cx:plotArea>
      <cx:plotAreaRegion>
        <cx:series layoutId="sunburst" uniqueId="{9E39A116-E1F4-48EF-BD9B-5F0C157EC806}">
          <cx:dataPt idx="3">
            <cx:spPr>
              <a:solidFill>
                <a:srgbClr val="A5A5A5"/>
              </a:solidFill>
            </cx:spPr>
          </cx:dataPt>
          <cx:dataPt idx="7">
            <cx:spPr>
              <a:solidFill>
                <a:srgbClr val="ED7D31"/>
              </a:solidFill>
            </cx:spPr>
          </cx:dataPt>
          <cx:dataId val="0"/>
        </cx:series>
      </cx:plotAreaRegion>
    </cx:plotArea>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BCE299F698E04EA598F86E15244ECC" ma:contentTypeVersion="3" ma:contentTypeDescription="Create a new document." ma:contentTypeScope="" ma:versionID="8f6e2ec57d1d8931b31f61c79c0dfb3b">
  <xsd:schema xmlns:xsd="http://www.w3.org/2001/XMLSchema" xmlns:xs="http://www.w3.org/2001/XMLSchema" xmlns:p="http://schemas.microsoft.com/office/2006/metadata/properties" xmlns:ns2="92e40a98-5010-4b0b-b55d-764948bbdfad" targetNamespace="http://schemas.microsoft.com/office/2006/metadata/properties" ma:root="true" ma:fieldsID="d7cf5e0f840bc2439fd6de1245ade96e" ns2:_="">
    <xsd:import namespace="92e40a98-5010-4b0b-b55d-764948bbdf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40a98-5010-4b0b-b55d-764948bbd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BA816-10CE-442A-902E-3D34EFA35945}">
  <ds:schemaRefs>
    <ds:schemaRef ds:uri="http://schemas.openxmlformats.org/officeDocument/2006/bibliography"/>
  </ds:schemaRefs>
</ds:datastoreItem>
</file>

<file path=customXml/itemProps2.xml><?xml version="1.0" encoding="utf-8"?>
<ds:datastoreItem xmlns:ds="http://schemas.openxmlformats.org/officeDocument/2006/customXml" ds:itemID="{6DB99720-6A14-4766-9617-78398CF1A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8E6EA-EB41-42DF-A15A-4DA42D155855}">
  <ds:schemaRefs>
    <ds:schemaRef ds:uri="http://schemas.microsoft.com/sharepoint/v3/contenttype/forms"/>
  </ds:schemaRefs>
</ds:datastoreItem>
</file>

<file path=customXml/itemProps4.xml><?xml version="1.0" encoding="utf-8"?>
<ds:datastoreItem xmlns:ds="http://schemas.openxmlformats.org/officeDocument/2006/customXml" ds:itemID="{AED2FBFB-090F-4E88-80FA-086505AD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40a98-5010-4b0b-b55d-764948b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38</Pages>
  <Words>7514</Words>
  <Characters>42834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50248</CharactersWithSpaces>
  <SharedDoc>false</SharedDoc>
  <HLinks>
    <vt:vector size="216" baseType="variant">
      <vt:variant>
        <vt:i4>2097257</vt:i4>
      </vt:variant>
      <vt:variant>
        <vt:i4>189</vt:i4>
      </vt:variant>
      <vt:variant>
        <vt:i4>0</vt:i4>
      </vt:variant>
      <vt:variant>
        <vt:i4>5</vt:i4>
      </vt:variant>
      <vt:variant>
        <vt:lpwstr>https://tutas.org.au/publications/tasmanian-rents/</vt:lpwstr>
      </vt:variant>
      <vt:variant>
        <vt:lpwstr/>
      </vt:variant>
      <vt:variant>
        <vt:i4>4915227</vt:i4>
      </vt:variant>
      <vt:variant>
        <vt:i4>186</vt:i4>
      </vt:variant>
      <vt:variant>
        <vt:i4>0</vt:i4>
      </vt:variant>
      <vt:variant>
        <vt:i4>5</vt:i4>
      </vt:variant>
      <vt:variant>
        <vt:lpwstr>https://www.pc.gov.au/ongoing/report-on-government-services/2025/housing-and-homelessness</vt:lpwstr>
      </vt:variant>
      <vt:variant>
        <vt:lpwstr/>
      </vt:variant>
      <vt:variant>
        <vt:i4>5046390</vt:i4>
      </vt:variant>
      <vt:variant>
        <vt:i4>180</vt:i4>
      </vt:variant>
      <vt:variant>
        <vt:i4>0</vt:i4>
      </vt:variant>
      <vt:variant>
        <vt:i4>5</vt:i4>
      </vt:variant>
      <vt:variant>
        <vt:lpwstr>https://www.homestasmania.com.au/__data/assets/pdf_file/0045/279999/Housing-Connect-Practice-Framework-MASTER2.PDF</vt:lpwstr>
      </vt:variant>
      <vt:variant>
        <vt:lpwstr/>
      </vt:variant>
      <vt:variant>
        <vt:i4>393285</vt:i4>
      </vt:variant>
      <vt:variant>
        <vt:i4>177</vt:i4>
      </vt:variant>
      <vt:variant>
        <vt:i4>0</vt:i4>
      </vt:variant>
      <vt:variant>
        <vt:i4>5</vt:i4>
      </vt:variant>
      <vt:variant>
        <vt:lpwstr>https://www.homestasmania.com.au/about-us/Publications/housing-dashboard</vt:lpwstr>
      </vt:variant>
      <vt:variant>
        <vt:lpwstr/>
      </vt:variant>
      <vt:variant>
        <vt:i4>5373959</vt:i4>
      </vt:variant>
      <vt:variant>
        <vt:i4>174</vt:i4>
      </vt:variant>
      <vt:variant>
        <vt:i4>0</vt:i4>
      </vt:variant>
      <vt:variant>
        <vt:i4>5</vt:i4>
      </vt:variant>
      <vt:variant>
        <vt:lpwstr>https://www.abs.gov.au/statistics/economy/price-indexes-and-inflation/wage-price-index-australia/jun-2024</vt:lpwstr>
      </vt:variant>
      <vt:variant>
        <vt:lpwstr/>
      </vt:variant>
      <vt:variant>
        <vt:i4>8126585</vt:i4>
      </vt:variant>
      <vt:variant>
        <vt:i4>171</vt:i4>
      </vt:variant>
      <vt:variant>
        <vt:i4>0</vt:i4>
      </vt:variant>
      <vt:variant>
        <vt:i4>5</vt:i4>
      </vt:variant>
      <vt:variant>
        <vt:lpwstr>https://www.abs.gov.au/statistics/detailed-methodology-information/concepts-sources-methods/survey-income-and-housing-user-guide-australia/2019-20</vt:lpwstr>
      </vt:variant>
      <vt:variant>
        <vt:lpwstr/>
      </vt:variant>
      <vt:variant>
        <vt:i4>262160</vt:i4>
      </vt:variant>
      <vt:variant>
        <vt:i4>168</vt:i4>
      </vt:variant>
      <vt:variant>
        <vt:i4>0</vt:i4>
      </vt:variant>
      <vt:variant>
        <vt:i4>5</vt:i4>
      </vt:variant>
      <vt:variant>
        <vt:lpwstr>https://www.abs.gov.au/methodologies/estimating-homelessness-census-methodology/2021</vt:lpwstr>
      </vt:variant>
      <vt:variant>
        <vt:lpwstr/>
      </vt:variant>
      <vt:variant>
        <vt:i4>7405672</vt:i4>
      </vt:variant>
      <vt:variant>
        <vt:i4>165</vt:i4>
      </vt:variant>
      <vt:variant>
        <vt:i4>0</vt:i4>
      </vt:variant>
      <vt:variant>
        <vt:i4>5</vt:i4>
      </vt:variant>
      <vt:variant>
        <vt:lpwstr>https://www.anglicare-tas.org.au/research/unsafe-and-unhoused/</vt:lpwstr>
      </vt:variant>
      <vt:variant>
        <vt:lpwstr/>
      </vt:variant>
      <vt:variant>
        <vt:i4>7995515</vt:i4>
      </vt:variant>
      <vt:variant>
        <vt:i4>162</vt:i4>
      </vt:variant>
      <vt:variant>
        <vt:i4>0</vt:i4>
      </vt:variant>
      <vt:variant>
        <vt:i4>5</vt:i4>
      </vt:variant>
      <vt:variant>
        <vt:lpwstr>https://www.anglicare-tas.org.au/research/sarc-more-houses-needed-report-october-2024/</vt:lpwstr>
      </vt:variant>
      <vt:variant>
        <vt:lpwstr/>
      </vt:variant>
      <vt:variant>
        <vt:i4>7405672</vt:i4>
      </vt:variant>
      <vt:variant>
        <vt:i4>159</vt:i4>
      </vt:variant>
      <vt:variant>
        <vt:i4>0</vt:i4>
      </vt:variant>
      <vt:variant>
        <vt:i4>5</vt:i4>
      </vt:variant>
      <vt:variant>
        <vt:lpwstr>https://www.anglicare-tas.org.au/research/unsafe-and-unhoused/</vt:lpwstr>
      </vt:variant>
      <vt:variant>
        <vt:lpwstr/>
      </vt:variant>
      <vt:variant>
        <vt:i4>1114172</vt:i4>
      </vt:variant>
      <vt:variant>
        <vt:i4>152</vt:i4>
      </vt:variant>
      <vt:variant>
        <vt:i4>0</vt:i4>
      </vt:variant>
      <vt:variant>
        <vt:i4>5</vt:i4>
      </vt:variant>
      <vt:variant>
        <vt:lpwstr/>
      </vt:variant>
      <vt:variant>
        <vt:lpwstr>_Toc197935937</vt:lpwstr>
      </vt:variant>
      <vt:variant>
        <vt:i4>1114172</vt:i4>
      </vt:variant>
      <vt:variant>
        <vt:i4>146</vt:i4>
      </vt:variant>
      <vt:variant>
        <vt:i4>0</vt:i4>
      </vt:variant>
      <vt:variant>
        <vt:i4>5</vt:i4>
      </vt:variant>
      <vt:variant>
        <vt:lpwstr/>
      </vt:variant>
      <vt:variant>
        <vt:lpwstr>_Toc197935936</vt:lpwstr>
      </vt:variant>
      <vt:variant>
        <vt:i4>1114172</vt:i4>
      </vt:variant>
      <vt:variant>
        <vt:i4>140</vt:i4>
      </vt:variant>
      <vt:variant>
        <vt:i4>0</vt:i4>
      </vt:variant>
      <vt:variant>
        <vt:i4>5</vt:i4>
      </vt:variant>
      <vt:variant>
        <vt:lpwstr/>
      </vt:variant>
      <vt:variant>
        <vt:lpwstr>_Toc197935935</vt:lpwstr>
      </vt:variant>
      <vt:variant>
        <vt:i4>1114172</vt:i4>
      </vt:variant>
      <vt:variant>
        <vt:i4>134</vt:i4>
      </vt:variant>
      <vt:variant>
        <vt:i4>0</vt:i4>
      </vt:variant>
      <vt:variant>
        <vt:i4>5</vt:i4>
      </vt:variant>
      <vt:variant>
        <vt:lpwstr/>
      </vt:variant>
      <vt:variant>
        <vt:lpwstr>_Toc197935934</vt:lpwstr>
      </vt:variant>
      <vt:variant>
        <vt:i4>1114172</vt:i4>
      </vt:variant>
      <vt:variant>
        <vt:i4>128</vt:i4>
      </vt:variant>
      <vt:variant>
        <vt:i4>0</vt:i4>
      </vt:variant>
      <vt:variant>
        <vt:i4>5</vt:i4>
      </vt:variant>
      <vt:variant>
        <vt:lpwstr/>
      </vt:variant>
      <vt:variant>
        <vt:lpwstr>_Toc197935933</vt:lpwstr>
      </vt:variant>
      <vt:variant>
        <vt:i4>1114172</vt:i4>
      </vt:variant>
      <vt:variant>
        <vt:i4>122</vt:i4>
      </vt:variant>
      <vt:variant>
        <vt:i4>0</vt:i4>
      </vt:variant>
      <vt:variant>
        <vt:i4>5</vt:i4>
      </vt:variant>
      <vt:variant>
        <vt:lpwstr/>
      </vt:variant>
      <vt:variant>
        <vt:lpwstr>_Toc197935932</vt:lpwstr>
      </vt:variant>
      <vt:variant>
        <vt:i4>1114172</vt:i4>
      </vt:variant>
      <vt:variant>
        <vt:i4>116</vt:i4>
      </vt:variant>
      <vt:variant>
        <vt:i4>0</vt:i4>
      </vt:variant>
      <vt:variant>
        <vt:i4>5</vt:i4>
      </vt:variant>
      <vt:variant>
        <vt:lpwstr/>
      </vt:variant>
      <vt:variant>
        <vt:lpwstr>_Toc197935931</vt:lpwstr>
      </vt:variant>
      <vt:variant>
        <vt:i4>1114172</vt:i4>
      </vt:variant>
      <vt:variant>
        <vt:i4>110</vt:i4>
      </vt:variant>
      <vt:variant>
        <vt:i4>0</vt:i4>
      </vt:variant>
      <vt:variant>
        <vt:i4>5</vt:i4>
      </vt:variant>
      <vt:variant>
        <vt:lpwstr/>
      </vt:variant>
      <vt:variant>
        <vt:lpwstr>_Toc197935930</vt:lpwstr>
      </vt:variant>
      <vt:variant>
        <vt:i4>1048636</vt:i4>
      </vt:variant>
      <vt:variant>
        <vt:i4>104</vt:i4>
      </vt:variant>
      <vt:variant>
        <vt:i4>0</vt:i4>
      </vt:variant>
      <vt:variant>
        <vt:i4>5</vt:i4>
      </vt:variant>
      <vt:variant>
        <vt:lpwstr/>
      </vt:variant>
      <vt:variant>
        <vt:lpwstr>_Toc197935929</vt:lpwstr>
      </vt:variant>
      <vt:variant>
        <vt:i4>1048636</vt:i4>
      </vt:variant>
      <vt:variant>
        <vt:i4>98</vt:i4>
      </vt:variant>
      <vt:variant>
        <vt:i4>0</vt:i4>
      </vt:variant>
      <vt:variant>
        <vt:i4>5</vt:i4>
      </vt:variant>
      <vt:variant>
        <vt:lpwstr/>
      </vt:variant>
      <vt:variant>
        <vt:lpwstr>_Toc197935928</vt:lpwstr>
      </vt:variant>
      <vt:variant>
        <vt:i4>1048636</vt:i4>
      </vt:variant>
      <vt:variant>
        <vt:i4>92</vt:i4>
      </vt:variant>
      <vt:variant>
        <vt:i4>0</vt:i4>
      </vt:variant>
      <vt:variant>
        <vt:i4>5</vt:i4>
      </vt:variant>
      <vt:variant>
        <vt:lpwstr/>
      </vt:variant>
      <vt:variant>
        <vt:lpwstr>_Toc197935927</vt:lpwstr>
      </vt:variant>
      <vt:variant>
        <vt:i4>1048636</vt:i4>
      </vt:variant>
      <vt:variant>
        <vt:i4>86</vt:i4>
      </vt:variant>
      <vt:variant>
        <vt:i4>0</vt:i4>
      </vt:variant>
      <vt:variant>
        <vt:i4>5</vt:i4>
      </vt:variant>
      <vt:variant>
        <vt:lpwstr/>
      </vt:variant>
      <vt:variant>
        <vt:lpwstr>_Toc197935926</vt:lpwstr>
      </vt:variant>
      <vt:variant>
        <vt:i4>1048636</vt:i4>
      </vt:variant>
      <vt:variant>
        <vt:i4>80</vt:i4>
      </vt:variant>
      <vt:variant>
        <vt:i4>0</vt:i4>
      </vt:variant>
      <vt:variant>
        <vt:i4>5</vt:i4>
      </vt:variant>
      <vt:variant>
        <vt:lpwstr/>
      </vt:variant>
      <vt:variant>
        <vt:lpwstr>_Toc197935925</vt:lpwstr>
      </vt:variant>
      <vt:variant>
        <vt:i4>1048636</vt:i4>
      </vt:variant>
      <vt:variant>
        <vt:i4>74</vt:i4>
      </vt:variant>
      <vt:variant>
        <vt:i4>0</vt:i4>
      </vt:variant>
      <vt:variant>
        <vt:i4>5</vt:i4>
      </vt:variant>
      <vt:variant>
        <vt:lpwstr/>
      </vt:variant>
      <vt:variant>
        <vt:lpwstr>_Toc197935924</vt:lpwstr>
      </vt:variant>
      <vt:variant>
        <vt:i4>1048636</vt:i4>
      </vt:variant>
      <vt:variant>
        <vt:i4>68</vt:i4>
      </vt:variant>
      <vt:variant>
        <vt:i4>0</vt:i4>
      </vt:variant>
      <vt:variant>
        <vt:i4>5</vt:i4>
      </vt:variant>
      <vt:variant>
        <vt:lpwstr/>
      </vt:variant>
      <vt:variant>
        <vt:lpwstr>_Toc197935923</vt:lpwstr>
      </vt:variant>
      <vt:variant>
        <vt:i4>1048636</vt:i4>
      </vt:variant>
      <vt:variant>
        <vt:i4>62</vt:i4>
      </vt:variant>
      <vt:variant>
        <vt:i4>0</vt:i4>
      </vt:variant>
      <vt:variant>
        <vt:i4>5</vt:i4>
      </vt:variant>
      <vt:variant>
        <vt:lpwstr/>
      </vt:variant>
      <vt:variant>
        <vt:lpwstr>_Toc197935922</vt:lpwstr>
      </vt:variant>
      <vt:variant>
        <vt:i4>1048636</vt:i4>
      </vt:variant>
      <vt:variant>
        <vt:i4>56</vt:i4>
      </vt:variant>
      <vt:variant>
        <vt:i4>0</vt:i4>
      </vt:variant>
      <vt:variant>
        <vt:i4>5</vt:i4>
      </vt:variant>
      <vt:variant>
        <vt:lpwstr/>
      </vt:variant>
      <vt:variant>
        <vt:lpwstr>_Toc197935921</vt:lpwstr>
      </vt:variant>
      <vt:variant>
        <vt:i4>1048636</vt:i4>
      </vt:variant>
      <vt:variant>
        <vt:i4>50</vt:i4>
      </vt:variant>
      <vt:variant>
        <vt:i4>0</vt:i4>
      </vt:variant>
      <vt:variant>
        <vt:i4>5</vt:i4>
      </vt:variant>
      <vt:variant>
        <vt:lpwstr/>
      </vt:variant>
      <vt:variant>
        <vt:lpwstr>_Toc197935920</vt:lpwstr>
      </vt:variant>
      <vt:variant>
        <vt:i4>1245244</vt:i4>
      </vt:variant>
      <vt:variant>
        <vt:i4>44</vt:i4>
      </vt:variant>
      <vt:variant>
        <vt:i4>0</vt:i4>
      </vt:variant>
      <vt:variant>
        <vt:i4>5</vt:i4>
      </vt:variant>
      <vt:variant>
        <vt:lpwstr/>
      </vt:variant>
      <vt:variant>
        <vt:lpwstr>_Toc197935919</vt:lpwstr>
      </vt:variant>
      <vt:variant>
        <vt:i4>1245244</vt:i4>
      </vt:variant>
      <vt:variant>
        <vt:i4>38</vt:i4>
      </vt:variant>
      <vt:variant>
        <vt:i4>0</vt:i4>
      </vt:variant>
      <vt:variant>
        <vt:i4>5</vt:i4>
      </vt:variant>
      <vt:variant>
        <vt:lpwstr/>
      </vt:variant>
      <vt:variant>
        <vt:lpwstr>_Toc197935918</vt:lpwstr>
      </vt:variant>
      <vt:variant>
        <vt:i4>1245244</vt:i4>
      </vt:variant>
      <vt:variant>
        <vt:i4>32</vt:i4>
      </vt:variant>
      <vt:variant>
        <vt:i4>0</vt:i4>
      </vt:variant>
      <vt:variant>
        <vt:i4>5</vt:i4>
      </vt:variant>
      <vt:variant>
        <vt:lpwstr/>
      </vt:variant>
      <vt:variant>
        <vt:lpwstr>_Toc197935917</vt:lpwstr>
      </vt:variant>
      <vt:variant>
        <vt:i4>1245244</vt:i4>
      </vt:variant>
      <vt:variant>
        <vt:i4>26</vt:i4>
      </vt:variant>
      <vt:variant>
        <vt:i4>0</vt:i4>
      </vt:variant>
      <vt:variant>
        <vt:i4>5</vt:i4>
      </vt:variant>
      <vt:variant>
        <vt:lpwstr/>
      </vt:variant>
      <vt:variant>
        <vt:lpwstr>_Toc197935916</vt:lpwstr>
      </vt:variant>
      <vt:variant>
        <vt:i4>1245244</vt:i4>
      </vt:variant>
      <vt:variant>
        <vt:i4>20</vt:i4>
      </vt:variant>
      <vt:variant>
        <vt:i4>0</vt:i4>
      </vt:variant>
      <vt:variant>
        <vt:i4>5</vt:i4>
      </vt:variant>
      <vt:variant>
        <vt:lpwstr/>
      </vt:variant>
      <vt:variant>
        <vt:lpwstr>_Toc197935915</vt:lpwstr>
      </vt:variant>
      <vt:variant>
        <vt:i4>1245244</vt:i4>
      </vt:variant>
      <vt:variant>
        <vt:i4>14</vt:i4>
      </vt:variant>
      <vt:variant>
        <vt:i4>0</vt:i4>
      </vt:variant>
      <vt:variant>
        <vt:i4>5</vt:i4>
      </vt:variant>
      <vt:variant>
        <vt:lpwstr/>
      </vt:variant>
      <vt:variant>
        <vt:lpwstr>_Toc197935914</vt:lpwstr>
      </vt:variant>
      <vt:variant>
        <vt:i4>1245244</vt:i4>
      </vt:variant>
      <vt:variant>
        <vt:i4>8</vt:i4>
      </vt:variant>
      <vt:variant>
        <vt:i4>0</vt:i4>
      </vt:variant>
      <vt:variant>
        <vt:i4>5</vt:i4>
      </vt:variant>
      <vt:variant>
        <vt:lpwstr/>
      </vt:variant>
      <vt:variant>
        <vt:lpwstr>_Toc197935913</vt:lpwstr>
      </vt:variant>
      <vt:variant>
        <vt:i4>1245244</vt:i4>
      </vt:variant>
      <vt:variant>
        <vt:i4>2</vt:i4>
      </vt:variant>
      <vt:variant>
        <vt:i4>0</vt:i4>
      </vt:variant>
      <vt:variant>
        <vt:i4>5</vt:i4>
      </vt:variant>
      <vt:variant>
        <vt:lpwstr/>
      </vt:variant>
      <vt:variant>
        <vt:lpwstr>_Toc197935912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5</cp:revision>
  <dcterms:created xsi:type="dcterms:W3CDTF">2025-05-20T05:58:00Z</dcterms:created>
  <dcterms:modified xsi:type="dcterms:W3CDTF">2025-05-22T06:37:00Z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0x010100B5BCE299F698E04EA598F86E15244ECC</vt:lpwstr>
  </property>
</Properties>
</file>