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E54B" w14:textId="77777777" w:rsidR="009F3010" w:rsidRPr="00DB1A8C" w:rsidRDefault="009F3010" w:rsidP="00D70297">
      <w:pPr>
        <w:pStyle w:val="Title"/>
        <w:ind w:left="0"/>
        <w:jc w:val="left"/>
        <w:rPr>
          <w:lang w:val="en-AU"/>
        </w:rPr>
      </w:pPr>
      <w:r w:rsidRPr="00DB1A8C">
        <w:rPr>
          <w:lang w:val="en-AU"/>
        </w:rPr>
        <w:t xml:space="preserve">Housing Connect Front Door Service </w:t>
      </w:r>
      <w:r>
        <w:rPr>
          <w:lang w:val="en-AU"/>
        </w:rPr>
        <w:t xml:space="preserve">Quarterly </w:t>
      </w:r>
      <w:r w:rsidRPr="00DB1A8C">
        <w:rPr>
          <w:lang w:val="en-AU"/>
        </w:rPr>
        <w:t>Snapshot</w:t>
      </w:r>
    </w:p>
    <w:p w14:paraId="36353B16" w14:textId="77777777" w:rsidR="009F3010" w:rsidRDefault="009F3010" w:rsidP="00562467">
      <w:pPr>
        <w:pStyle w:val="Title"/>
        <w:pBdr>
          <w:bottom w:val="single" w:sz="4" w:space="1" w:color="auto"/>
        </w:pBdr>
        <w:ind w:left="0"/>
        <w:jc w:val="left"/>
        <w:rPr>
          <w:b w:val="0"/>
          <w:bCs w:val="0"/>
          <w:lang w:val="en-AU"/>
        </w:rPr>
      </w:pPr>
      <w:r>
        <w:rPr>
          <w:b w:val="0"/>
          <w:bCs w:val="0"/>
          <w:lang w:val="en-AU"/>
        </w:rPr>
        <w:t>December</w:t>
      </w:r>
      <w:r w:rsidRPr="005B7E29">
        <w:rPr>
          <w:b w:val="0"/>
          <w:bCs w:val="0"/>
          <w:lang w:val="en-AU"/>
        </w:rPr>
        <w:t xml:space="preserve"> 2025</w:t>
      </w:r>
    </w:p>
    <w:p w14:paraId="33288C11" w14:textId="77777777" w:rsidR="009F3010" w:rsidRDefault="009F3010" w:rsidP="001B32A6">
      <w:pPr>
        <w:pStyle w:val="Heading1"/>
      </w:pPr>
      <w:r>
        <w:t xml:space="preserve">Too many Tasmanians can’t afford a home at all </w:t>
      </w:r>
    </w:p>
    <w:p w14:paraId="3592302F" w14:textId="77777777" w:rsidR="009F3010" w:rsidRDefault="009F3010" w:rsidP="00C872E6">
      <w:pPr>
        <w:tabs>
          <w:tab w:val="left" w:pos="5387"/>
        </w:tabs>
        <w:rPr>
          <w:lang w:val="en-AU"/>
        </w:rPr>
      </w:pPr>
      <w:r w:rsidRPr="00813DE2">
        <w:rPr>
          <w:lang w:val="en-AU"/>
        </w:rPr>
        <w:t xml:space="preserve">Compared </w:t>
      </w:r>
      <w:r w:rsidRPr="00520104">
        <w:rPr>
          <w:lang w:val="en-AU"/>
        </w:rPr>
        <w:t xml:space="preserve">to the same time last year, the number of Tasmanians seeking housing support </w:t>
      </w:r>
      <w:r>
        <w:rPr>
          <w:lang w:val="en-AU"/>
        </w:rPr>
        <w:t xml:space="preserve">through the Housing Connect Front Door </w:t>
      </w:r>
      <w:r w:rsidRPr="00520104">
        <w:rPr>
          <w:lang w:val="en-AU"/>
        </w:rPr>
        <w:t xml:space="preserve">has </w:t>
      </w:r>
      <w:r w:rsidRPr="00AE2FEC">
        <w:rPr>
          <w:lang w:val="en-AU"/>
        </w:rPr>
        <w:t xml:space="preserve">increased </w:t>
      </w:r>
      <w:r w:rsidRPr="00B5112F">
        <w:rPr>
          <w:lang w:val="en-AU"/>
        </w:rPr>
        <w:t xml:space="preserve">by </w:t>
      </w:r>
      <w:r w:rsidRPr="00B5112F">
        <w:rPr>
          <w:b/>
          <w:bCs/>
          <w:lang w:val="en-AU"/>
        </w:rPr>
        <w:t>4</w:t>
      </w:r>
      <w:r>
        <w:rPr>
          <w:b/>
          <w:bCs/>
          <w:lang w:val="en-AU"/>
        </w:rPr>
        <w:t>1</w:t>
      </w:r>
      <w:r w:rsidRPr="00B5112F">
        <w:rPr>
          <w:b/>
          <w:bCs/>
          <w:lang w:val="en-AU"/>
        </w:rPr>
        <w:t>%</w:t>
      </w:r>
      <w:r w:rsidRPr="00B5112F">
        <w:rPr>
          <w:lang w:val="en-AU"/>
        </w:rPr>
        <w:t>.</w:t>
      </w:r>
      <w:r w:rsidRPr="00AE2FEC">
        <w:rPr>
          <w:lang w:val="en-AU"/>
        </w:rPr>
        <w:t xml:space="preserve"> Among</w:t>
      </w:r>
      <w:r w:rsidRPr="00520104">
        <w:rPr>
          <w:lang w:val="en-AU"/>
        </w:rPr>
        <w:t xml:space="preserve"> the people seeking support, the number of people who are sleeping rough</w:t>
      </w:r>
      <w:r>
        <w:rPr>
          <w:lang w:val="en-AU"/>
        </w:rPr>
        <w:t xml:space="preserve"> is up by 64%</w:t>
      </w:r>
      <w:r w:rsidRPr="00520104">
        <w:rPr>
          <w:lang w:val="en-AU"/>
        </w:rPr>
        <w:t>, employed</w:t>
      </w:r>
      <w:r>
        <w:rPr>
          <w:lang w:val="en-AU"/>
        </w:rPr>
        <w:t xml:space="preserve"> people seeking assistance has increased by 67%, and the number of people </w:t>
      </w:r>
      <w:r w:rsidRPr="00520104">
        <w:rPr>
          <w:lang w:val="en-AU"/>
        </w:rPr>
        <w:t>living in inadequate or substandard dwellings</w:t>
      </w:r>
      <w:r>
        <w:rPr>
          <w:lang w:val="en-AU"/>
        </w:rPr>
        <w:t xml:space="preserve"> has increased by 70%</w:t>
      </w:r>
      <w:r w:rsidRPr="00520104">
        <w:rPr>
          <w:lang w:val="en-AU"/>
        </w:rPr>
        <w:t>.</w:t>
      </w:r>
      <w:r>
        <w:rPr>
          <w:lang w:val="en-AU"/>
        </w:rPr>
        <w:t xml:space="preserve"> </w:t>
      </w:r>
      <w:r w:rsidRPr="00E60A2C">
        <w:rPr>
          <w:lang w:val="en-AU"/>
        </w:rPr>
        <w:t>The number of applicants on the social housing register has risen by 11% to 5,410.</w:t>
      </w:r>
    </w:p>
    <w:p w14:paraId="444F43E8" w14:textId="41B3D7BE" w:rsidR="009F3010" w:rsidRPr="00B5112F" w:rsidRDefault="009F3010" w:rsidP="00B5112F">
      <w:pPr>
        <w:tabs>
          <w:tab w:val="left" w:pos="5387"/>
        </w:tabs>
        <w:rPr>
          <w:lang w:val="en-AU"/>
        </w:rPr>
      </w:pPr>
      <w:r>
        <w:rPr>
          <w:lang w:val="en-AU"/>
        </w:rPr>
        <w:t xml:space="preserve">These numbers are shocking. And yet they are the predictable consequence of vacancy rates that remain below 1%, driving </w:t>
      </w:r>
      <w:r w:rsidR="003F7842">
        <w:rPr>
          <w:lang w:val="en-AU"/>
        </w:rPr>
        <w:t xml:space="preserve">up </w:t>
      </w:r>
      <w:r>
        <w:rPr>
          <w:lang w:val="en-AU"/>
        </w:rPr>
        <w:t xml:space="preserve">rents faster than incomes. </w:t>
      </w:r>
      <w:r>
        <w:t xml:space="preserve">More than half of Tasmanian households do not have the income needed to afford rent in the private market and many people in this group are at risk of homelessness. </w:t>
      </w:r>
    </w:p>
    <w:p w14:paraId="2FECE40A" w14:textId="77777777" w:rsidR="009F3010" w:rsidRDefault="009F3010" w:rsidP="000657CB">
      <w:pPr>
        <w:pStyle w:val="IntenseQuote"/>
        <w:spacing w:after="0"/>
      </w:pPr>
      <w:r>
        <w:t>…</w:t>
      </w:r>
      <w:r w:rsidRPr="004A185F">
        <w:t>when people experiencing homelessness get stable housing, they tend to end up in hospital less often, make fewer trips to the emergency department, and in some cases, even avoid incarceration. It’s also easier to look for and hold down a job when you have a stable place to call home.</w:t>
      </w:r>
    </w:p>
    <w:p w14:paraId="2DF5156C" w14:textId="77777777" w:rsidR="009F3010" w:rsidRPr="004A185F" w:rsidRDefault="009F3010" w:rsidP="000657CB">
      <w:pPr>
        <w:pStyle w:val="IntenseQuote"/>
        <w:spacing w:before="0"/>
        <w:rPr>
          <w:i w:val="0"/>
          <w:iCs w:val="0"/>
        </w:rPr>
      </w:pPr>
      <w:r>
        <w:rPr>
          <w:rFonts w:ascii="Calibri" w:hAnsi="Calibri" w:cs="Calibri"/>
          <w:i w:val="0"/>
          <w:iCs w:val="0"/>
        </w:rPr>
        <w:t>—</w:t>
      </w:r>
      <w:r>
        <w:rPr>
          <w:i w:val="0"/>
          <w:iCs w:val="0"/>
        </w:rPr>
        <w:t xml:space="preserve"> </w:t>
      </w:r>
      <w:r w:rsidRPr="004A185F">
        <w:rPr>
          <w:i w:val="0"/>
          <w:iCs w:val="0"/>
        </w:rPr>
        <w:t>Angela Jackson, Productivity Commissioner</w:t>
      </w:r>
      <w:r>
        <w:rPr>
          <w:i w:val="0"/>
          <w:iCs w:val="0"/>
        </w:rPr>
        <w:t xml:space="preserve"> (2026)</w:t>
      </w:r>
      <w:r>
        <w:rPr>
          <w:rStyle w:val="FootnoteReference"/>
          <w:i w:val="0"/>
          <w:iCs w:val="0"/>
        </w:rPr>
        <w:footnoteReference w:id="1"/>
      </w:r>
    </w:p>
    <w:p w14:paraId="2E439625" w14:textId="164E1256" w:rsidR="009F3010" w:rsidRDefault="009F3010" w:rsidP="00794328">
      <w:r>
        <w:t>There is no housing policy ‘silver bullet’ to address the affordability crisis. What we do know is that people on the lowest incomes are experiencing the most severe impacts of the housing crisis and that providing them with secure housing will deliver significant budget savings in</w:t>
      </w:r>
      <w:r w:rsidR="00B46627">
        <w:t xml:space="preserve"> the</w:t>
      </w:r>
      <w:r>
        <w:t xml:space="preserve"> health and justice </w:t>
      </w:r>
      <w:r w:rsidR="00B46627">
        <w:t xml:space="preserve">systems </w:t>
      </w:r>
      <w:r>
        <w:t>and benefit all Tasmanians. Investment in public housing and supports are critical to achieving this goal.</w:t>
      </w:r>
      <w:r>
        <w:rPr>
          <w:rStyle w:val="FootnoteReference"/>
        </w:rPr>
        <w:footnoteReference w:id="2"/>
      </w:r>
      <w:r>
        <w:t xml:space="preserve"> </w:t>
      </w:r>
    </w:p>
    <w:p w14:paraId="71E3CEF9" w14:textId="6530008E" w:rsidR="009F3010" w:rsidRDefault="009F3010" w:rsidP="00EB1EA7">
      <w:r>
        <w:t xml:space="preserve">Short-term measures such as private rental assistance, private rental incentive schemes, and suitable emergency and transitional accommodation are both welcome and important. The Housing Connect Front Door also plays a crucial role in connecting people with support (see </w:t>
      </w:r>
      <w:r w:rsidR="00E76C87" w:rsidRPr="00BB070B">
        <w:rPr>
          <w:rStyle w:val="Hyperlink"/>
          <w:b/>
          <w:bCs/>
          <w:color w:val="0B769F" w:themeColor="accent4" w:themeShade="BF"/>
          <w:u w:val="none"/>
        </w:rPr>
        <w:fldChar w:fldCharType="begin"/>
      </w:r>
      <w:r w:rsidR="00E76C87" w:rsidRPr="00BB070B">
        <w:rPr>
          <w:rStyle w:val="Hyperlink"/>
          <w:b/>
          <w:bCs/>
          <w:color w:val="0B769F" w:themeColor="accent4" w:themeShade="BF"/>
          <w:u w:val="none"/>
        </w:rPr>
        <w:instrText xml:space="preserve"> REF Ann \h </w:instrText>
      </w:r>
      <w:r w:rsidR="00BB070B" w:rsidRPr="00BB070B">
        <w:rPr>
          <w:rStyle w:val="Hyperlink"/>
          <w:b/>
          <w:bCs/>
          <w:color w:val="0B769F" w:themeColor="accent4" w:themeShade="BF"/>
          <w:u w:val="none"/>
        </w:rPr>
        <w:instrText xml:space="preserve"> \* MERGEFORMAT </w:instrText>
      </w:r>
      <w:r w:rsidR="00E76C87" w:rsidRPr="00BB070B">
        <w:rPr>
          <w:rStyle w:val="Hyperlink"/>
          <w:b/>
          <w:bCs/>
          <w:color w:val="0B769F" w:themeColor="accent4" w:themeShade="BF"/>
          <w:u w:val="none"/>
        </w:rPr>
      </w:r>
      <w:r w:rsidR="00E76C87" w:rsidRPr="00BB070B">
        <w:rPr>
          <w:rStyle w:val="Hyperlink"/>
          <w:b/>
          <w:bCs/>
          <w:color w:val="0B769F" w:themeColor="accent4" w:themeShade="BF"/>
          <w:u w:val="none"/>
        </w:rPr>
        <w:fldChar w:fldCharType="end"/>
      </w:r>
      <w:r w:rsidR="00E76C87" w:rsidRPr="00BB070B">
        <w:rPr>
          <w:rStyle w:val="Hyperlink"/>
          <w:b/>
          <w:bCs/>
          <w:color w:val="0B769F" w:themeColor="accent4" w:themeShade="BF"/>
          <w:u w:val="none"/>
        </w:rPr>
        <w:fldChar w:fldCharType="begin"/>
      </w:r>
      <w:r w:rsidR="00E76C87" w:rsidRPr="00BB070B">
        <w:rPr>
          <w:rStyle w:val="Hyperlink"/>
          <w:b/>
          <w:bCs/>
          <w:color w:val="0B769F" w:themeColor="accent4" w:themeShade="BF"/>
          <w:u w:val="none"/>
        </w:rPr>
        <w:instrText xml:space="preserve"> REF Ann \h </w:instrText>
      </w:r>
      <w:r w:rsidR="00BB070B" w:rsidRPr="00BB070B">
        <w:rPr>
          <w:rStyle w:val="Hyperlink"/>
          <w:b/>
          <w:bCs/>
          <w:color w:val="0B769F" w:themeColor="accent4" w:themeShade="BF"/>
          <w:u w:val="none"/>
        </w:rPr>
        <w:instrText xml:space="preserve"> \* MERGEFORMAT </w:instrText>
      </w:r>
      <w:r w:rsidR="00E76C87" w:rsidRPr="00BB070B">
        <w:rPr>
          <w:rStyle w:val="Hyperlink"/>
          <w:b/>
          <w:bCs/>
          <w:color w:val="0B769F" w:themeColor="accent4" w:themeShade="BF"/>
          <w:u w:val="none"/>
        </w:rPr>
      </w:r>
      <w:r w:rsidR="00E76C87" w:rsidRPr="00BB070B">
        <w:rPr>
          <w:rStyle w:val="Hyperlink"/>
          <w:b/>
          <w:bCs/>
          <w:color w:val="0B769F" w:themeColor="accent4" w:themeShade="BF"/>
          <w:u w:val="none"/>
        </w:rPr>
        <w:fldChar w:fldCharType="end"/>
      </w:r>
      <w:r w:rsidR="00E76C87" w:rsidRPr="00BB070B">
        <w:rPr>
          <w:rStyle w:val="Hyperlink"/>
          <w:b/>
          <w:bCs/>
          <w:color w:val="0B769F" w:themeColor="accent4" w:themeShade="BF"/>
          <w:u w:val="none"/>
        </w:rPr>
        <w:fldChar w:fldCharType="begin"/>
      </w:r>
      <w:r w:rsidR="00E76C87" w:rsidRPr="00BB070B">
        <w:rPr>
          <w:rStyle w:val="Hyperlink"/>
          <w:b/>
          <w:bCs/>
          <w:color w:val="0B769F" w:themeColor="accent4" w:themeShade="BF"/>
          <w:u w:val="none"/>
        </w:rPr>
        <w:instrText xml:space="preserve"> REF Ann \h </w:instrText>
      </w:r>
      <w:r w:rsidR="00BB070B" w:rsidRPr="00BB070B">
        <w:rPr>
          <w:rStyle w:val="Hyperlink"/>
          <w:b/>
          <w:bCs/>
          <w:color w:val="0B769F" w:themeColor="accent4" w:themeShade="BF"/>
          <w:u w:val="none"/>
        </w:rPr>
        <w:instrText xml:space="preserve"> \* MERGEFORMAT </w:instrText>
      </w:r>
      <w:r w:rsidR="00E76C87" w:rsidRPr="00BB070B">
        <w:rPr>
          <w:rStyle w:val="Hyperlink"/>
          <w:b/>
          <w:bCs/>
          <w:color w:val="0B769F" w:themeColor="accent4" w:themeShade="BF"/>
          <w:u w:val="none"/>
        </w:rPr>
      </w:r>
      <w:r w:rsidR="00E76C87" w:rsidRPr="00BB070B">
        <w:rPr>
          <w:rStyle w:val="Hyperlink"/>
          <w:b/>
          <w:bCs/>
          <w:color w:val="0B769F" w:themeColor="accent4" w:themeShade="BF"/>
          <w:u w:val="none"/>
        </w:rPr>
        <w:fldChar w:fldCharType="end"/>
      </w:r>
      <w:r w:rsidR="00E76C87" w:rsidRPr="00BB070B">
        <w:rPr>
          <w:rStyle w:val="Hyperlink"/>
          <w:b/>
          <w:bCs/>
          <w:color w:val="0B769F" w:themeColor="accent4" w:themeShade="BF"/>
          <w:u w:val="none"/>
        </w:rPr>
        <w:fldChar w:fldCharType="begin"/>
      </w:r>
      <w:r w:rsidR="00E76C87" w:rsidRPr="00BB070B">
        <w:rPr>
          <w:rStyle w:val="Hyperlink"/>
          <w:b/>
          <w:bCs/>
          <w:color w:val="0B769F" w:themeColor="accent4" w:themeShade="BF"/>
          <w:u w:val="none"/>
        </w:rPr>
        <w:instrText xml:space="preserve"> REF Ann </w:instrText>
      </w:r>
      <w:r w:rsidR="00BB070B" w:rsidRPr="00BB070B">
        <w:rPr>
          <w:rStyle w:val="Hyperlink"/>
          <w:b/>
          <w:bCs/>
          <w:color w:val="0B769F" w:themeColor="accent4" w:themeShade="BF"/>
          <w:u w:val="none"/>
        </w:rPr>
        <w:instrText xml:space="preserve"> \* MERGEFORMAT </w:instrText>
      </w:r>
      <w:r w:rsidR="00E76C87" w:rsidRPr="00BB070B">
        <w:rPr>
          <w:rStyle w:val="Hyperlink"/>
          <w:b/>
          <w:bCs/>
          <w:color w:val="0B769F" w:themeColor="accent4" w:themeShade="BF"/>
          <w:u w:val="none"/>
        </w:rPr>
        <w:fldChar w:fldCharType="end"/>
      </w:r>
      <w:r w:rsidR="00BB070B" w:rsidRPr="00BB070B">
        <w:rPr>
          <w:rStyle w:val="Hyperlink"/>
          <w:b/>
          <w:bCs/>
          <w:color w:val="0B769F" w:themeColor="accent4" w:themeShade="BF"/>
          <w:u w:val="none"/>
        </w:rPr>
        <w:fldChar w:fldCharType="begin"/>
      </w:r>
      <w:r w:rsidR="00BB070B" w:rsidRPr="00BB070B">
        <w:rPr>
          <w:rStyle w:val="Hyperlink"/>
          <w:b/>
          <w:bCs/>
          <w:color w:val="0B769F" w:themeColor="accent4" w:themeShade="BF"/>
          <w:u w:val="none"/>
        </w:rPr>
        <w:instrText xml:space="preserve"> REF Ann \h  \* MERGEFORMAT </w:instrText>
      </w:r>
      <w:r w:rsidR="00BB070B" w:rsidRPr="00BB070B">
        <w:rPr>
          <w:rStyle w:val="Hyperlink"/>
          <w:b/>
          <w:bCs/>
          <w:color w:val="0B769F" w:themeColor="accent4" w:themeShade="BF"/>
          <w:u w:val="none"/>
        </w:rPr>
      </w:r>
      <w:r w:rsidR="00BB070B" w:rsidRPr="00BB070B">
        <w:rPr>
          <w:rStyle w:val="Hyperlink"/>
          <w:b/>
          <w:bCs/>
          <w:color w:val="0B769F" w:themeColor="accent4" w:themeShade="BF"/>
          <w:u w:val="none"/>
        </w:rPr>
        <w:fldChar w:fldCharType="separate"/>
      </w:r>
      <w:r w:rsidR="00BB070B" w:rsidRPr="00BB070B">
        <w:rPr>
          <w:rStyle w:val="Hyperlink"/>
          <w:b/>
          <w:bCs/>
          <w:color w:val="0B769F" w:themeColor="accent4" w:themeShade="BF"/>
          <w:u w:val="none"/>
        </w:rPr>
        <w:t>Ann</w:t>
      </w:r>
      <w:r w:rsidR="00BB070B" w:rsidRPr="00BB070B">
        <w:rPr>
          <w:rStyle w:val="Hyperlink"/>
          <w:b/>
          <w:bCs/>
          <w:color w:val="0B769F" w:themeColor="accent4" w:themeShade="BF"/>
          <w:u w:val="none"/>
        </w:rPr>
        <w:fldChar w:fldCharType="end"/>
      </w:r>
      <w:r w:rsidR="00BB070B" w:rsidRPr="00BB070B">
        <w:rPr>
          <w:b/>
          <w:bCs/>
          <w:color w:val="0B769F" w:themeColor="accent4" w:themeShade="BF"/>
        </w:rPr>
        <w:t>’s story</w:t>
      </w:r>
      <w:r w:rsidR="00BB070B">
        <w:t>).</w:t>
      </w:r>
    </w:p>
    <w:p w14:paraId="4B8815E0" w14:textId="41813EF8" w:rsidR="009F3010" w:rsidRDefault="009F3010" w:rsidP="00EB1EA7">
      <w:r>
        <w:t xml:space="preserve">In the long term, however, housing insecurity and homelessness can only be addressed by </w:t>
      </w:r>
      <w:r>
        <w:lastRenderedPageBreak/>
        <w:t xml:space="preserve">building more houses – enough to match the number of low-income households who need them and provided at a price they can afford. </w:t>
      </w:r>
    </w:p>
    <w:p w14:paraId="3EBC101C" w14:textId="165978A1" w:rsidR="009F3010" w:rsidRDefault="009F3010" w:rsidP="00C872E6">
      <w:r>
        <w:t>The</w:t>
      </w:r>
      <w:r w:rsidR="003F7842">
        <w:t xml:space="preserve"> Tasmanian</w:t>
      </w:r>
      <w:r>
        <w:t xml:space="preserve"> government’s investment to date in Housing Connect 2.0, supported accommodation and building more social housing is sound, evidence-based policy. </w:t>
      </w:r>
    </w:p>
    <w:p w14:paraId="4FC2E4ED" w14:textId="77777777" w:rsidR="009F3010" w:rsidRDefault="009F3010" w:rsidP="00C872E6">
      <w:r>
        <w:t xml:space="preserve">Anglicare Tasmania calls on the state government to scale up investment in social and supported housing to meet the task at hand. </w:t>
      </w:r>
    </w:p>
    <w:p w14:paraId="02D54160" w14:textId="77777777" w:rsidR="009F3010" w:rsidRDefault="009F3010">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AU"/>
        </w:rPr>
      </w:pPr>
      <w:r>
        <w:br w:type="page"/>
      </w:r>
    </w:p>
    <w:p w14:paraId="23D027CB" w14:textId="77777777" w:rsidR="009F3010" w:rsidRPr="00266393" w:rsidRDefault="009F3010" w:rsidP="00EB597B">
      <w:pPr>
        <w:pStyle w:val="Heading1"/>
      </w:pPr>
      <w:r w:rsidRPr="00266393">
        <w:lastRenderedPageBreak/>
        <w:t>Housing Connect Front Door</w:t>
      </w:r>
    </w:p>
    <w:p w14:paraId="03935611" w14:textId="77777777" w:rsidR="009F3010" w:rsidRPr="00266393" w:rsidRDefault="009F3010" w:rsidP="00E509D2">
      <w:pPr>
        <w:rPr>
          <w:lang w:val="en-AU"/>
        </w:rPr>
      </w:pPr>
      <w:r w:rsidRPr="00266393">
        <w:rPr>
          <w:lang w:val="en-AU"/>
        </w:rPr>
        <w:t xml:space="preserve">The Housing Connect Front Door is the entry point for people to access housing support, from emergency accommodation to a long-term home. This begins with an assessment to understand their individual circumstances and help match them with the most suitable options available. </w:t>
      </w:r>
    </w:p>
    <w:p w14:paraId="465969F2" w14:textId="77777777" w:rsidR="009F3010" w:rsidRPr="00266393" w:rsidRDefault="009F3010" w:rsidP="00E509D2">
      <w:pPr>
        <w:rPr>
          <w:lang w:val="en-AU"/>
        </w:rPr>
      </w:pPr>
      <w:r w:rsidRPr="00266393">
        <w:rPr>
          <w:lang w:val="en-AU"/>
        </w:rPr>
        <w:t xml:space="preserve">Anglicare Tasmania is funded by government to deliver the Housing Connect Front Door Service statewide. This arrangement began from July 1, 2024. </w:t>
      </w:r>
    </w:p>
    <w:p w14:paraId="6F42435A" w14:textId="77777777" w:rsidR="009F3010" w:rsidRPr="00266393" w:rsidRDefault="009F3010" w:rsidP="00E509D2">
      <w:pPr>
        <w:widowControl/>
        <w:adjustRightInd w:val="0"/>
        <w:spacing w:before="0" w:after="0"/>
        <w:rPr>
          <w:lang w:val="en-AU"/>
        </w:rPr>
      </w:pPr>
    </w:p>
    <w:p w14:paraId="5C1EB6C0" w14:textId="77777777" w:rsidR="009F3010" w:rsidRPr="00266393" w:rsidRDefault="009F3010" w:rsidP="00E509D2">
      <w:pPr>
        <w:widowControl/>
        <w:adjustRightInd w:val="0"/>
        <w:spacing w:before="0" w:after="0"/>
        <w:rPr>
          <w:rFonts w:ascii="Arial" w:eastAsiaTheme="minorHAnsi" w:hAnsi="Arial" w:cs="Arial"/>
          <w:color w:val="000000"/>
          <w:sz w:val="22"/>
          <w:lang w:val="en-AU"/>
        </w:rPr>
      </w:pPr>
      <w:r w:rsidRPr="00266393">
        <w:rPr>
          <w:lang w:val="en-AU"/>
        </w:rPr>
        <w:t>People can access the Housing Connect Front Door by telephone, 24 hours a day, 365 days a year on</w:t>
      </w:r>
      <w:r w:rsidRPr="00266393">
        <w:rPr>
          <w:rFonts w:ascii="Arial" w:eastAsiaTheme="minorHAnsi" w:hAnsi="Arial" w:cs="Arial"/>
          <w:color w:val="000000"/>
          <w:sz w:val="22"/>
          <w:lang w:val="en-AU"/>
        </w:rPr>
        <w:t xml:space="preserve"> </w:t>
      </w:r>
      <w:r w:rsidRPr="00266393">
        <w:rPr>
          <w:rFonts w:ascii="Arial" w:eastAsiaTheme="minorHAnsi" w:hAnsi="Arial" w:cs="Arial"/>
          <w:b/>
          <w:bCs/>
          <w:color w:val="0070C0"/>
          <w:sz w:val="22"/>
          <w:lang w:val="en-AU"/>
        </w:rPr>
        <w:t>1800 800 588</w:t>
      </w:r>
      <w:r w:rsidRPr="00266393">
        <w:rPr>
          <w:rFonts w:ascii="Arial" w:eastAsiaTheme="minorHAnsi" w:hAnsi="Arial" w:cs="Arial"/>
          <w:b/>
          <w:bCs/>
          <w:color w:val="000000"/>
          <w:sz w:val="22"/>
          <w:lang w:val="en-AU"/>
        </w:rPr>
        <w:t xml:space="preserve">. </w:t>
      </w:r>
      <w:r w:rsidRPr="00266393">
        <w:rPr>
          <w:lang w:val="en-AU"/>
        </w:rPr>
        <w:t>This is a free call.</w:t>
      </w:r>
      <w:r w:rsidRPr="00266393">
        <w:rPr>
          <w:rFonts w:ascii="Arial" w:eastAsiaTheme="minorHAnsi" w:hAnsi="Arial" w:cs="Arial"/>
          <w:color w:val="000000"/>
          <w:sz w:val="22"/>
          <w:lang w:val="en-AU"/>
        </w:rPr>
        <w:t xml:space="preserve"> </w:t>
      </w:r>
    </w:p>
    <w:p w14:paraId="2155C2B0" w14:textId="77777777" w:rsidR="009F3010" w:rsidRPr="00266393" w:rsidRDefault="009F3010" w:rsidP="00E509D2">
      <w:pPr>
        <w:rPr>
          <w:lang w:val="en-AU"/>
        </w:rPr>
      </w:pPr>
    </w:p>
    <w:p w14:paraId="721A92BB" w14:textId="77777777" w:rsidR="009F3010" w:rsidRPr="00266393" w:rsidRDefault="009F3010" w:rsidP="00E509D2">
      <w:pPr>
        <w:widowControl/>
        <w:adjustRightInd w:val="0"/>
        <w:spacing w:before="0" w:after="0"/>
        <w:rPr>
          <w:lang w:val="en-AU"/>
        </w:rPr>
      </w:pPr>
      <w:r w:rsidRPr="00266393">
        <w:rPr>
          <w:lang w:val="en-AU"/>
        </w:rPr>
        <w:t xml:space="preserve">People can also access the Front Door at these Anglicare Tasmania offices between the hours of 9.00 am and 5.00 pm, Monday to Friday: </w:t>
      </w:r>
    </w:p>
    <w:p w14:paraId="007C0400" w14:textId="77777777" w:rsidR="009F3010" w:rsidRPr="00266393" w:rsidRDefault="009F3010" w:rsidP="00E509D2">
      <w:pPr>
        <w:pStyle w:val="Bullets"/>
        <w:ind w:hanging="426"/>
      </w:pPr>
      <w:r w:rsidRPr="00266393">
        <w:t xml:space="preserve">159 Collins Street, Hobart </w:t>
      </w:r>
    </w:p>
    <w:p w14:paraId="30B2356A" w14:textId="77777777" w:rsidR="009F3010" w:rsidRPr="00266393" w:rsidRDefault="009F3010" w:rsidP="00E509D2">
      <w:pPr>
        <w:pStyle w:val="Bullets"/>
        <w:ind w:hanging="426"/>
      </w:pPr>
      <w:r w:rsidRPr="00266393">
        <w:t xml:space="preserve">122 Elizabeth Street, Launceston </w:t>
      </w:r>
    </w:p>
    <w:p w14:paraId="3FB7ECF0" w14:textId="77777777" w:rsidR="009F3010" w:rsidRPr="00266393" w:rsidRDefault="009F3010" w:rsidP="00E509D2">
      <w:pPr>
        <w:pStyle w:val="Bullets"/>
        <w:ind w:hanging="426"/>
      </w:pPr>
      <w:r w:rsidRPr="00266393">
        <w:t xml:space="preserve">31 King Street, Devonport </w:t>
      </w:r>
    </w:p>
    <w:p w14:paraId="0E0998D5" w14:textId="77777777" w:rsidR="009F3010" w:rsidRPr="00266393" w:rsidRDefault="009F3010" w:rsidP="00E509D2">
      <w:pPr>
        <w:pStyle w:val="Bullets"/>
        <w:ind w:hanging="426"/>
      </w:pPr>
      <w:r w:rsidRPr="00266393">
        <w:t xml:space="preserve">51 Wilmot Street, Burnie. </w:t>
      </w:r>
    </w:p>
    <w:p w14:paraId="2138D2E3" w14:textId="77777777" w:rsidR="009F3010" w:rsidRPr="00A71948" w:rsidRDefault="009F3010" w:rsidP="00A71948">
      <w:pPr>
        <w:spacing w:after="360"/>
        <w:rPr>
          <w:lang w:val="en-AU"/>
        </w:rPr>
      </w:pPr>
      <w:proofErr w:type="spellStart"/>
      <w:r w:rsidRPr="00266393">
        <w:rPr>
          <w:lang w:val="en-AU"/>
        </w:rPr>
        <w:t>Wyndarra</w:t>
      </w:r>
      <w:proofErr w:type="spellEnd"/>
      <w:r w:rsidRPr="00266393">
        <w:rPr>
          <w:lang w:val="en-AU"/>
        </w:rPr>
        <w:t xml:space="preserve"> Centre Inc. provides a Front Door service at 43 Smith Street, Smithton. </w:t>
      </w:r>
      <w:r w:rsidRPr="00AD16B0">
        <w:t xml:space="preserve"> </w:t>
      </w:r>
    </w:p>
    <w:p w14:paraId="1BFF0816" w14:textId="77777777" w:rsidR="009F3010" w:rsidRPr="00266393" w:rsidRDefault="009F3010"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21E6019F" w14:textId="77777777" w:rsidR="009F3010" w:rsidRPr="00266393" w:rsidRDefault="009F3010"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r w:rsidRPr="00266393">
        <w:rPr>
          <w:rFonts w:ascii="Avenir Next LT Pro" w:eastAsiaTheme="minorHAnsi" w:hAnsi="Avenir Next LT Pro" w:cs="Arial"/>
          <w:b/>
          <w:color w:val="FFFFFF" w:themeColor="background1"/>
          <w:sz w:val="32"/>
          <w:szCs w:val="32"/>
          <w:lang w:val="en-AU"/>
        </w:rPr>
        <w:t>The Housing Connect Front Door does not provide housing</w:t>
      </w:r>
    </w:p>
    <w:p w14:paraId="0FD8EB22" w14:textId="77777777" w:rsidR="009F3010" w:rsidRPr="00266393" w:rsidRDefault="009F3010"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color w:val="FFFFFF" w:themeColor="background1"/>
          <w:sz w:val="32"/>
          <w:szCs w:val="32"/>
          <w:lang w:val="en-AU"/>
        </w:rPr>
      </w:pPr>
    </w:p>
    <w:p w14:paraId="0FC13DF0" w14:textId="77777777" w:rsidR="009F3010" w:rsidRPr="00266393" w:rsidRDefault="009F3010" w:rsidP="00E509D2">
      <w:pPr>
        <w:widowControl/>
        <w:adjustRightInd w:val="0"/>
        <w:spacing w:before="0" w:after="0"/>
        <w:rPr>
          <w:rFonts w:ascii="Arial" w:eastAsiaTheme="minorHAnsi" w:hAnsi="Arial" w:cs="Arial"/>
          <w:color w:val="000000"/>
          <w:sz w:val="22"/>
          <w:lang w:val="en-AU"/>
        </w:rPr>
      </w:pPr>
    </w:p>
    <w:p w14:paraId="0371D7B7" w14:textId="77777777" w:rsidR="009F3010" w:rsidRDefault="009F3010" w:rsidP="00E509D2">
      <w:pPr>
        <w:rPr>
          <w:lang w:val="en-AU"/>
        </w:rPr>
      </w:pPr>
      <w:r w:rsidRPr="00266393">
        <w:rPr>
          <w:lang w:val="en-AU"/>
        </w:rPr>
        <w:t>The Front Door service links people with supports that are suited to their life stage and individual circumstances. Although the Front Door service does not provide housing, it can assist clients to apply for social housing or to secure or maintain a private rental tenancy.</w:t>
      </w:r>
    </w:p>
    <w:p w14:paraId="416D2B72" w14:textId="77777777" w:rsidR="009F3010" w:rsidRPr="00266393" w:rsidRDefault="009F3010" w:rsidP="00E509D2">
      <w:pPr>
        <w:rPr>
          <w:lang w:val="en-AU"/>
        </w:rPr>
      </w:pPr>
      <w:r w:rsidRPr="00266393">
        <w:rPr>
          <w:lang w:val="en-AU"/>
        </w:rPr>
        <w:t xml:space="preserve">For many people, the Front Door can provide the level of support they need. However, for those who require more intensive and ongoing support, the Front Door connects them with Key Development </w:t>
      </w:r>
      <w:r>
        <w:rPr>
          <w:lang w:val="en-AU"/>
        </w:rPr>
        <w:t>C</w:t>
      </w:r>
      <w:r w:rsidRPr="00266393">
        <w:rPr>
          <w:lang w:val="en-AU"/>
        </w:rPr>
        <w:t>oaches in their region.</w:t>
      </w:r>
    </w:p>
    <w:p w14:paraId="14289573" w14:textId="77777777" w:rsidR="009F3010" w:rsidRPr="00266393" w:rsidRDefault="009F3010">
      <w:pPr>
        <w:spacing w:before="0" w:after="0"/>
        <w:rPr>
          <w:rFonts w:ascii="Avenir Next Demi Bold" w:eastAsia="AvenirNextLTPro-Demi" w:hAnsi="Avenir Next Demi Bold" w:cs="AvenirNextLTPro-Demi"/>
          <w:b/>
          <w:bCs/>
          <w:i/>
          <w:color w:val="1598CB"/>
          <w:sz w:val="48"/>
          <w:szCs w:val="48"/>
          <w:lang w:val="en-AU"/>
        </w:rPr>
      </w:pPr>
      <w:r w:rsidRPr="00266393">
        <w:rPr>
          <w:i/>
          <w:lang w:val="en-AU"/>
        </w:rPr>
        <w:br w:type="page"/>
      </w:r>
    </w:p>
    <w:p w14:paraId="73FA18DE" w14:textId="77777777" w:rsidR="009F3010" w:rsidRDefault="009F3010" w:rsidP="00EB597B">
      <w:pPr>
        <w:pStyle w:val="Heading1"/>
      </w:pPr>
      <w:r>
        <w:lastRenderedPageBreak/>
        <w:t>Support provided this quarter</w:t>
      </w:r>
    </w:p>
    <w:p w14:paraId="5C98F069" w14:textId="77777777" w:rsidR="009F3010" w:rsidRPr="00022DD3" w:rsidRDefault="009F3010" w:rsidP="00022DD3">
      <w:pPr>
        <w:pStyle w:val="BodyText"/>
      </w:pPr>
      <w:r>
        <w:t>From</w:t>
      </w:r>
      <w:r w:rsidRPr="00022DD3">
        <w:t xml:space="preserve"> 1 </w:t>
      </w:r>
      <w:r>
        <w:t>October</w:t>
      </w:r>
      <w:r w:rsidRPr="00022DD3">
        <w:t xml:space="preserve"> to </w:t>
      </w:r>
      <w:r>
        <w:t>31 December</w:t>
      </w:r>
      <w:r w:rsidRPr="00022DD3">
        <w:t xml:space="preserve"> 2025</w:t>
      </w:r>
      <w:r>
        <w:t xml:space="preserve"> (compared to the same period in 2024)</w:t>
      </w:r>
      <w:r w:rsidRPr="00022DD3">
        <w:t>, the Front Door service has:</w:t>
      </w:r>
    </w:p>
    <w:p w14:paraId="724BDE68" w14:textId="77777777" w:rsidR="009F3010" w:rsidRPr="0000085C" w:rsidRDefault="009F3010" w:rsidP="00E65C7D">
      <w:pPr>
        <w:pStyle w:val="Bullets"/>
      </w:pPr>
      <w:r w:rsidRPr="0000085C">
        <w:t xml:space="preserve">responded to </w:t>
      </w:r>
      <w:r w:rsidRPr="001B5146">
        <w:rPr>
          <w:b/>
          <w:bCs/>
        </w:rPr>
        <w:t>1</w:t>
      </w:r>
      <w:r>
        <w:rPr>
          <w:b/>
          <w:bCs/>
        </w:rPr>
        <w:t xml:space="preserve">2,174 </w:t>
      </w:r>
      <w:r w:rsidRPr="0000085C">
        <w:t>enquiries from Tasmanians seeking housing support (</w:t>
      </w:r>
      <w:r>
        <w:t>up 14</w:t>
      </w:r>
      <w:r w:rsidRPr="0000085C">
        <w:t>%)</w:t>
      </w:r>
    </w:p>
    <w:p w14:paraId="63A03C0E" w14:textId="77777777" w:rsidR="009F3010" w:rsidRPr="0000085C" w:rsidRDefault="009F3010" w:rsidP="00B55D09">
      <w:pPr>
        <w:pStyle w:val="Bullets"/>
      </w:pPr>
      <w:r w:rsidRPr="0000085C">
        <w:t xml:space="preserve">assisted people to make </w:t>
      </w:r>
      <w:r>
        <w:rPr>
          <w:b/>
          <w:bCs/>
        </w:rPr>
        <w:t>1,011</w:t>
      </w:r>
      <w:r w:rsidRPr="0000085C">
        <w:t xml:space="preserve"> new social housing applications </w:t>
      </w:r>
    </w:p>
    <w:p w14:paraId="152CE418" w14:textId="1964FDC9" w:rsidR="009F3010" w:rsidRPr="0000085C" w:rsidRDefault="009F3010" w:rsidP="00E65C7D">
      <w:pPr>
        <w:pStyle w:val="Bullets"/>
      </w:pPr>
      <w:r w:rsidRPr="0000085C">
        <w:t xml:space="preserve">provided </w:t>
      </w:r>
      <w:r w:rsidRPr="001B5146">
        <w:rPr>
          <w:b/>
          <w:bCs/>
        </w:rPr>
        <w:t>1,</w:t>
      </w:r>
      <w:r>
        <w:rPr>
          <w:b/>
          <w:bCs/>
        </w:rPr>
        <w:t>942</w:t>
      </w:r>
      <w:r w:rsidRPr="0000085C">
        <w:t xml:space="preserve"> periods of support to </w:t>
      </w:r>
      <w:r w:rsidRPr="001B5146">
        <w:rPr>
          <w:b/>
          <w:bCs/>
        </w:rPr>
        <w:t>1,</w:t>
      </w:r>
      <w:r>
        <w:rPr>
          <w:b/>
          <w:bCs/>
        </w:rPr>
        <w:t>765</w:t>
      </w:r>
      <w:r w:rsidRPr="0000085C">
        <w:t xml:space="preserve"> people or families (</w:t>
      </w:r>
      <w:r>
        <w:t xml:space="preserve">people </w:t>
      </w:r>
      <w:r w:rsidR="00006A94">
        <w:t>supported</w:t>
      </w:r>
      <w:r w:rsidRPr="0000085C">
        <w:t xml:space="preserve"> </w:t>
      </w:r>
      <w:r>
        <w:t>up 41</w:t>
      </w:r>
      <w:r w:rsidRPr="0000085C">
        <w:t>%)</w:t>
      </w:r>
    </w:p>
    <w:p w14:paraId="76371B9F" w14:textId="77777777" w:rsidR="009F3010" w:rsidRPr="0000085C" w:rsidRDefault="009F3010" w:rsidP="00E65C7D">
      <w:pPr>
        <w:pStyle w:val="Bullets"/>
      </w:pPr>
      <w:r w:rsidRPr="0000085C">
        <w:t xml:space="preserve">provided over </w:t>
      </w:r>
      <w:r w:rsidRPr="001B5146">
        <w:rPr>
          <w:b/>
          <w:bCs/>
        </w:rPr>
        <w:t>$</w:t>
      </w:r>
      <w:r>
        <w:rPr>
          <w:b/>
          <w:bCs/>
        </w:rPr>
        <w:t>333</w:t>
      </w:r>
      <w:r w:rsidRPr="001B5146">
        <w:rPr>
          <w:b/>
          <w:bCs/>
        </w:rPr>
        <w:t>,000</w:t>
      </w:r>
      <w:r w:rsidRPr="0000085C">
        <w:t xml:space="preserve"> in financial assistance to:</w:t>
      </w:r>
    </w:p>
    <w:p w14:paraId="3B2B97BA" w14:textId="77777777" w:rsidR="009F3010" w:rsidRPr="0000085C" w:rsidRDefault="009F3010" w:rsidP="00792BD3">
      <w:pPr>
        <w:pStyle w:val="Bulletindent"/>
        <w:ind w:left="992" w:right="-45"/>
        <w:contextualSpacing/>
      </w:pPr>
      <w:r w:rsidRPr="0000085C">
        <w:t xml:space="preserve">fund emergency accommodation </w:t>
      </w:r>
    </w:p>
    <w:p w14:paraId="126882E1" w14:textId="77777777" w:rsidR="009F3010" w:rsidRPr="0000085C" w:rsidRDefault="009F3010" w:rsidP="00792BD3">
      <w:pPr>
        <w:pStyle w:val="Bulletindent"/>
        <w:ind w:left="992" w:right="-45"/>
        <w:contextualSpacing/>
      </w:pPr>
      <w:r w:rsidRPr="0000085C">
        <w:t>help people to establish or maintain a tenancy</w:t>
      </w:r>
    </w:p>
    <w:p w14:paraId="4E71B014" w14:textId="77777777" w:rsidR="009F3010" w:rsidRPr="0000085C" w:rsidRDefault="009F3010" w:rsidP="00792BD3">
      <w:pPr>
        <w:pStyle w:val="Bulletindent"/>
        <w:ind w:left="992" w:right="-45"/>
        <w:contextualSpacing/>
      </w:pPr>
      <w:r w:rsidRPr="0000085C">
        <w:t>enable people to access training, education or employment</w:t>
      </w:r>
    </w:p>
    <w:p w14:paraId="7A7CCDE6" w14:textId="77777777" w:rsidR="009F3010" w:rsidRPr="0000085C" w:rsidRDefault="009F3010" w:rsidP="00792BD3">
      <w:pPr>
        <w:pStyle w:val="Bulletindent"/>
        <w:ind w:left="992" w:right="-45"/>
        <w:contextualSpacing/>
      </w:pPr>
      <w:r w:rsidRPr="0000085C">
        <w:t>help people access other specialist services.</w:t>
      </w:r>
    </w:p>
    <w:p w14:paraId="20F3DA35" w14:textId="77777777" w:rsidR="009F3010" w:rsidRPr="004C416F" w:rsidRDefault="009F3010" w:rsidP="0006000D">
      <w:pPr>
        <w:pStyle w:val="Bullets"/>
        <w:rPr>
          <w:rFonts w:eastAsia="AvenirNextLTPro-Demi"/>
        </w:rPr>
      </w:pPr>
      <w:r>
        <w:t xml:space="preserve">responded to </w:t>
      </w:r>
      <w:r>
        <w:rPr>
          <w:b/>
          <w:bCs/>
        </w:rPr>
        <w:t xml:space="preserve">347 </w:t>
      </w:r>
      <w:r w:rsidRPr="001E6DC7">
        <w:t>n</w:t>
      </w:r>
      <w:r>
        <w:t xml:space="preserve">ew applications for private rental assistance </w:t>
      </w:r>
    </w:p>
    <w:p w14:paraId="4606DB3A" w14:textId="77777777" w:rsidR="009F3010" w:rsidRDefault="009F3010" w:rsidP="0006000D">
      <w:pPr>
        <w:pStyle w:val="Bullets"/>
      </w:pPr>
      <w:r>
        <w:t xml:space="preserve">met </w:t>
      </w:r>
      <w:r w:rsidRPr="001B5146">
        <w:rPr>
          <w:b/>
          <w:bCs/>
        </w:rPr>
        <w:t>9</w:t>
      </w:r>
      <w:r>
        <w:rPr>
          <w:b/>
          <w:bCs/>
        </w:rPr>
        <w:t>3</w:t>
      </w:r>
      <w:r w:rsidRPr="001B5146">
        <w:rPr>
          <w:b/>
          <w:bCs/>
        </w:rPr>
        <w:t>%</w:t>
      </w:r>
      <w:r>
        <w:t xml:space="preserve"> of client needs for support services other than housing </w:t>
      </w:r>
    </w:p>
    <w:p w14:paraId="10150DD9" w14:textId="77777777" w:rsidR="009F3010" w:rsidRDefault="009F3010" w:rsidP="0006000D">
      <w:pPr>
        <w:pStyle w:val="Bullets"/>
      </w:pPr>
      <w:r>
        <w:t xml:space="preserve">met </w:t>
      </w:r>
      <w:r>
        <w:rPr>
          <w:b/>
          <w:bCs/>
        </w:rPr>
        <w:t>15</w:t>
      </w:r>
      <w:r w:rsidRPr="001B5146">
        <w:rPr>
          <w:b/>
          <w:bCs/>
        </w:rPr>
        <w:t>%</w:t>
      </w:r>
      <w:r>
        <w:t xml:space="preserve"> of client needs for housing </w:t>
      </w:r>
    </w:p>
    <w:p w14:paraId="12C10624" w14:textId="77777777" w:rsidR="009F3010" w:rsidRPr="00A71948" w:rsidRDefault="009F3010" w:rsidP="00A71948">
      <w:pPr>
        <w:pStyle w:val="Bullets"/>
      </w:pPr>
      <w:r>
        <w:t xml:space="preserve">received an average rating of </w:t>
      </w:r>
      <w:r w:rsidRPr="001B5146">
        <w:rPr>
          <w:b/>
          <w:bCs/>
        </w:rPr>
        <w:t>4.9</w:t>
      </w:r>
      <w:r>
        <w:t>/5.0 for client satisfaction with support and services</w:t>
      </w:r>
    </w:p>
    <w:p w14:paraId="1215516C" w14:textId="77777777" w:rsidR="009F3010" w:rsidRPr="00A8755B" w:rsidRDefault="009F3010" w:rsidP="00A8755B">
      <w:pPr>
        <w:pStyle w:val="BodyText"/>
      </w:pPr>
    </w:p>
    <w:p w14:paraId="56E15481" w14:textId="77777777" w:rsidR="009F3010" w:rsidRPr="00342035" w:rsidRDefault="009F3010" w:rsidP="0006000D">
      <w:pPr>
        <w:pStyle w:val="Bullets"/>
        <w:rPr>
          <w:rFonts w:ascii="Avenir Next Demi Bold" w:eastAsia="AvenirNextLTPro-Demi" w:hAnsi="Avenir Next Demi Bold" w:cs="AvenirNextLTPro-Demi"/>
          <w:color w:val="248EB9"/>
          <w:spacing w:val="-6"/>
          <w:sz w:val="36"/>
          <w:szCs w:val="36"/>
        </w:rPr>
      </w:pPr>
      <w:r w:rsidRPr="00342035">
        <w:br w:type="page"/>
      </w:r>
    </w:p>
    <w:p w14:paraId="1D73C284" w14:textId="77777777" w:rsidR="009F3010" w:rsidRPr="004551F5" w:rsidRDefault="009F3010" w:rsidP="00B5112F">
      <w:pPr>
        <w:pStyle w:val="Heading1"/>
      </w:pPr>
      <w:bookmarkStart w:id="0" w:name="_Hlk178520408"/>
      <w:r>
        <w:lastRenderedPageBreak/>
        <w:t>Half of households cannot afford a private rental</w:t>
      </w:r>
    </w:p>
    <w:p w14:paraId="7CF9F9C5" w14:textId="17A706CC" w:rsidR="009F3010" w:rsidRPr="00B5112F" w:rsidRDefault="009F3010" w:rsidP="006A0C17">
      <w:pPr>
        <w:widowControl/>
        <w:adjustRightInd w:val="0"/>
        <w:spacing w:before="0"/>
        <w:rPr>
          <w:rFonts w:eastAsia="Times New Roman" w:cs="Calibri"/>
          <w:b/>
          <w:bCs/>
          <w:szCs w:val="24"/>
          <w:lang w:val="en-AU"/>
        </w:rPr>
      </w:pPr>
      <w:hyperlink r:id="rId8" w:history="1">
        <w:r w:rsidRPr="00067990">
          <w:rPr>
            <w:rStyle w:val="Hyperlink"/>
            <w:rFonts w:ascii="Avenir Next" w:eastAsia="Times New Roman" w:hAnsi="Avenir Next" w:cs="Calibri"/>
            <w:szCs w:val="24"/>
            <w:lang w:val="en-AU"/>
          </w:rPr>
          <w:t>The Wellbeing Framework</w:t>
        </w:r>
      </w:hyperlink>
      <w:r>
        <w:rPr>
          <w:rFonts w:eastAsia="Times New Roman" w:cs="Calibri"/>
          <w:szCs w:val="24"/>
          <w:lang w:val="en-AU"/>
        </w:rPr>
        <w:t xml:space="preserve">, released by the Tasmanian Government in November 2025, describes a shared vision of what really matters to Tasmanians. This includes </w:t>
      </w:r>
      <w:r w:rsidRPr="006A0C17">
        <w:rPr>
          <w:rFonts w:eastAsia="Times New Roman" w:cs="Calibri"/>
          <w:szCs w:val="24"/>
          <w:lang w:val="en-AU"/>
        </w:rPr>
        <w:t>Tasmanians hav</w:t>
      </w:r>
      <w:r>
        <w:rPr>
          <w:rFonts w:eastAsia="Times New Roman" w:cs="Calibri"/>
          <w:szCs w:val="24"/>
          <w:lang w:val="en-AU"/>
        </w:rPr>
        <w:t xml:space="preserve">ing </w:t>
      </w:r>
      <w:r w:rsidRPr="006A0C17">
        <w:rPr>
          <w:rFonts w:eastAsia="Times New Roman" w:cs="Calibri"/>
          <w:szCs w:val="24"/>
          <w:lang w:val="en-AU"/>
        </w:rPr>
        <w:t>access to safe, appropriate, and affordable housing in well-designed communities and places</w:t>
      </w:r>
      <w:r>
        <w:rPr>
          <w:rFonts w:eastAsia="Times New Roman" w:cs="Calibri"/>
          <w:szCs w:val="24"/>
          <w:lang w:val="en-AU"/>
        </w:rPr>
        <w:t xml:space="preserve"> in which</w:t>
      </w:r>
      <w:r w:rsidRPr="006A0C17">
        <w:rPr>
          <w:rFonts w:eastAsia="Times New Roman" w:cs="Calibri"/>
          <w:szCs w:val="24"/>
          <w:lang w:val="en-AU"/>
        </w:rPr>
        <w:t>:</w:t>
      </w:r>
    </w:p>
    <w:p w14:paraId="1CF00722" w14:textId="23D0466F" w:rsidR="009F3010" w:rsidRPr="00B5112F" w:rsidRDefault="009F3010" w:rsidP="00B5112F">
      <w:pPr>
        <w:pStyle w:val="Bullets"/>
      </w:pPr>
      <w:r>
        <w:t>e</w:t>
      </w:r>
      <w:r w:rsidRPr="00B5112F">
        <w:t xml:space="preserve">veryone has a safe place to call home </w:t>
      </w:r>
    </w:p>
    <w:p w14:paraId="3F4E73E6" w14:textId="082AC916" w:rsidR="009F3010" w:rsidRPr="00B5112F" w:rsidRDefault="009F3010" w:rsidP="00B5112F">
      <w:pPr>
        <w:pStyle w:val="Bullets"/>
      </w:pPr>
      <w:r>
        <w:t>r</w:t>
      </w:r>
      <w:r w:rsidRPr="00B5112F">
        <w:t xml:space="preserve">ental housing is affordable and available </w:t>
      </w:r>
    </w:p>
    <w:p w14:paraId="3FC12282" w14:textId="77777777" w:rsidR="009F3010" w:rsidRPr="00B5112F" w:rsidRDefault="009F3010" w:rsidP="00B5112F">
      <w:pPr>
        <w:pStyle w:val="Bullets"/>
      </w:pPr>
      <w:r w:rsidRPr="00B5112F">
        <w:t xml:space="preserve">Tasmanians can afford their housing without financial stress </w:t>
      </w:r>
    </w:p>
    <w:p w14:paraId="6F55BAE7" w14:textId="6C710806" w:rsidR="009F3010" w:rsidRPr="00B5112F" w:rsidRDefault="009F3010" w:rsidP="00B5112F">
      <w:pPr>
        <w:pStyle w:val="Bullets"/>
      </w:pPr>
      <w:r>
        <w:t>d</w:t>
      </w:r>
      <w:r w:rsidRPr="00B5112F">
        <w:t xml:space="preserve">iverse housing options meet the needs of different households and life stages </w:t>
      </w:r>
    </w:p>
    <w:p w14:paraId="46F01C6A" w14:textId="474DCB1F" w:rsidR="009F3010" w:rsidRPr="00714F09" w:rsidRDefault="009F3010" w:rsidP="00B5112F">
      <w:pPr>
        <w:pStyle w:val="Bullets"/>
      </w:pPr>
      <w:r>
        <w:t>h</w:t>
      </w:r>
      <w:r w:rsidRPr="00B5112F">
        <w:t>omes are energy-efficient, accessible, and comfortable to live in</w:t>
      </w:r>
      <w:r>
        <w:t>.</w:t>
      </w:r>
      <w:r>
        <w:rPr>
          <w:rStyle w:val="FootnoteReference"/>
        </w:rPr>
        <w:footnoteReference w:id="3"/>
      </w:r>
      <w:r w:rsidRPr="00B5112F">
        <w:t xml:space="preserve"> </w:t>
      </w:r>
    </w:p>
    <w:p w14:paraId="047EE8F3" w14:textId="77777777" w:rsidR="009F3010" w:rsidRDefault="009F3010" w:rsidP="003F7842">
      <w:pPr>
        <w:pStyle w:val="Heading2"/>
      </w:pPr>
      <w:r>
        <w:t>Household income needed to afford private housing in Tasmania</w:t>
      </w:r>
    </w:p>
    <w:p w14:paraId="13BB6EF9" w14:textId="003FA05E" w:rsidR="009F3010" w:rsidRPr="006B0CE8" w:rsidRDefault="009F3010" w:rsidP="006B0CE8">
      <w:pPr>
        <w:widowControl/>
        <w:autoSpaceDE/>
        <w:autoSpaceDN/>
        <w:spacing w:before="0" w:after="160" w:line="259" w:lineRule="auto"/>
      </w:pPr>
      <w:r>
        <w:t>A household in Tasmania now needs an income of $6</w:t>
      </w:r>
      <w:r w:rsidR="00006A94">
        <w:t>4</w:t>
      </w:r>
      <w:r>
        <w:t>,</w:t>
      </w:r>
      <w:r w:rsidR="00006A94">
        <w:t>1</w:t>
      </w:r>
      <w:r>
        <w:t>00 to afford the median rent for a one-bedroom private rental. In June 2025, $131,000 was reported as the minimum household income needed to purchase a median value dwelling in Hobart.</w:t>
      </w:r>
      <w:r>
        <w:rPr>
          <w:rStyle w:val="FootnoteReference"/>
        </w:rPr>
        <w:footnoteReference w:id="4"/>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880"/>
        <w:gridCol w:w="2003"/>
        <w:gridCol w:w="1880"/>
      </w:tblGrid>
      <w:tr w:rsidR="009F3010" w14:paraId="280A1B18" w14:textId="77777777" w:rsidTr="00B5112F">
        <w:trPr>
          <w:trHeight w:val="1293"/>
        </w:trPr>
        <w:tc>
          <w:tcPr>
            <w:tcW w:w="3539" w:type="dxa"/>
            <w:shd w:val="clear" w:color="auto" w:fill="FFFFFF" w:themeFill="background1"/>
          </w:tcPr>
          <w:p w14:paraId="189CFEE1" w14:textId="77777777" w:rsidR="009F3010" w:rsidRDefault="009F3010">
            <w:pPr>
              <w:widowControl/>
              <w:autoSpaceDE/>
              <w:autoSpaceDN/>
              <w:spacing w:before="0" w:after="160" w:line="259" w:lineRule="auto"/>
            </w:pPr>
          </w:p>
          <w:p w14:paraId="59EACEF6" w14:textId="77777777" w:rsidR="009F3010" w:rsidRDefault="009F3010">
            <w:pPr>
              <w:widowControl/>
              <w:autoSpaceDE/>
              <w:autoSpaceDN/>
              <w:spacing w:before="0" w:after="160" w:line="259" w:lineRule="auto"/>
            </w:pPr>
            <w:r>
              <w:rPr>
                <w:rFonts w:ascii="Avenir Next LT Pro Demi" w:hAnsi="Avenir Next LT Pro Demi"/>
                <w:b/>
                <w:bCs/>
              </w:rPr>
              <w:t>Number of b</w:t>
            </w:r>
            <w:r w:rsidRPr="00BB34F7">
              <w:rPr>
                <w:rFonts w:ascii="Avenir Next LT Pro Demi" w:hAnsi="Avenir Next LT Pro Demi"/>
                <w:b/>
                <w:bCs/>
              </w:rPr>
              <w:t>edrooms</w:t>
            </w:r>
          </w:p>
        </w:tc>
        <w:tc>
          <w:tcPr>
            <w:tcW w:w="1985" w:type="dxa"/>
            <w:shd w:val="clear" w:color="auto" w:fill="FFFFFF" w:themeFill="background1"/>
            <w:vAlign w:val="center"/>
          </w:tcPr>
          <w:p w14:paraId="20128950" w14:textId="77777777" w:rsidR="009F3010" w:rsidRDefault="009F3010" w:rsidP="00D948CF">
            <w:pPr>
              <w:widowControl/>
              <w:autoSpaceDE/>
              <w:autoSpaceDN/>
              <w:spacing w:before="0" w:after="160" w:line="259" w:lineRule="auto"/>
            </w:pPr>
            <w:r w:rsidRPr="00BB34F7">
              <w:rPr>
                <w:noProof/>
              </w:rPr>
              <w:drawing>
                <wp:anchor distT="0" distB="0" distL="114300" distR="114300" simplePos="0" relativeHeight="251661312" behindDoc="0" locked="0" layoutInCell="1" allowOverlap="1" wp14:anchorId="600D8059" wp14:editId="447D5C4E">
                  <wp:simplePos x="0" y="0"/>
                  <wp:positionH relativeFrom="column">
                    <wp:posOffset>248285</wp:posOffset>
                  </wp:positionH>
                  <wp:positionV relativeFrom="paragraph">
                    <wp:posOffset>159385</wp:posOffset>
                  </wp:positionV>
                  <wp:extent cx="727075" cy="624840"/>
                  <wp:effectExtent l="0" t="0" r="0" b="3810"/>
                  <wp:wrapNone/>
                  <wp:docPr id="1467906905" name="Picture 1" descr="1 bedro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06905" name="Picture 1" descr="1 bedroom house"/>
                          <pic:cNvPicPr/>
                        </pic:nvPicPr>
                        <pic:blipFill>
                          <a:blip r:embed="rId9">
                            <a:extLst>
                              <a:ext uri="{28A0092B-C50C-407E-A947-70E740481C1C}">
                                <a14:useLocalDpi xmlns:a14="http://schemas.microsoft.com/office/drawing/2010/main" val="0"/>
                              </a:ext>
                            </a:extLst>
                          </a:blip>
                          <a:stretch>
                            <a:fillRect/>
                          </a:stretch>
                        </pic:blipFill>
                        <pic:spPr>
                          <a:xfrm>
                            <a:off x="0" y="0"/>
                            <a:ext cx="727075" cy="624840"/>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shd w:val="clear" w:color="auto" w:fill="FFFFFF" w:themeFill="background1"/>
          </w:tcPr>
          <w:p w14:paraId="022A82A8" w14:textId="77777777" w:rsidR="009F3010" w:rsidRDefault="009F3010">
            <w:pPr>
              <w:widowControl/>
              <w:autoSpaceDE/>
              <w:autoSpaceDN/>
              <w:spacing w:before="0" w:after="160" w:line="259" w:lineRule="auto"/>
            </w:pPr>
            <w:r w:rsidRPr="00BB34F7">
              <w:rPr>
                <w:noProof/>
              </w:rPr>
              <w:drawing>
                <wp:anchor distT="0" distB="0" distL="114300" distR="114300" simplePos="0" relativeHeight="251660288" behindDoc="0" locked="0" layoutInCell="1" allowOverlap="1" wp14:anchorId="3B7C7AE1" wp14:editId="0A27B91D">
                  <wp:simplePos x="0" y="0"/>
                  <wp:positionH relativeFrom="column">
                    <wp:posOffset>307213</wp:posOffset>
                  </wp:positionH>
                  <wp:positionV relativeFrom="page">
                    <wp:posOffset>160629</wp:posOffset>
                  </wp:positionV>
                  <wp:extent cx="705080" cy="643471"/>
                  <wp:effectExtent l="0" t="0" r="0" b="4445"/>
                  <wp:wrapNone/>
                  <wp:docPr id="2010012196" name="Picture 1" descr="2 bedro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12196" name="Picture 1" descr="2 bedroom house"/>
                          <pic:cNvPicPr/>
                        </pic:nvPicPr>
                        <pic:blipFill>
                          <a:blip r:embed="rId10">
                            <a:extLst>
                              <a:ext uri="{28A0092B-C50C-407E-A947-70E740481C1C}">
                                <a14:useLocalDpi xmlns:a14="http://schemas.microsoft.com/office/drawing/2010/main" val="0"/>
                              </a:ext>
                            </a:extLst>
                          </a:blip>
                          <a:stretch>
                            <a:fillRect/>
                          </a:stretch>
                        </pic:blipFill>
                        <pic:spPr>
                          <a:xfrm>
                            <a:off x="0" y="0"/>
                            <a:ext cx="705080" cy="643471"/>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shd w:val="clear" w:color="auto" w:fill="FFFFFF" w:themeFill="background1"/>
          </w:tcPr>
          <w:p w14:paraId="33E30A2C" w14:textId="77777777" w:rsidR="009F3010" w:rsidRDefault="009F3010">
            <w:pPr>
              <w:widowControl/>
              <w:autoSpaceDE/>
              <w:autoSpaceDN/>
              <w:spacing w:before="0" w:after="160" w:line="259" w:lineRule="auto"/>
            </w:pPr>
            <w:r w:rsidRPr="00BB34F7">
              <w:rPr>
                <w:noProof/>
              </w:rPr>
              <w:drawing>
                <wp:anchor distT="0" distB="0" distL="114300" distR="114300" simplePos="0" relativeHeight="251659264" behindDoc="0" locked="0" layoutInCell="1" allowOverlap="1" wp14:anchorId="020EA830" wp14:editId="618ECBB7">
                  <wp:simplePos x="0" y="0"/>
                  <wp:positionH relativeFrom="column">
                    <wp:posOffset>243053</wp:posOffset>
                  </wp:positionH>
                  <wp:positionV relativeFrom="page">
                    <wp:posOffset>154610</wp:posOffset>
                  </wp:positionV>
                  <wp:extent cx="683045" cy="623361"/>
                  <wp:effectExtent l="0" t="0" r="3175" b="5715"/>
                  <wp:wrapNone/>
                  <wp:docPr id="1273828368" name="Picture 1" descr="3 bedroom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28368" name="Picture 1" descr="3 bedroom house"/>
                          <pic:cNvPicPr/>
                        </pic:nvPicPr>
                        <pic:blipFill>
                          <a:blip r:embed="rId11">
                            <a:extLst>
                              <a:ext uri="{28A0092B-C50C-407E-A947-70E740481C1C}">
                                <a14:useLocalDpi xmlns:a14="http://schemas.microsoft.com/office/drawing/2010/main" val="0"/>
                              </a:ext>
                            </a:extLst>
                          </a:blip>
                          <a:stretch>
                            <a:fillRect/>
                          </a:stretch>
                        </pic:blipFill>
                        <pic:spPr>
                          <a:xfrm>
                            <a:off x="0" y="0"/>
                            <a:ext cx="683045" cy="623361"/>
                          </a:xfrm>
                          <a:prstGeom prst="rect">
                            <a:avLst/>
                          </a:prstGeom>
                        </pic:spPr>
                      </pic:pic>
                    </a:graphicData>
                  </a:graphic>
                  <wp14:sizeRelH relativeFrom="margin">
                    <wp14:pctWidth>0</wp14:pctWidth>
                  </wp14:sizeRelH>
                  <wp14:sizeRelV relativeFrom="margin">
                    <wp14:pctHeight>0</wp14:pctHeight>
                  </wp14:sizeRelV>
                </wp:anchor>
              </w:drawing>
            </w:r>
          </w:p>
        </w:tc>
      </w:tr>
      <w:tr w:rsidR="009F3010" w14:paraId="434AE38D" w14:textId="77777777" w:rsidTr="005124CC">
        <w:tc>
          <w:tcPr>
            <w:tcW w:w="3539" w:type="dxa"/>
            <w:vAlign w:val="center"/>
          </w:tcPr>
          <w:p w14:paraId="26BE41C9" w14:textId="77777777" w:rsidR="009F3010" w:rsidRPr="00BB34F7" w:rsidRDefault="009F3010" w:rsidP="00BB34F7">
            <w:pPr>
              <w:widowControl/>
              <w:autoSpaceDE/>
              <w:autoSpaceDN/>
              <w:spacing w:line="259" w:lineRule="auto"/>
              <w:rPr>
                <w:rFonts w:ascii="Avenir Next LT Pro Demi" w:hAnsi="Avenir Next LT Pro Demi"/>
                <w:b/>
                <w:bCs/>
              </w:rPr>
            </w:pPr>
            <w:r>
              <w:rPr>
                <w:rFonts w:ascii="Avenir Next LT Pro Demi" w:hAnsi="Avenir Next LT Pro Demi"/>
                <w:b/>
                <w:bCs/>
              </w:rPr>
              <w:t>Median r</w:t>
            </w:r>
            <w:r w:rsidRPr="00BB34F7">
              <w:rPr>
                <w:rFonts w:ascii="Avenir Next LT Pro Demi" w:hAnsi="Avenir Next LT Pro Demi"/>
                <w:b/>
                <w:bCs/>
              </w:rPr>
              <w:t>ent per week</w:t>
            </w:r>
          </w:p>
        </w:tc>
        <w:tc>
          <w:tcPr>
            <w:tcW w:w="1985" w:type="dxa"/>
            <w:vAlign w:val="center"/>
          </w:tcPr>
          <w:p w14:paraId="6BEE7C3B" w14:textId="76D6474C" w:rsidR="009F3010" w:rsidRPr="00B5112F" w:rsidRDefault="009F3010" w:rsidP="00BB34F7">
            <w:pPr>
              <w:widowControl/>
              <w:autoSpaceDE/>
              <w:autoSpaceDN/>
              <w:spacing w:line="259" w:lineRule="auto"/>
              <w:jc w:val="center"/>
              <w:rPr>
                <w:b/>
                <w:bCs/>
                <w:sz w:val="28"/>
                <w:szCs w:val="26"/>
              </w:rPr>
            </w:pPr>
            <w:r w:rsidRPr="00B5112F">
              <w:rPr>
                <w:b/>
                <w:bCs/>
                <w:sz w:val="28"/>
                <w:szCs w:val="26"/>
              </w:rPr>
              <w:t>$3</w:t>
            </w:r>
            <w:r w:rsidR="00006A94">
              <w:rPr>
                <w:b/>
                <w:bCs/>
                <w:sz w:val="28"/>
                <w:szCs w:val="26"/>
              </w:rPr>
              <w:t>7</w:t>
            </w:r>
            <w:r w:rsidRPr="00B5112F">
              <w:rPr>
                <w:b/>
                <w:bCs/>
                <w:sz w:val="28"/>
                <w:szCs w:val="26"/>
              </w:rPr>
              <w:t>0</w:t>
            </w:r>
            <w:r>
              <w:rPr>
                <w:rStyle w:val="FootnoteReference"/>
                <w:b/>
                <w:bCs/>
                <w:sz w:val="28"/>
                <w:szCs w:val="26"/>
              </w:rPr>
              <w:footnoteReference w:id="5"/>
            </w:r>
          </w:p>
        </w:tc>
        <w:tc>
          <w:tcPr>
            <w:tcW w:w="2126" w:type="dxa"/>
            <w:vAlign w:val="center"/>
          </w:tcPr>
          <w:p w14:paraId="3720D6D3" w14:textId="77777777" w:rsidR="009F3010" w:rsidRPr="00B5112F" w:rsidRDefault="009F3010" w:rsidP="00BB34F7">
            <w:pPr>
              <w:widowControl/>
              <w:autoSpaceDE/>
              <w:autoSpaceDN/>
              <w:spacing w:line="259" w:lineRule="auto"/>
              <w:jc w:val="center"/>
              <w:rPr>
                <w:sz w:val="28"/>
                <w:szCs w:val="26"/>
              </w:rPr>
            </w:pPr>
            <w:r w:rsidRPr="00B5112F">
              <w:rPr>
                <w:b/>
                <w:bCs/>
                <w:sz w:val="28"/>
                <w:szCs w:val="26"/>
              </w:rPr>
              <w:t>$440</w:t>
            </w:r>
            <w:r>
              <w:rPr>
                <w:rStyle w:val="FootnoteReference"/>
                <w:b/>
                <w:bCs/>
                <w:sz w:val="28"/>
                <w:szCs w:val="26"/>
              </w:rPr>
              <w:footnoteReference w:id="6"/>
            </w:r>
          </w:p>
        </w:tc>
        <w:tc>
          <w:tcPr>
            <w:tcW w:w="1985" w:type="dxa"/>
            <w:vAlign w:val="center"/>
          </w:tcPr>
          <w:p w14:paraId="01DE2C01" w14:textId="77777777" w:rsidR="009F3010" w:rsidRPr="00B5112F" w:rsidRDefault="009F3010" w:rsidP="00D948CF">
            <w:pPr>
              <w:widowControl/>
              <w:autoSpaceDE/>
              <w:autoSpaceDN/>
              <w:spacing w:line="259" w:lineRule="auto"/>
              <w:jc w:val="center"/>
              <w:rPr>
                <w:sz w:val="28"/>
                <w:szCs w:val="26"/>
              </w:rPr>
            </w:pPr>
            <w:r w:rsidRPr="00B5112F">
              <w:rPr>
                <w:b/>
                <w:bCs/>
                <w:sz w:val="28"/>
                <w:szCs w:val="26"/>
              </w:rPr>
              <w:t>$510</w:t>
            </w:r>
            <w:r>
              <w:rPr>
                <w:rStyle w:val="FootnoteReference"/>
                <w:b/>
                <w:bCs/>
                <w:sz w:val="28"/>
                <w:szCs w:val="26"/>
              </w:rPr>
              <w:footnoteReference w:id="7"/>
            </w:r>
          </w:p>
        </w:tc>
      </w:tr>
      <w:tr w:rsidR="009F3010" w14:paraId="437392EB" w14:textId="77777777" w:rsidTr="005124CC">
        <w:tc>
          <w:tcPr>
            <w:tcW w:w="3539" w:type="dxa"/>
            <w:vAlign w:val="center"/>
          </w:tcPr>
          <w:p w14:paraId="2B08731D" w14:textId="77777777" w:rsidR="009F3010" w:rsidRDefault="009F3010" w:rsidP="00BB34F7">
            <w:pPr>
              <w:widowControl/>
              <w:autoSpaceDE/>
              <w:autoSpaceDN/>
              <w:spacing w:line="259" w:lineRule="auto"/>
            </w:pPr>
            <w:r>
              <w:rPr>
                <w:rFonts w:ascii="Avenir Next LT Pro Demi" w:hAnsi="Avenir Next LT Pro Demi"/>
                <w:b/>
                <w:bCs/>
              </w:rPr>
              <w:t xml:space="preserve">Household income needed </w:t>
            </w:r>
          </w:p>
        </w:tc>
        <w:tc>
          <w:tcPr>
            <w:tcW w:w="1985" w:type="dxa"/>
            <w:vAlign w:val="center"/>
          </w:tcPr>
          <w:p w14:paraId="7E34F6AC" w14:textId="003BB46C" w:rsidR="009F3010" w:rsidRPr="00B5112F" w:rsidRDefault="009F3010" w:rsidP="00D948CF">
            <w:pPr>
              <w:widowControl/>
              <w:autoSpaceDE/>
              <w:autoSpaceDN/>
              <w:spacing w:line="259" w:lineRule="auto"/>
              <w:jc w:val="center"/>
              <w:rPr>
                <w:b/>
                <w:bCs/>
                <w:sz w:val="28"/>
                <w:szCs w:val="26"/>
              </w:rPr>
            </w:pPr>
            <w:r w:rsidRPr="00B5112F">
              <w:rPr>
                <w:b/>
                <w:bCs/>
                <w:sz w:val="28"/>
                <w:szCs w:val="26"/>
              </w:rPr>
              <w:t>$6</w:t>
            </w:r>
            <w:r w:rsidR="00006A94">
              <w:rPr>
                <w:b/>
                <w:bCs/>
                <w:sz w:val="28"/>
                <w:szCs w:val="26"/>
              </w:rPr>
              <w:t>4</w:t>
            </w:r>
            <w:r w:rsidRPr="00B5112F">
              <w:rPr>
                <w:b/>
                <w:bCs/>
                <w:sz w:val="28"/>
                <w:szCs w:val="26"/>
              </w:rPr>
              <w:t>,</w:t>
            </w:r>
            <w:r w:rsidR="00006A94">
              <w:rPr>
                <w:b/>
                <w:bCs/>
                <w:sz w:val="28"/>
                <w:szCs w:val="26"/>
              </w:rPr>
              <w:t>1</w:t>
            </w:r>
            <w:r w:rsidRPr="00B5112F">
              <w:rPr>
                <w:b/>
                <w:bCs/>
                <w:sz w:val="28"/>
                <w:szCs w:val="26"/>
              </w:rPr>
              <w:t>00</w:t>
            </w:r>
          </w:p>
        </w:tc>
        <w:tc>
          <w:tcPr>
            <w:tcW w:w="2126" w:type="dxa"/>
            <w:vAlign w:val="center"/>
          </w:tcPr>
          <w:p w14:paraId="50E82E34" w14:textId="77777777" w:rsidR="009F3010" w:rsidRPr="00B5112F" w:rsidRDefault="009F3010" w:rsidP="00D948CF">
            <w:pPr>
              <w:widowControl/>
              <w:autoSpaceDE/>
              <w:autoSpaceDN/>
              <w:spacing w:line="259" w:lineRule="auto"/>
              <w:jc w:val="center"/>
              <w:rPr>
                <w:b/>
                <w:bCs/>
                <w:sz w:val="28"/>
                <w:szCs w:val="26"/>
              </w:rPr>
            </w:pPr>
            <w:r w:rsidRPr="00B5112F">
              <w:rPr>
                <w:b/>
                <w:bCs/>
                <w:sz w:val="28"/>
                <w:szCs w:val="26"/>
              </w:rPr>
              <w:t>$76,300</w:t>
            </w:r>
          </w:p>
        </w:tc>
        <w:tc>
          <w:tcPr>
            <w:tcW w:w="1985" w:type="dxa"/>
            <w:vAlign w:val="center"/>
          </w:tcPr>
          <w:p w14:paraId="76415555" w14:textId="77777777" w:rsidR="009F3010" w:rsidRPr="00B5112F" w:rsidRDefault="009F3010" w:rsidP="00D948CF">
            <w:pPr>
              <w:widowControl/>
              <w:autoSpaceDE/>
              <w:autoSpaceDN/>
              <w:spacing w:line="259" w:lineRule="auto"/>
              <w:jc w:val="center"/>
              <w:rPr>
                <w:b/>
                <w:bCs/>
                <w:sz w:val="28"/>
                <w:szCs w:val="26"/>
              </w:rPr>
            </w:pPr>
            <w:r w:rsidRPr="00B5112F">
              <w:rPr>
                <w:b/>
                <w:bCs/>
                <w:sz w:val="28"/>
                <w:szCs w:val="26"/>
              </w:rPr>
              <w:t>$88,400</w:t>
            </w:r>
          </w:p>
        </w:tc>
      </w:tr>
    </w:tbl>
    <w:p w14:paraId="43D810B8" w14:textId="77777777" w:rsidR="009F3010" w:rsidRDefault="009F3010" w:rsidP="00B802B5">
      <w:pPr>
        <w:widowControl/>
        <w:autoSpaceDE/>
        <w:autoSpaceDN/>
        <w:spacing w:before="0" w:after="160" w:line="259" w:lineRule="auto"/>
      </w:pPr>
    </w:p>
    <w:p w14:paraId="53064A65" w14:textId="0B465370" w:rsidR="009F3010" w:rsidRDefault="009F3010" w:rsidP="00B5112F">
      <w:pPr>
        <w:widowControl/>
        <w:autoSpaceDE/>
        <w:autoSpaceDN/>
        <w:spacing w:before="0" w:after="160" w:line="259" w:lineRule="auto"/>
      </w:pPr>
      <w:r>
        <w:t xml:space="preserve">In Tasmania, over 115,000 households (53% of households) have an equivalised income of $60,400 or less and would not be able to afford the median rent for a one-bedroom rental in the private market </w:t>
      </w:r>
      <w:r w:rsidRPr="008E32DF">
        <w:t>(</w:t>
      </w:r>
      <w:r w:rsidRPr="00955CB5">
        <w:rPr>
          <w:b/>
          <w:bCs/>
          <w:color w:val="0B769F" w:themeColor="accent4" w:themeShade="BF"/>
        </w:rPr>
        <w:t xml:space="preserve">see the </w:t>
      </w:r>
      <w:r w:rsidR="00955CB5" w:rsidRPr="00955CB5">
        <w:rPr>
          <w:b/>
          <w:bCs/>
          <w:color w:val="0B769F" w:themeColor="accent4" w:themeShade="BF"/>
        </w:rPr>
        <w:t xml:space="preserve">chart </w:t>
      </w:r>
      <w:r w:rsidR="00955CB5" w:rsidRPr="00955CB5">
        <w:rPr>
          <w:b/>
          <w:bCs/>
          <w:color w:val="0B769F" w:themeColor="accent4" w:themeShade="BF"/>
        </w:rPr>
        <w:fldChar w:fldCharType="begin"/>
      </w:r>
      <w:r w:rsidR="00955CB5" w:rsidRPr="00955CB5">
        <w:rPr>
          <w:b/>
          <w:bCs/>
          <w:color w:val="0B769F" w:themeColor="accent4" w:themeShade="BF"/>
        </w:rPr>
        <w:instrText xml:space="preserve"> REF chart \p \h </w:instrText>
      </w:r>
      <w:r w:rsidR="00955CB5">
        <w:rPr>
          <w:b/>
          <w:bCs/>
          <w:color w:val="0B769F" w:themeColor="accent4" w:themeShade="BF"/>
        </w:rPr>
        <w:instrText xml:space="preserve"> \* MERGEFORMAT </w:instrText>
      </w:r>
      <w:r w:rsidR="00955CB5" w:rsidRPr="00955CB5">
        <w:rPr>
          <w:b/>
          <w:bCs/>
          <w:color w:val="0B769F" w:themeColor="accent4" w:themeShade="BF"/>
        </w:rPr>
      </w:r>
      <w:r w:rsidR="00955CB5" w:rsidRPr="00955CB5">
        <w:rPr>
          <w:b/>
          <w:bCs/>
          <w:color w:val="0B769F" w:themeColor="accent4" w:themeShade="BF"/>
        </w:rPr>
        <w:fldChar w:fldCharType="separate"/>
      </w:r>
      <w:r w:rsidR="00955CB5" w:rsidRPr="00955CB5">
        <w:rPr>
          <w:b/>
          <w:bCs/>
          <w:color w:val="0B769F" w:themeColor="accent4" w:themeShade="BF"/>
        </w:rPr>
        <w:t>below</w:t>
      </w:r>
      <w:r w:rsidR="00955CB5" w:rsidRPr="00955CB5">
        <w:rPr>
          <w:b/>
          <w:bCs/>
          <w:color w:val="0B769F" w:themeColor="accent4" w:themeShade="BF"/>
        </w:rPr>
        <w:fldChar w:fldCharType="end"/>
      </w:r>
      <w:r w:rsidR="00955CB5">
        <w:fldChar w:fldCharType="begin"/>
      </w:r>
      <w:r w:rsidR="00955CB5">
        <w:instrText xml:space="preserve"> REF chart \h </w:instrText>
      </w:r>
      <w:r w:rsidR="00955CB5">
        <w:fldChar w:fldCharType="end"/>
      </w:r>
      <w:r>
        <w:t xml:space="preserve">). Most of these low-income households do not own their own home and are at risk of housing stress or homelessness if they are renting in the private market. </w:t>
      </w:r>
    </w:p>
    <w:p w14:paraId="3360DF95" w14:textId="77777777" w:rsidR="009F3010" w:rsidRDefault="009F3010" w:rsidP="006D64F2">
      <w:r>
        <w:t xml:space="preserve">For people on the lowest incomes, meeting housing costs is often their primary focus and </w:t>
      </w:r>
      <w:r>
        <w:lastRenderedPageBreak/>
        <w:t xml:space="preserve">they struggle to afford other basic essentials – see Ann’s story. Home ownership is not an option for them, even with the current assistance available. </w:t>
      </w:r>
    </w:p>
    <w:p w14:paraId="266E1745" w14:textId="77777777" w:rsidR="009F3010" w:rsidRDefault="009F3010" w:rsidP="006D64F2">
      <w:r>
        <w:t xml:space="preserve">Private rental assistance is not suitable for everyone and some people on low incomes with complex needs can struggle to maintain a tenancy without support. </w:t>
      </w:r>
    </w:p>
    <w:p w14:paraId="687F781F" w14:textId="113FBE61" w:rsidR="009F3010" w:rsidRDefault="009F3010" w:rsidP="004C416F">
      <w:r>
        <w:t>Research shows that public housing is a very strong factor in reducing risks of homelessness</w:t>
      </w:r>
      <w:r>
        <w:rPr>
          <w:rStyle w:val="FootnoteReference"/>
        </w:rPr>
        <w:footnoteReference w:id="8"/>
      </w:r>
      <w:r>
        <w:t xml:space="preserve"> and the ‘</w:t>
      </w:r>
      <w:r w:rsidRPr="00EB1EA7">
        <w:t>provision of stable public housing for people experiencing or at risk of homelessness results in reduced health service use</w:t>
      </w:r>
      <w:r>
        <w:t xml:space="preserve"> …</w:t>
      </w:r>
      <w:r w:rsidRPr="00EB1EA7">
        <w:t xml:space="preserve"> and associated cost savings to the health system and public purse</w:t>
      </w:r>
      <w:r>
        <w:t>’.</w:t>
      </w:r>
      <w:r w:rsidR="001A6691" w:rsidRPr="001A6691">
        <w:rPr>
          <w:rStyle w:val="FootnoteReference"/>
        </w:rPr>
        <w:t xml:space="preserve"> </w:t>
      </w:r>
      <w:r w:rsidR="001A6691">
        <w:rPr>
          <w:rStyle w:val="FootnoteReference"/>
        </w:rPr>
        <w:footnoteReference w:id="9"/>
      </w:r>
    </w:p>
    <w:p w14:paraId="4F7D81AD" w14:textId="77777777" w:rsidR="009F3010" w:rsidRDefault="009F3010" w:rsidP="00440491">
      <w:pPr>
        <w:rPr>
          <w:b/>
          <w:lang w:val="en-AU"/>
        </w:rPr>
      </w:pPr>
      <w:bookmarkStart w:id="1" w:name="chart"/>
      <w:bookmarkEnd w:id="1"/>
      <w:r w:rsidRPr="00B5112F">
        <w:rPr>
          <w:b/>
          <w:lang w:val="en-AU"/>
        </w:rPr>
        <w:t>Over half of Tasmanian households cannot afford a private rental</w:t>
      </w:r>
    </w:p>
    <w:p w14:paraId="1CE4A590" w14:textId="6DCF4E68" w:rsidR="009F3010" w:rsidRPr="00B5112F" w:rsidRDefault="009F3010" w:rsidP="00B5112F">
      <w:pPr>
        <w:rPr>
          <w:lang w:val="en-AU"/>
        </w:rPr>
      </w:pPr>
      <w:r w:rsidRPr="004E69B2">
        <w:t>Equivalised household income (annual) of Tasmanian households</w:t>
      </w:r>
      <w:r>
        <w:t>, 2024 dollars</w:t>
      </w:r>
    </w:p>
    <w:p w14:paraId="0AB04561" w14:textId="77777777" w:rsidR="009F3010" w:rsidRDefault="009F3010" w:rsidP="00D839D5">
      <w:pPr>
        <w:widowControl/>
        <w:autoSpaceDE/>
        <w:autoSpaceDN/>
        <w:spacing w:before="0" w:after="160" w:line="259" w:lineRule="auto"/>
      </w:pPr>
      <w:r>
        <w:rPr>
          <w:noProof/>
        </w:rPr>
        <w:drawing>
          <wp:inline distT="0" distB="0" distL="0" distR="0" wp14:anchorId="2A5BDABF" wp14:editId="0EFDC4BF">
            <wp:extent cx="6200140" cy="2864036"/>
            <wp:effectExtent l="0" t="0" r="0" b="0"/>
            <wp:docPr id="986727403" name="Picture 17" descr="Column graph. Shows 15 income categories from $9,100 to $211,300, also 'partial income stated' and 'all incomes not stated'. The highest bars, representing the greatest number of people, are betwen $30,200 and $75,500, with $30,200 being the highest overall. Bars up to and including $60,400 are coloure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27403" name="Picture 17" descr="Column graph. Shows 15 income categories from $9,100 to $211,300, also 'partial income stated' and 'all incomes not stated'. The highest bars, representing the greatest number of people, are betwen $30,200 and $75,500, with $30,200 being the highest overall. Bars up to and including $60,400 are coloured oran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4249" cy="2870553"/>
                    </a:xfrm>
                    <a:prstGeom prst="rect">
                      <a:avLst/>
                    </a:prstGeom>
                    <a:noFill/>
                  </pic:spPr>
                </pic:pic>
              </a:graphicData>
            </a:graphic>
          </wp:inline>
        </w:drawing>
      </w:r>
    </w:p>
    <w:p w14:paraId="4DA2FE08" w14:textId="6B32BB0D" w:rsidR="00006A94" w:rsidRPr="00006A94" w:rsidRDefault="00006A94" w:rsidP="004551F5">
      <w:pPr>
        <w:widowControl/>
        <w:autoSpaceDE/>
        <w:autoSpaceDN/>
        <w:spacing w:before="0" w:after="160" w:line="259" w:lineRule="auto"/>
        <w:rPr>
          <w:b/>
          <w:bCs/>
        </w:rPr>
      </w:pPr>
      <w:r>
        <w:rPr>
          <w:b/>
          <w:bCs/>
        </w:rPr>
        <w:t>Equivalised household income (annual) of Tasmanian households.</w:t>
      </w:r>
      <w:r w:rsidRPr="00006A94">
        <w:rPr>
          <w:rStyle w:val="FootnoteReference"/>
        </w:rPr>
        <w:t xml:space="preserve"> </w:t>
      </w:r>
      <w:r>
        <w:rPr>
          <w:rStyle w:val="FootnoteReference"/>
        </w:rPr>
        <w:footnoteReference w:id="10"/>
      </w:r>
    </w:p>
    <w:p w14:paraId="09E3A1E1" w14:textId="37C7130D" w:rsidR="00C0093A" w:rsidRDefault="00006A94" w:rsidP="004551F5">
      <w:pPr>
        <w:widowControl/>
        <w:autoSpaceDE/>
        <w:autoSpaceDN/>
        <w:spacing w:before="0" w:after="160" w:line="259" w:lineRule="auto"/>
        <w:rPr>
          <w:b/>
          <w:bCs/>
        </w:rPr>
      </w:pPr>
      <w:r>
        <w:t xml:space="preserve">The upper bound of each income category is shown in 2024 dollars. </w:t>
      </w:r>
      <w:r w:rsidR="009F3010">
        <w:t>Households represented by the orange bars have insufficient income to afford a one-bedroom private rental.</w:t>
      </w:r>
      <w:r w:rsidR="009F3010">
        <w:rPr>
          <w:b/>
          <w:bCs/>
        </w:rPr>
        <w:t xml:space="preserve"> </w:t>
      </w:r>
    </w:p>
    <w:p w14:paraId="27625954" w14:textId="51889975" w:rsidR="009F3010" w:rsidRPr="00AD2D80" w:rsidRDefault="009F3010" w:rsidP="004551F5">
      <w:pPr>
        <w:widowControl/>
        <w:autoSpaceDE/>
        <w:autoSpaceDN/>
        <w:spacing w:before="0" w:after="160" w:line="259" w:lineRule="auto"/>
        <w:rPr>
          <w:i/>
          <w:iCs/>
        </w:rPr>
      </w:pPr>
      <w:r>
        <w:rPr>
          <w:i/>
          <w:iCs/>
        </w:rPr>
        <w:t xml:space="preserve">Data source: ABS Census </w:t>
      </w:r>
      <w:proofErr w:type="spellStart"/>
      <w:r>
        <w:rPr>
          <w:i/>
          <w:iCs/>
        </w:rPr>
        <w:t>TableBuilder</w:t>
      </w:r>
      <w:proofErr w:type="spellEnd"/>
    </w:p>
    <w:p w14:paraId="0309C31C" w14:textId="77777777" w:rsidR="009F3010" w:rsidRDefault="009F3010">
      <w:pPr>
        <w:widowControl/>
        <w:autoSpaceDE/>
        <w:autoSpaceDN/>
        <w:spacing w:before="0" w:after="160" w:line="259" w:lineRule="auto"/>
        <w:rPr>
          <w:rFonts w:eastAsia="Times New Roman" w:cs="Calibri"/>
          <w:i/>
          <w:iCs/>
          <w:spacing w:val="-2"/>
          <w:sz w:val="36"/>
          <w:szCs w:val="36"/>
          <w:lang w:val="en-AU"/>
        </w:rPr>
      </w:pPr>
      <w:r>
        <w:br w:type="page"/>
      </w:r>
    </w:p>
    <w:p w14:paraId="288EC99D" w14:textId="77777777" w:rsidR="009F3010" w:rsidRDefault="009F3010" w:rsidP="00E76C87">
      <w:pPr>
        <w:pStyle w:val="Breakout"/>
      </w:pPr>
      <w:bookmarkStart w:id="2" w:name="Ann"/>
      <w:r>
        <w:lastRenderedPageBreak/>
        <w:t>Ann</w:t>
      </w:r>
      <w:bookmarkEnd w:id="2"/>
      <w:r>
        <w:t>’s children take priority</w:t>
      </w:r>
    </w:p>
    <w:p w14:paraId="08D9479C" w14:textId="77777777" w:rsidR="009F3010" w:rsidRPr="00F1540A" w:rsidRDefault="009F3010" w:rsidP="00F1540A">
      <w:pPr>
        <w:rPr>
          <w:lang w:val="en-AU"/>
        </w:rPr>
      </w:pPr>
      <w:r w:rsidRPr="00F1540A">
        <w:rPr>
          <w:lang w:val="en-AU"/>
        </w:rPr>
        <w:t xml:space="preserve">Ann reached out to Housing Connect seeking support with an overdue electricity bill </w:t>
      </w:r>
      <w:r>
        <w:rPr>
          <w:lang w:val="en-AU"/>
        </w:rPr>
        <w:t>due to</w:t>
      </w:r>
      <w:r w:rsidRPr="00F1540A">
        <w:rPr>
          <w:lang w:val="en-AU"/>
        </w:rPr>
        <w:t xml:space="preserve"> </w:t>
      </w:r>
      <w:r>
        <w:rPr>
          <w:lang w:val="en-AU"/>
        </w:rPr>
        <w:t xml:space="preserve">circumstances related </w:t>
      </w:r>
      <w:r w:rsidRPr="00F1540A">
        <w:rPr>
          <w:lang w:val="en-AU"/>
        </w:rPr>
        <w:t xml:space="preserve">to family violence. </w:t>
      </w:r>
      <w:r>
        <w:rPr>
          <w:lang w:val="en-AU"/>
        </w:rPr>
        <w:t>Ann’s primary concern was continuing to provide a</w:t>
      </w:r>
      <w:r w:rsidRPr="00F1540A">
        <w:rPr>
          <w:lang w:val="en-AU"/>
        </w:rPr>
        <w:t xml:space="preserve"> safe and stable home for her four children.</w:t>
      </w:r>
    </w:p>
    <w:p w14:paraId="129CDF4D" w14:textId="0CF773CC" w:rsidR="009F3010" w:rsidRPr="00F1540A" w:rsidRDefault="009F3010" w:rsidP="00F1540A">
      <w:pPr>
        <w:rPr>
          <w:lang w:val="en-AU"/>
        </w:rPr>
      </w:pPr>
      <w:r w:rsidRPr="00F1540A">
        <w:rPr>
          <w:lang w:val="en-AU"/>
        </w:rPr>
        <w:t xml:space="preserve">Ann has lived in her </w:t>
      </w:r>
      <w:r w:rsidR="00EA41F4">
        <w:rPr>
          <w:lang w:val="en-AU"/>
        </w:rPr>
        <w:t xml:space="preserve">rental </w:t>
      </w:r>
      <w:r w:rsidRPr="00F1540A">
        <w:rPr>
          <w:lang w:val="en-AU"/>
        </w:rPr>
        <w:t xml:space="preserve">property since 2018 and has consistently maintained her tenancy. </w:t>
      </w:r>
      <w:r>
        <w:rPr>
          <w:lang w:val="en-AU"/>
        </w:rPr>
        <w:t xml:space="preserve">More recently, </w:t>
      </w:r>
      <w:r w:rsidRPr="00F1540A">
        <w:rPr>
          <w:lang w:val="en-AU"/>
        </w:rPr>
        <w:t xml:space="preserve">Ann </w:t>
      </w:r>
      <w:r>
        <w:rPr>
          <w:lang w:val="en-AU"/>
        </w:rPr>
        <w:t>found herself</w:t>
      </w:r>
      <w:r w:rsidRPr="00F1540A">
        <w:rPr>
          <w:lang w:val="en-AU"/>
        </w:rPr>
        <w:t xml:space="preserve"> in an abusive relationship, </w:t>
      </w:r>
      <w:r>
        <w:rPr>
          <w:lang w:val="en-AU"/>
        </w:rPr>
        <w:t xml:space="preserve">in which she experienced </w:t>
      </w:r>
      <w:r w:rsidRPr="00F1540A">
        <w:rPr>
          <w:lang w:val="en-AU"/>
        </w:rPr>
        <w:t xml:space="preserve">financial control and coercion </w:t>
      </w:r>
      <w:r>
        <w:rPr>
          <w:lang w:val="en-AU"/>
        </w:rPr>
        <w:t>that limited</w:t>
      </w:r>
      <w:r w:rsidRPr="00F1540A">
        <w:rPr>
          <w:lang w:val="en-AU"/>
        </w:rPr>
        <w:t xml:space="preserve"> her independence</w:t>
      </w:r>
      <w:r>
        <w:rPr>
          <w:lang w:val="en-AU"/>
        </w:rPr>
        <w:t xml:space="preserve"> and</w:t>
      </w:r>
      <w:r w:rsidRPr="00F1540A">
        <w:rPr>
          <w:lang w:val="en-AU"/>
        </w:rPr>
        <w:t xml:space="preserve"> placed </w:t>
      </w:r>
      <w:r>
        <w:rPr>
          <w:lang w:val="en-AU"/>
        </w:rPr>
        <w:t xml:space="preserve">her under </w:t>
      </w:r>
      <w:r w:rsidRPr="00F1540A">
        <w:rPr>
          <w:lang w:val="en-AU"/>
        </w:rPr>
        <w:t xml:space="preserve">enormous </w:t>
      </w:r>
      <w:r>
        <w:rPr>
          <w:lang w:val="en-AU"/>
        </w:rPr>
        <w:t xml:space="preserve">financial </w:t>
      </w:r>
      <w:r w:rsidRPr="00F1540A">
        <w:rPr>
          <w:lang w:val="en-AU"/>
        </w:rPr>
        <w:t>pressure</w:t>
      </w:r>
      <w:r>
        <w:rPr>
          <w:lang w:val="en-AU"/>
        </w:rPr>
        <w:t>.</w:t>
      </w:r>
      <w:r w:rsidRPr="00F1540A">
        <w:rPr>
          <w:lang w:val="en-AU"/>
        </w:rPr>
        <w:t xml:space="preserve"> </w:t>
      </w:r>
    </w:p>
    <w:p w14:paraId="272F4638" w14:textId="77777777" w:rsidR="009F3010" w:rsidRPr="00F1540A" w:rsidRDefault="009F3010" w:rsidP="00F1540A">
      <w:pPr>
        <w:rPr>
          <w:lang w:val="en-AU"/>
        </w:rPr>
      </w:pPr>
      <w:r w:rsidRPr="00F1540A">
        <w:rPr>
          <w:lang w:val="en-AU"/>
        </w:rPr>
        <w:t xml:space="preserve">When her electricity was disconnected, Ann </w:t>
      </w:r>
      <w:r>
        <w:rPr>
          <w:lang w:val="en-AU"/>
        </w:rPr>
        <w:t>sought support from her family and friends so that she and</w:t>
      </w:r>
      <w:r w:rsidRPr="00F1540A">
        <w:rPr>
          <w:lang w:val="en-AU"/>
        </w:rPr>
        <w:t xml:space="preserve"> her children had somewhere safe to stay. </w:t>
      </w:r>
      <w:r>
        <w:rPr>
          <w:lang w:val="en-AU"/>
        </w:rPr>
        <w:t>Not being together under one roof was challenging and Ann reached out for assistance to resolve the situation and</w:t>
      </w:r>
      <w:r w:rsidRPr="00F1540A">
        <w:rPr>
          <w:lang w:val="en-AU"/>
        </w:rPr>
        <w:t xml:space="preserve"> return to her property as soon as possible.</w:t>
      </w:r>
    </w:p>
    <w:p w14:paraId="5BA5A37D" w14:textId="77777777" w:rsidR="009F3010" w:rsidRPr="00F1540A" w:rsidRDefault="009F3010" w:rsidP="00F1540A">
      <w:pPr>
        <w:rPr>
          <w:lang w:val="en-AU"/>
        </w:rPr>
      </w:pPr>
      <w:r>
        <w:rPr>
          <w:lang w:val="en-AU"/>
        </w:rPr>
        <w:t>Housing Connect provided financial assistance so that</w:t>
      </w:r>
      <w:r w:rsidRPr="00F1540A">
        <w:rPr>
          <w:lang w:val="en-AU"/>
        </w:rPr>
        <w:t xml:space="preserve"> </w:t>
      </w:r>
      <w:r>
        <w:rPr>
          <w:lang w:val="en-AU"/>
        </w:rPr>
        <w:t xml:space="preserve">Ann could have the electricity </w:t>
      </w:r>
      <w:r w:rsidRPr="00F1540A">
        <w:rPr>
          <w:lang w:val="en-AU"/>
        </w:rPr>
        <w:t>reconnected</w:t>
      </w:r>
      <w:r>
        <w:rPr>
          <w:lang w:val="en-AU"/>
        </w:rPr>
        <w:t xml:space="preserve"> and her family could</w:t>
      </w:r>
      <w:r w:rsidRPr="00F1540A">
        <w:rPr>
          <w:lang w:val="en-AU"/>
        </w:rPr>
        <w:t xml:space="preserve"> return to the safety and stability </w:t>
      </w:r>
      <w:r>
        <w:rPr>
          <w:lang w:val="en-AU"/>
        </w:rPr>
        <w:t>of their own home</w:t>
      </w:r>
      <w:r w:rsidRPr="00F1540A">
        <w:rPr>
          <w:lang w:val="en-AU"/>
        </w:rPr>
        <w:t>. Th</w:t>
      </w:r>
      <w:r>
        <w:rPr>
          <w:lang w:val="en-AU"/>
        </w:rPr>
        <w:t>is</w:t>
      </w:r>
      <w:r w:rsidRPr="00F1540A">
        <w:rPr>
          <w:lang w:val="en-AU"/>
        </w:rPr>
        <w:t xml:space="preserve"> support has also eased the financial pressure she is facing at an already stressful time, allowing her to prioritise essential living costs for her family.</w:t>
      </w:r>
    </w:p>
    <w:p w14:paraId="7C7DE7BF" w14:textId="77777777" w:rsidR="009F3010" w:rsidRDefault="009F3010" w:rsidP="00B5112F">
      <w:pPr>
        <w:rPr>
          <w:rFonts w:ascii="Avenir Next Demi Bold" w:eastAsia="AvenirNextLTPro-Demi" w:hAnsi="Avenir Next Demi Bold" w:cs="AvenirNextLTPro-Demi"/>
          <w:b/>
          <w:bCs/>
          <w:color w:val="1598CB"/>
          <w:sz w:val="48"/>
          <w:szCs w:val="48"/>
          <w:lang w:val="en-AU"/>
        </w:rPr>
      </w:pPr>
      <w:r w:rsidRPr="00F1540A">
        <w:rPr>
          <w:lang w:val="en-AU"/>
        </w:rPr>
        <w:t xml:space="preserve">Ann was grateful for the assistance and extremely happy she </w:t>
      </w:r>
      <w:r>
        <w:rPr>
          <w:lang w:val="en-AU"/>
        </w:rPr>
        <w:t>was able to</w:t>
      </w:r>
      <w:r w:rsidRPr="00F1540A">
        <w:rPr>
          <w:lang w:val="en-AU"/>
        </w:rPr>
        <w:t xml:space="preserve"> spend Christmas with all her children under one roof.</w:t>
      </w:r>
    </w:p>
    <w:p w14:paraId="05307577" w14:textId="77777777" w:rsidR="009F3010" w:rsidRDefault="009F3010">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AU"/>
        </w:rPr>
      </w:pPr>
      <w:r>
        <w:br w:type="page"/>
      </w:r>
    </w:p>
    <w:p w14:paraId="2F16F913" w14:textId="77777777" w:rsidR="009F3010" w:rsidRPr="00AD16B0" w:rsidRDefault="009F3010" w:rsidP="00EB597B">
      <w:pPr>
        <w:pStyle w:val="Heading1"/>
      </w:pPr>
      <w:r w:rsidRPr="00AD16B0">
        <w:lastRenderedPageBreak/>
        <w:t xml:space="preserve">Housing system indicators </w:t>
      </w:r>
    </w:p>
    <w:p w14:paraId="1F5E1323" w14:textId="77777777" w:rsidR="009F3010" w:rsidRDefault="009F3010" w:rsidP="00E509D2">
      <w:pPr>
        <w:rPr>
          <w:bCs/>
          <w:lang w:val="en-AU"/>
        </w:rPr>
      </w:pPr>
      <w:r>
        <w:rPr>
          <w:bCs/>
          <w:lang w:val="en-AU"/>
        </w:rPr>
        <w:t xml:space="preserve">Tasmania’s housing system indicators have continued to deteriorate over the past 12 months. </w:t>
      </w:r>
    </w:p>
    <w:p w14:paraId="7710F942" w14:textId="0073FF5D" w:rsidR="009F3010" w:rsidRPr="009F5AB2" w:rsidRDefault="009F3010" w:rsidP="00F66AC8">
      <w:pPr>
        <w:rPr>
          <w:bCs/>
          <w:lang w:val="en-AU"/>
        </w:rPr>
      </w:pPr>
      <w:r>
        <w:rPr>
          <w:bCs/>
          <w:lang w:val="en-AU"/>
        </w:rPr>
        <w:t xml:space="preserve">The rate of increase in private rents slowed over the December quarter. However, rents still rose faster than wages, and so the gap between private rents and what people on low incomes can afford to pay continues to grow. The </w:t>
      </w:r>
      <w:r w:rsidRPr="009F5AB2">
        <w:rPr>
          <w:bCs/>
        </w:rPr>
        <w:t xml:space="preserve">number of Tasmanians who </w:t>
      </w:r>
      <w:r>
        <w:rPr>
          <w:bCs/>
        </w:rPr>
        <w:t>are priced out of the private rental market is continuing to rise.</w:t>
      </w:r>
    </w:p>
    <w:p w14:paraId="6137471F" w14:textId="77777777" w:rsidR="009F3010" w:rsidRPr="00AF1D66" w:rsidRDefault="009F3010" w:rsidP="00E509D2">
      <w:pPr>
        <w:rPr>
          <w:bCs/>
          <w:lang w:val="en-AU"/>
        </w:rPr>
      </w:pPr>
      <w:r>
        <w:rPr>
          <w:bCs/>
          <w:lang w:val="en-AU"/>
        </w:rPr>
        <w:t xml:space="preserve">Anglicare Tasmania continues to call on the government to take direct action to increase affordable supply by building more social homes. </w:t>
      </w:r>
    </w:p>
    <w:p w14:paraId="20B04AB4" w14:textId="01463BA1" w:rsidR="009F3010" w:rsidRDefault="009F3010" w:rsidP="009F3010">
      <w:pPr>
        <w:pStyle w:val="ListParagraph"/>
        <w:numPr>
          <w:ilvl w:val="1"/>
          <w:numId w:val="40"/>
        </w:numPr>
        <w:rPr>
          <w:lang w:val="en-AU"/>
        </w:rPr>
      </w:pPr>
      <w:r w:rsidRPr="003F3BC5">
        <w:rPr>
          <w:lang w:val="en-AU"/>
        </w:rPr>
        <w:t>Rents grew</w:t>
      </w:r>
      <w:r>
        <w:rPr>
          <w:lang w:val="en-AU"/>
        </w:rPr>
        <w:t xml:space="preserve"> </w:t>
      </w:r>
      <w:r>
        <w:rPr>
          <w:b/>
          <w:bCs/>
          <w:lang w:val="en-AU"/>
        </w:rPr>
        <w:t xml:space="preserve">1.2X </w:t>
      </w:r>
      <w:r w:rsidR="001A6691">
        <w:rPr>
          <w:lang w:val="en-AU"/>
        </w:rPr>
        <w:t>more</w:t>
      </w:r>
      <w:r w:rsidRPr="003F3BC5">
        <w:rPr>
          <w:lang w:val="en-AU"/>
        </w:rPr>
        <w:t xml:space="preserve"> than wages</w:t>
      </w:r>
      <w:r>
        <w:rPr>
          <w:lang w:val="en-AU"/>
        </w:rPr>
        <w:t>,</w:t>
      </w:r>
      <w:r w:rsidRPr="003F3BC5">
        <w:rPr>
          <w:lang w:val="en-AU"/>
        </w:rPr>
        <w:t xml:space="preserve"> </w:t>
      </w:r>
      <w:r>
        <w:rPr>
          <w:lang w:val="en-AU"/>
        </w:rPr>
        <w:t>September 2024 to September 2025</w:t>
      </w:r>
      <w:r>
        <w:rPr>
          <w:rStyle w:val="FootnoteReference"/>
          <w:lang w:val="en-AU"/>
        </w:rPr>
        <w:footnoteReference w:id="11"/>
      </w:r>
    </w:p>
    <w:p w14:paraId="262E9816" w14:textId="77777777" w:rsidR="009F3010" w:rsidRDefault="009F3010" w:rsidP="009F3010">
      <w:pPr>
        <w:pStyle w:val="ListParagraph"/>
        <w:numPr>
          <w:ilvl w:val="1"/>
          <w:numId w:val="40"/>
        </w:numPr>
      </w:pPr>
      <w:r w:rsidRPr="00C426CB">
        <w:rPr>
          <w:b/>
          <w:bCs/>
          <w:lang w:val="en-AU"/>
        </w:rPr>
        <w:t>0%</w:t>
      </w:r>
      <w:r w:rsidRPr="0093648A">
        <w:rPr>
          <w:lang w:val="en-AU"/>
        </w:rPr>
        <w:t xml:space="preserve"> of rentals affordable for </w:t>
      </w:r>
      <w:r>
        <w:rPr>
          <w:lang w:val="en-AU"/>
        </w:rPr>
        <w:t>Tasmanians relying on income support</w:t>
      </w:r>
      <w:r>
        <w:rPr>
          <w:rStyle w:val="FootnoteReference"/>
        </w:rPr>
        <w:footnoteReference w:id="12"/>
      </w:r>
    </w:p>
    <w:p w14:paraId="648D3C69" w14:textId="4D167539" w:rsidR="009F3010" w:rsidRDefault="009F3010" w:rsidP="009F3010">
      <w:pPr>
        <w:pStyle w:val="ListParagraph"/>
        <w:numPr>
          <w:ilvl w:val="1"/>
          <w:numId w:val="40"/>
        </w:numPr>
        <w:rPr>
          <w:lang w:val="en-AU"/>
        </w:rPr>
      </w:pPr>
      <w:r w:rsidRPr="00C426CB">
        <w:rPr>
          <w:b/>
          <w:bCs/>
          <w:lang w:val="en-AU"/>
        </w:rPr>
        <w:t>5,</w:t>
      </w:r>
      <w:r>
        <w:rPr>
          <w:b/>
          <w:bCs/>
          <w:lang w:val="en-AU"/>
        </w:rPr>
        <w:t>410</w:t>
      </w:r>
      <w:r>
        <w:rPr>
          <w:lang w:val="en-AU"/>
        </w:rPr>
        <w:t xml:space="preserve"> social housing register applications (up by 11% over 12 months)</w:t>
      </w:r>
      <w:r>
        <w:rPr>
          <w:rStyle w:val="FootnoteReference"/>
          <w:lang w:val="en-AU"/>
        </w:rPr>
        <w:footnoteReference w:id="13"/>
      </w:r>
    </w:p>
    <w:p w14:paraId="19537FBC" w14:textId="719BEA57" w:rsidR="009F3010" w:rsidRDefault="009F3010" w:rsidP="009F3010">
      <w:pPr>
        <w:pStyle w:val="ListParagraph"/>
        <w:numPr>
          <w:ilvl w:val="1"/>
          <w:numId w:val="40"/>
        </w:numPr>
        <w:rPr>
          <w:vertAlign w:val="superscript"/>
          <w:lang w:val="en-AU"/>
        </w:rPr>
      </w:pPr>
      <w:r w:rsidRPr="00C426CB">
        <w:rPr>
          <w:b/>
          <w:bCs/>
          <w:lang w:val="en-AU"/>
        </w:rPr>
        <w:t>8</w:t>
      </w:r>
      <w:r>
        <w:rPr>
          <w:b/>
          <w:bCs/>
          <w:lang w:val="en-AU"/>
        </w:rPr>
        <w:t>4.4</w:t>
      </w:r>
      <w:r>
        <w:rPr>
          <w:lang w:val="en-AU"/>
        </w:rPr>
        <w:t xml:space="preserve"> weeks on average until priority applicants are housed</w:t>
      </w:r>
      <w:r>
        <w:rPr>
          <w:rStyle w:val="FootnoteReference"/>
          <w:lang w:val="en-AU"/>
        </w:rPr>
        <w:footnoteReference w:id="14"/>
      </w:r>
    </w:p>
    <w:p w14:paraId="51D9BE53" w14:textId="77777777" w:rsidR="009F3010" w:rsidRPr="00AD16B0" w:rsidRDefault="009F3010" w:rsidP="00E509D2">
      <w:pPr>
        <w:rPr>
          <w:b/>
          <w:lang w:val="en-AU"/>
        </w:rPr>
      </w:pPr>
      <w:r>
        <w:rPr>
          <w:b/>
          <w:lang w:val="en-AU"/>
        </w:rPr>
        <w:t xml:space="preserve">The rental vacancy rate remains critically low in all regions </w:t>
      </w:r>
    </w:p>
    <w:p w14:paraId="29676606" w14:textId="77777777" w:rsidR="009F3010" w:rsidRPr="00AD16B0" w:rsidRDefault="009F3010" w:rsidP="00E509D2">
      <w:pPr>
        <w:rPr>
          <w:b/>
          <w:lang w:val="en-AU"/>
        </w:rPr>
      </w:pPr>
      <w:r w:rsidRPr="00AD16B0">
        <w:rPr>
          <w:b/>
          <w:lang w:val="en-AU"/>
        </w:rPr>
        <w:t xml:space="preserve"> </w:t>
      </w:r>
      <w:r>
        <w:rPr>
          <w:noProof/>
          <w14:ligatures w14:val="standardContextual"/>
        </w:rPr>
        <w:drawing>
          <wp:inline distT="0" distB="0" distL="0" distR="0" wp14:anchorId="5896CC7E" wp14:editId="0FAC719A">
            <wp:extent cx="6189345" cy="3685954"/>
            <wp:effectExtent l="0" t="0" r="1905" b="0"/>
            <wp:docPr id="1185553767" name="Chart 1" descr="Line graph with three lines representing Hobart, Launceston and Burnie vacancy rates, and a fourth line representing the target rate of 3%. Over the period December 2024 to December 2025 the three lines are clustered together below the 1% mark, far below the target 3% line.">
              <a:extLst xmlns:a="http://schemas.openxmlformats.org/drawingml/2006/main">
                <a:ext uri="{FF2B5EF4-FFF2-40B4-BE49-F238E27FC236}">
                  <a16:creationId xmlns:a16="http://schemas.microsoft.com/office/drawing/2014/main" id="{811D9F4D-6B40-0C73-4D6F-85F3DF027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63475">
        <w:rPr>
          <w:noProof/>
          <w14:ligatures w14:val="standardContextual"/>
        </w:rPr>
        <w:t xml:space="preserve"> </w:t>
      </w:r>
    </w:p>
    <w:p w14:paraId="7EC1AEEC" w14:textId="74A6410E" w:rsidR="009F3010" w:rsidRPr="00AD16B0" w:rsidRDefault="009F3010" w:rsidP="00E509D2">
      <w:pPr>
        <w:rPr>
          <w:lang w:val="en-AU"/>
        </w:rPr>
      </w:pPr>
      <w:r w:rsidRPr="00AD16B0">
        <w:rPr>
          <w:lang w:val="en-AU"/>
        </w:rPr>
        <w:t xml:space="preserve">Data source: </w:t>
      </w:r>
      <w:r w:rsidRPr="00AF1D66">
        <w:rPr>
          <w:i/>
          <w:iCs/>
          <w:lang w:val="en-AU"/>
        </w:rPr>
        <w:t>Homes Tasmania</w:t>
      </w:r>
      <w:r w:rsidR="00C0093A">
        <w:rPr>
          <w:i/>
          <w:iCs/>
          <w:lang w:val="en-AU"/>
        </w:rPr>
        <w:t xml:space="preserve"> Housing Dashboard</w:t>
      </w:r>
    </w:p>
    <w:p w14:paraId="67607D28" w14:textId="77777777" w:rsidR="009F3010" w:rsidRDefault="009F3010" w:rsidP="00EB597B">
      <w:pPr>
        <w:pStyle w:val="Heading1"/>
      </w:pPr>
      <w:r w:rsidRPr="00AD16B0">
        <w:lastRenderedPageBreak/>
        <w:t xml:space="preserve">People </w:t>
      </w:r>
      <w:r>
        <w:t xml:space="preserve">accessing housing </w:t>
      </w:r>
      <w:r w:rsidRPr="00B82F87">
        <w:t>support</w:t>
      </w:r>
    </w:p>
    <w:p w14:paraId="7BAE573F" w14:textId="77777777" w:rsidR="009F3010" w:rsidRPr="00A7142F" w:rsidRDefault="009F3010" w:rsidP="00A71948">
      <w:pPr>
        <w:pStyle w:val="BodyText"/>
      </w:pPr>
      <w:r w:rsidRPr="00A7142F">
        <w:t>Housing Connect provides support to people who are homeless or at risk of being homeless, or who cannot stay where they normally live, including for safety reasons. Support may also be available to people having trouble paying for housing or moving costs.</w:t>
      </w:r>
    </w:p>
    <w:p w14:paraId="6A56056B" w14:textId="77777777" w:rsidR="009F3010" w:rsidRPr="004C7060" w:rsidRDefault="009F3010" w:rsidP="00A71948">
      <w:pPr>
        <w:pStyle w:val="BodyText"/>
      </w:pPr>
      <w:r w:rsidRPr="004C7060">
        <w:t>Compared to the same period in 2024, the total number of people and families receiving housing support has risen by 4</w:t>
      </w:r>
      <w:r>
        <w:t>1%</w:t>
      </w:r>
      <w:r w:rsidRPr="004C7060">
        <w:t xml:space="preserve">. The housing circumstances of these people have also deteriorated with the number experiencing primary homelessness at presentation increasing by </w:t>
      </w:r>
      <w:r>
        <w:t>64</w:t>
      </w:r>
      <w:r w:rsidRPr="004C7060">
        <w:t>%.</w:t>
      </w:r>
    </w:p>
    <w:p w14:paraId="011ACBB1" w14:textId="77777777" w:rsidR="009F3010" w:rsidRPr="004C7060" w:rsidRDefault="009F3010" w:rsidP="00280B50">
      <w:pPr>
        <w:pStyle w:val="BodyText"/>
      </w:pPr>
      <w:r w:rsidRPr="004C7060">
        <w:t>Over the same period, the number of employed people who have accessed housing support has increased by 6</w:t>
      </w:r>
      <w:r>
        <w:t>7</w:t>
      </w:r>
      <w:r w:rsidRPr="004C7060">
        <w:t>% from 169 to 282. Private rentals are unaffordable for a growing share of the community, which is resulting in more employed Tasmanians needing housing support.</w:t>
      </w:r>
    </w:p>
    <w:p w14:paraId="7C04F567" w14:textId="77777777" w:rsidR="009F3010" w:rsidRDefault="009F3010" w:rsidP="004C7060">
      <w:pPr>
        <w:pStyle w:val="BodyText"/>
      </w:pPr>
      <w:r w:rsidRPr="004C7060">
        <w:t>The number of families with children accessing housing support increased by 4</w:t>
      </w:r>
      <w:r>
        <w:t>2</w:t>
      </w:r>
      <w:r w:rsidRPr="004C7060">
        <w:t xml:space="preserve">% </w:t>
      </w:r>
      <w:r>
        <w:t xml:space="preserve">over the 12-month period </w:t>
      </w:r>
      <w:r w:rsidRPr="004C7060">
        <w:t xml:space="preserve">from 374 to 531. </w:t>
      </w:r>
    </w:p>
    <w:p w14:paraId="7E7F3AA7" w14:textId="77777777" w:rsidR="009F3010" w:rsidRDefault="009F3010" w:rsidP="005847A1">
      <w:pPr>
        <w:pStyle w:val="BodyText"/>
      </w:pPr>
      <w:r>
        <w:t>From 1 October to 31 December 2025, housing support was provided to:</w:t>
      </w:r>
    </w:p>
    <w:p w14:paraId="71FA0250" w14:textId="33D9CADF" w:rsidR="009F3010" w:rsidRDefault="009F3010" w:rsidP="00C73D42">
      <w:pPr>
        <w:pStyle w:val="Bullets"/>
      </w:pPr>
      <w:r>
        <w:rPr>
          <w:b/>
          <w:bCs/>
        </w:rPr>
        <w:t>1</w:t>
      </w:r>
      <w:r w:rsidR="00F04779">
        <w:rPr>
          <w:b/>
          <w:bCs/>
        </w:rPr>
        <w:t>,</w:t>
      </w:r>
      <w:r>
        <w:rPr>
          <w:b/>
          <w:bCs/>
        </w:rPr>
        <w:t>047</w:t>
      </w:r>
      <w:r>
        <w:t xml:space="preserve"> women</w:t>
      </w:r>
    </w:p>
    <w:p w14:paraId="1F37BBC3" w14:textId="77777777" w:rsidR="009F3010" w:rsidRDefault="009F3010" w:rsidP="00C73D42">
      <w:pPr>
        <w:pStyle w:val="Bullets"/>
      </w:pPr>
      <w:r>
        <w:rPr>
          <w:b/>
          <w:bCs/>
        </w:rPr>
        <w:t>709</w:t>
      </w:r>
      <w:r>
        <w:t xml:space="preserve"> men</w:t>
      </w:r>
    </w:p>
    <w:p w14:paraId="382AF5B1" w14:textId="77777777" w:rsidR="009F3010" w:rsidRDefault="009F3010" w:rsidP="00C73D42">
      <w:pPr>
        <w:pStyle w:val="Bullets"/>
      </w:pPr>
      <w:r>
        <w:rPr>
          <w:b/>
          <w:bCs/>
        </w:rPr>
        <w:t>423</w:t>
      </w:r>
      <w:r>
        <w:t xml:space="preserve"> lone parents with children</w:t>
      </w:r>
    </w:p>
    <w:p w14:paraId="63205693" w14:textId="77777777" w:rsidR="009F3010" w:rsidRDefault="009F3010" w:rsidP="00C73D42">
      <w:pPr>
        <w:pStyle w:val="Bullets"/>
      </w:pPr>
      <w:r>
        <w:rPr>
          <w:b/>
          <w:bCs/>
        </w:rPr>
        <w:t>108</w:t>
      </w:r>
      <w:r>
        <w:t xml:space="preserve"> couples with children</w:t>
      </w:r>
    </w:p>
    <w:p w14:paraId="6AA625FC" w14:textId="77777777" w:rsidR="009F3010" w:rsidRDefault="009F3010" w:rsidP="00C73D42">
      <w:pPr>
        <w:pStyle w:val="Bullets"/>
      </w:pPr>
      <w:r>
        <w:rPr>
          <w:b/>
          <w:bCs/>
        </w:rPr>
        <w:t>1,661</w:t>
      </w:r>
      <w:r>
        <w:t xml:space="preserve"> children under 18 years of age in families</w:t>
      </w:r>
    </w:p>
    <w:p w14:paraId="030C138F" w14:textId="77777777" w:rsidR="009F3010" w:rsidRDefault="009F3010" w:rsidP="00C73D42">
      <w:pPr>
        <w:pStyle w:val="Bullets"/>
      </w:pPr>
      <w:r>
        <w:rPr>
          <w:b/>
          <w:bCs/>
        </w:rPr>
        <w:t>39</w:t>
      </w:r>
      <w:r>
        <w:t xml:space="preserve"> unaccompanied children</w:t>
      </w:r>
    </w:p>
    <w:p w14:paraId="015714B8" w14:textId="77777777" w:rsidR="009F3010" w:rsidRDefault="009F3010" w:rsidP="00C73D42">
      <w:pPr>
        <w:pStyle w:val="Bullets"/>
      </w:pPr>
      <w:r>
        <w:rPr>
          <w:b/>
          <w:bCs/>
        </w:rPr>
        <w:t>415</w:t>
      </w:r>
      <w:r>
        <w:t xml:space="preserve"> people aged 16-24 years</w:t>
      </w:r>
    </w:p>
    <w:p w14:paraId="04C27A11" w14:textId="77777777" w:rsidR="009F3010" w:rsidRDefault="009F3010" w:rsidP="00C73D42">
      <w:pPr>
        <w:pStyle w:val="Bullets"/>
      </w:pPr>
      <w:r w:rsidRPr="00C73D42">
        <w:rPr>
          <w:b/>
          <w:bCs/>
        </w:rPr>
        <w:t>2</w:t>
      </w:r>
      <w:r>
        <w:rPr>
          <w:b/>
          <w:bCs/>
        </w:rPr>
        <w:t>82</w:t>
      </w:r>
      <w:r>
        <w:t xml:space="preserve"> people in employment</w:t>
      </w:r>
    </w:p>
    <w:p w14:paraId="33D19086" w14:textId="77777777" w:rsidR="009F3010" w:rsidRPr="00570C92" w:rsidRDefault="009F3010" w:rsidP="00C73D42">
      <w:pPr>
        <w:pStyle w:val="Bullets"/>
      </w:pPr>
      <w:r>
        <w:rPr>
          <w:b/>
          <w:bCs/>
        </w:rPr>
        <w:t>228</w:t>
      </w:r>
      <w:r>
        <w:t xml:space="preserve"> people in part-time employment</w:t>
      </w:r>
    </w:p>
    <w:p w14:paraId="09A22DCB" w14:textId="77777777" w:rsidR="009F3010" w:rsidRDefault="009F3010">
      <w:pPr>
        <w:widowControl/>
        <w:autoSpaceDE/>
        <w:autoSpaceDN/>
        <w:spacing w:before="0" w:after="160" w:line="259" w:lineRule="auto"/>
        <w:rPr>
          <w:rFonts w:ascii="Avenir Next Demi Bold" w:eastAsia="AvenirNextLTPro-Demi" w:hAnsi="Avenir Next Demi Bold" w:cs="AvenirNextLTPro-Demi"/>
          <w:b/>
          <w:color w:val="248EB9"/>
          <w:spacing w:val="-6"/>
          <w:sz w:val="36"/>
          <w:szCs w:val="36"/>
          <w:lang w:val="en-AU"/>
        </w:rPr>
      </w:pPr>
      <w:r>
        <w:br w:type="page"/>
      </w:r>
    </w:p>
    <w:p w14:paraId="2DC38AE1" w14:textId="77777777" w:rsidR="009F3010" w:rsidRDefault="009F3010" w:rsidP="00EB597B">
      <w:pPr>
        <w:pStyle w:val="Heading2"/>
      </w:pPr>
      <w:r>
        <w:lastRenderedPageBreak/>
        <w:t>Reasons for seeking support</w:t>
      </w:r>
    </w:p>
    <w:p w14:paraId="41B3B42D" w14:textId="77777777" w:rsidR="009F3010" w:rsidRDefault="009F3010" w:rsidP="00B60D65">
      <w:pPr>
        <w:pStyle w:val="Bullets"/>
      </w:pPr>
      <w:r>
        <w:t>Housing crisis (27% of people accessing support), inadequate or inappropriate dwelling conditions (21%), housing affordability stress (10%) and domestic and/or family violence (9%) were most commonly given as the main reason for seeking support.</w:t>
      </w:r>
    </w:p>
    <w:p w14:paraId="26140568" w14:textId="77777777" w:rsidR="009F3010" w:rsidRPr="006D3A7C" w:rsidRDefault="009F3010" w:rsidP="00B60D65">
      <w:pPr>
        <w:pStyle w:val="Bullets"/>
      </w:pPr>
      <w:r>
        <w:t>Other common reasons for seeking support included financial difficulties (29% of people accessing support), lack of family and/or community support (17%), and mental health issues (16%), although these were less commonly the main reason for seeking support.</w:t>
      </w:r>
    </w:p>
    <w:p w14:paraId="69201F33" w14:textId="77777777" w:rsidR="009F3010" w:rsidRPr="006D3A7C" w:rsidRDefault="009F3010" w:rsidP="00EB597B">
      <w:pPr>
        <w:pStyle w:val="Heading2"/>
      </w:pPr>
      <w:r>
        <w:t>Housing circumstances</w:t>
      </w:r>
    </w:p>
    <w:p w14:paraId="1059DF1E" w14:textId="77777777" w:rsidR="009F3010" w:rsidRPr="00AD16B0" w:rsidRDefault="009F3010" w:rsidP="005847A1">
      <w:pPr>
        <w:pStyle w:val="BodyText"/>
      </w:pPr>
      <w:r w:rsidRPr="00AD16B0">
        <w:t>The most common housing circumstances of people receiving housing support were:</w:t>
      </w:r>
    </w:p>
    <w:p w14:paraId="62D1317A" w14:textId="77777777" w:rsidR="009F3010" w:rsidRPr="004C7C43" w:rsidRDefault="009F3010" w:rsidP="007946AA">
      <w:pPr>
        <w:pStyle w:val="Bullets"/>
      </w:pPr>
      <w:r>
        <w:rPr>
          <w:b/>
          <w:bCs/>
        </w:rPr>
        <w:t>560</w:t>
      </w:r>
      <w:r w:rsidRPr="00AD16B0">
        <w:t xml:space="preserve"> people renting in the private market</w:t>
      </w:r>
    </w:p>
    <w:p w14:paraId="0E63FC46" w14:textId="77777777" w:rsidR="009F3010" w:rsidRPr="004C7C43" w:rsidRDefault="009F3010" w:rsidP="007946AA">
      <w:pPr>
        <w:pStyle w:val="Bullets"/>
      </w:pPr>
      <w:r>
        <w:rPr>
          <w:b/>
          <w:bCs/>
        </w:rPr>
        <w:t>336</w:t>
      </w:r>
      <w:r w:rsidRPr="004C7C43">
        <w:t xml:space="preserve"> people couch surfing</w:t>
      </w:r>
    </w:p>
    <w:p w14:paraId="2CD1D2F0" w14:textId="77777777" w:rsidR="009F3010" w:rsidRPr="004C7C43" w:rsidRDefault="009F3010" w:rsidP="007946AA">
      <w:pPr>
        <w:pStyle w:val="Bullets"/>
      </w:pPr>
      <w:r>
        <w:rPr>
          <w:b/>
          <w:bCs/>
        </w:rPr>
        <w:t>207</w:t>
      </w:r>
      <w:r w:rsidRPr="004C7C43">
        <w:t xml:space="preserve"> people in emergency and crisis accommodation</w:t>
      </w:r>
    </w:p>
    <w:p w14:paraId="0895FBEF" w14:textId="77777777" w:rsidR="009F3010" w:rsidRPr="0017617B" w:rsidRDefault="009F3010" w:rsidP="0017617B">
      <w:pPr>
        <w:pStyle w:val="Bullets"/>
      </w:pPr>
      <w:r>
        <w:rPr>
          <w:b/>
          <w:bCs/>
        </w:rPr>
        <w:t>233</w:t>
      </w:r>
      <w:r w:rsidRPr="004C7C43">
        <w:t xml:space="preserve"> people sleeping rough or in a car, tent, or improvised dwelling </w:t>
      </w:r>
    </w:p>
    <w:p w14:paraId="7CEEC2E2" w14:textId="77777777" w:rsidR="009F3010" w:rsidRPr="004C7C43" w:rsidRDefault="009F3010" w:rsidP="001A6691">
      <w:pPr>
        <w:pStyle w:val="Heading2"/>
      </w:pPr>
      <w:r w:rsidRPr="004C7C43">
        <w:t>Identifying and meeting client needs</w:t>
      </w:r>
    </w:p>
    <w:p w14:paraId="6EB747BE" w14:textId="4EB3315E" w:rsidR="009F3010" w:rsidRDefault="009F3010" w:rsidP="00E509D2">
      <w:pPr>
        <w:rPr>
          <w:lang w:val="en-AU"/>
        </w:rPr>
      </w:pPr>
      <w:r w:rsidRPr="004C7C43">
        <w:rPr>
          <w:lang w:val="en-AU"/>
        </w:rPr>
        <w:t>Working with a</w:t>
      </w:r>
      <w:r w:rsidR="006969B4">
        <w:rPr>
          <w:lang w:val="en-AU"/>
        </w:rPr>
        <w:t xml:space="preserve">n Anglicare </w:t>
      </w:r>
      <w:r w:rsidRPr="004C7C43">
        <w:rPr>
          <w:lang w:val="en-AU"/>
        </w:rPr>
        <w:t>Connections Coach, people receiving housing support identify their needs, which can be multiple.</w:t>
      </w:r>
    </w:p>
    <w:p w14:paraId="084836BE" w14:textId="37168DC3" w:rsidR="009F3010" w:rsidRDefault="009F3010" w:rsidP="00E509D2">
      <w:pPr>
        <w:rPr>
          <w:lang w:val="en-AU"/>
        </w:rPr>
      </w:pPr>
      <w:r>
        <w:rPr>
          <w:lang w:val="en-AU"/>
        </w:rPr>
        <w:t xml:space="preserve">After advice/information and basic assistance, </w:t>
      </w:r>
      <w:r w:rsidRPr="00434037">
        <w:rPr>
          <w:b/>
          <w:bCs/>
          <w:lang w:val="en-AU"/>
        </w:rPr>
        <w:t>long</w:t>
      </w:r>
      <w:r w:rsidR="001278E0">
        <w:rPr>
          <w:b/>
          <w:bCs/>
          <w:lang w:val="en-AU"/>
        </w:rPr>
        <w:t>-</w:t>
      </w:r>
      <w:r w:rsidRPr="00434037">
        <w:rPr>
          <w:b/>
          <w:bCs/>
          <w:lang w:val="en-AU"/>
        </w:rPr>
        <w:t>term housing is the most common need identified</w:t>
      </w:r>
      <w:r>
        <w:rPr>
          <w:lang w:val="en-AU"/>
        </w:rPr>
        <w:t xml:space="preserve">. </w:t>
      </w:r>
    </w:p>
    <w:p w14:paraId="5568CE18" w14:textId="6F0BE40D" w:rsidR="009F3010" w:rsidRDefault="009F3010" w:rsidP="00E509D2">
      <w:pPr>
        <w:rPr>
          <w:lang w:val="en-AU"/>
        </w:rPr>
      </w:pPr>
      <w:r>
        <w:rPr>
          <w:lang w:val="en-AU"/>
        </w:rPr>
        <w:t xml:space="preserve">A shortage of suitable and affordable homes resulted in only 15% of client need for short-, medium- and long-term housing being met. This is down from 30% for the same period last year. </w:t>
      </w:r>
    </w:p>
    <w:p w14:paraId="30B75BF7" w14:textId="77777777" w:rsidR="009F3010" w:rsidRDefault="009F3010" w:rsidP="00E509D2">
      <w:pPr>
        <w:rPr>
          <w:lang w:val="en-AU"/>
        </w:rPr>
      </w:pPr>
      <w:r>
        <w:rPr>
          <w:lang w:val="en-AU"/>
        </w:rPr>
        <w:t>Despite the lack of housing, the Front Door Service provided support to clients such that by the end of their support period their housing security overall was as good as or better than at the start.</w:t>
      </w:r>
    </w:p>
    <w:p w14:paraId="054FE621" w14:textId="77777777" w:rsidR="009F3010" w:rsidRDefault="009F3010" w:rsidP="00E509D2">
      <w:pPr>
        <w:rPr>
          <w:lang w:val="en-AU"/>
        </w:rPr>
      </w:pPr>
      <w:r>
        <w:rPr>
          <w:lang w:val="en-AU"/>
        </w:rPr>
        <w:t xml:space="preserve">Over 40 different types of non-housing supports were needed by clients, </w:t>
      </w:r>
      <w:r w:rsidRPr="004C7C43">
        <w:rPr>
          <w:lang w:val="en-AU"/>
        </w:rPr>
        <w:t>includ</w:t>
      </w:r>
      <w:r>
        <w:rPr>
          <w:lang w:val="en-AU"/>
        </w:rPr>
        <w:t>ing</w:t>
      </w:r>
      <w:r w:rsidRPr="004C7C43">
        <w:rPr>
          <w:lang w:val="en-AU"/>
        </w:rPr>
        <w:t xml:space="preserve"> s</w:t>
      </w:r>
      <w:r>
        <w:rPr>
          <w:lang w:val="en-AU"/>
        </w:rPr>
        <w:t>ervices</w:t>
      </w:r>
      <w:r w:rsidRPr="004C7C43">
        <w:rPr>
          <w:lang w:val="en-AU"/>
        </w:rPr>
        <w:t xml:space="preserve"> to enable or support social and community connectedness, health and wellbeing, education and employment, and </w:t>
      </w:r>
      <w:r>
        <w:rPr>
          <w:lang w:val="en-AU"/>
        </w:rPr>
        <w:t xml:space="preserve">developing </w:t>
      </w:r>
      <w:r w:rsidRPr="004C7C43">
        <w:rPr>
          <w:lang w:val="en-AU"/>
        </w:rPr>
        <w:t>living skills</w:t>
      </w:r>
      <w:r>
        <w:rPr>
          <w:lang w:val="en-AU"/>
        </w:rPr>
        <w:t>. Clients received services or a referral to address 93% of non-housing support needs.</w:t>
      </w:r>
    </w:p>
    <w:p w14:paraId="653C39D5" w14:textId="77777777" w:rsidR="009F3010" w:rsidRDefault="009F3010">
      <w:pPr>
        <w:widowControl/>
        <w:autoSpaceDE/>
        <w:autoSpaceDN/>
        <w:spacing w:before="0" w:after="160" w:line="259" w:lineRule="auto"/>
        <w:rPr>
          <w:rFonts w:eastAsia="Times New Roman" w:cs="Calibri"/>
          <w:szCs w:val="24"/>
          <w:lang w:val="en-AU"/>
        </w:rPr>
      </w:pPr>
      <w:r>
        <w:br w:type="page"/>
      </w:r>
    </w:p>
    <w:p w14:paraId="528382E9" w14:textId="77777777" w:rsidR="009F3010" w:rsidRPr="004C7C43" w:rsidRDefault="009F3010" w:rsidP="009B6C2E">
      <w:pPr>
        <w:pStyle w:val="BodyText"/>
      </w:pPr>
      <w:r w:rsidRPr="004C7C43">
        <w:lastRenderedPageBreak/>
        <w:t xml:space="preserve">Key outcomes for people supported in </w:t>
      </w:r>
      <w:r>
        <w:t>the December</w:t>
      </w:r>
      <w:r w:rsidRPr="004C7C43">
        <w:t xml:space="preserve"> </w:t>
      </w:r>
      <w:r>
        <w:t>q</w:t>
      </w:r>
      <w:r w:rsidRPr="004C7C43">
        <w:t>uarter include:</w:t>
      </w:r>
    </w:p>
    <w:p w14:paraId="1A41F904" w14:textId="3638B565" w:rsidR="009F3010" w:rsidRDefault="009F3010" w:rsidP="00B82F87">
      <w:pPr>
        <w:pStyle w:val="Bullets"/>
      </w:pPr>
      <w:r>
        <w:t>an increase</w:t>
      </w:r>
      <w:r w:rsidRPr="004C7C43">
        <w:t xml:space="preserve"> in renters nominated on lease from 3</w:t>
      </w:r>
      <w:r>
        <w:t>5</w:t>
      </w:r>
      <w:r w:rsidRPr="004C7C43">
        <w:t xml:space="preserve">% to </w:t>
      </w:r>
      <w:r>
        <w:t>40</w:t>
      </w:r>
      <w:r w:rsidRPr="004C7C43">
        <w:t>%</w:t>
      </w:r>
      <w:r w:rsidRPr="004C7C43">
        <w:rPr>
          <w:rStyle w:val="FootnoteReference"/>
        </w:rPr>
        <w:footnoteReference w:id="15"/>
      </w:r>
    </w:p>
    <w:p w14:paraId="6FFAD628" w14:textId="3893A21C" w:rsidR="009F3010" w:rsidRDefault="009F3010" w:rsidP="00B82F87">
      <w:pPr>
        <w:pStyle w:val="Bullets"/>
      </w:pPr>
      <w:r>
        <w:t>a decrease</w:t>
      </w:r>
      <w:r w:rsidRPr="004C7C43">
        <w:t xml:space="preserve"> in people sleeping rough from 1</w:t>
      </w:r>
      <w:r>
        <w:t>2</w:t>
      </w:r>
      <w:r w:rsidRPr="004C7C43">
        <w:t xml:space="preserve">% to </w:t>
      </w:r>
      <w:r>
        <w:t>10</w:t>
      </w:r>
      <w:r w:rsidRPr="004C7C43">
        <w:t xml:space="preserve">% </w:t>
      </w:r>
    </w:p>
    <w:p w14:paraId="04F6B638" w14:textId="12BECB6A" w:rsidR="009F3010" w:rsidRPr="004E050D" w:rsidRDefault="009F3010" w:rsidP="00B82F87">
      <w:pPr>
        <w:pStyle w:val="Bullets"/>
      </w:pPr>
      <w:r>
        <w:t>an increase</w:t>
      </w:r>
      <w:r w:rsidRPr="004C7C43">
        <w:t xml:space="preserve"> in people in emergency and crisis accommodation from 1</w:t>
      </w:r>
      <w:r>
        <w:t>1</w:t>
      </w:r>
      <w:r w:rsidRPr="004C7C43">
        <w:t>% to 1</w:t>
      </w:r>
      <w:r>
        <w:t>2</w:t>
      </w:r>
      <w:r w:rsidRPr="004C7C43">
        <w:t>%</w:t>
      </w:r>
    </w:p>
    <w:p w14:paraId="07B93539" w14:textId="77777777" w:rsidR="009F3010" w:rsidRDefault="009F3010" w:rsidP="004C7060">
      <w:pPr>
        <w:widowControl/>
        <w:autoSpaceDE/>
        <w:autoSpaceDN/>
        <w:spacing w:before="0" w:after="160" w:line="259" w:lineRule="auto"/>
        <w:rPr>
          <w:b/>
          <w:lang w:val="en-AU"/>
        </w:rPr>
      </w:pPr>
      <w:r w:rsidRPr="004C7C43">
        <w:rPr>
          <w:b/>
          <w:lang w:val="en-AU"/>
        </w:rPr>
        <w:t xml:space="preserve">Key needs identified and support provided for the quarter, </w:t>
      </w:r>
      <w:r>
        <w:rPr>
          <w:b/>
          <w:lang w:val="en-AU"/>
        </w:rPr>
        <w:t>1 October to 31 December 2025</w:t>
      </w:r>
    </w:p>
    <w:p w14:paraId="673B8BFE" w14:textId="77777777" w:rsidR="009F3010" w:rsidRPr="004C7C43" w:rsidRDefault="009F3010" w:rsidP="003E3367">
      <w:pPr>
        <w:rPr>
          <w:b/>
          <w:lang w:val="en-AU"/>
        </w:rPr>
      </w:pPr>
      <w:r>
        <w:rPr>
          <w:noProof/>
          <w14:ligatures w14:val="standardContextual"/>
        </w:rPr>
        <w:drawing>
          <wp:inline distT="0" distB="0" distL="0" distR="0" wp14:anchorId="4311DC5D" wp14:editId="5E2326F6">
            <wp:extent cx="6318250" cy="3693795"/>
            <wp:effectExtent l="0" t="0" r="6350" b="1905"/>
            <wp:docPr id="2078472013" name="Chart 1" descr="Bar graph showing 10 categories, in order from largest to smallest. The first three are much larger than the others, representing advice/information, other basic assistance and long-term housing. The other categories are medium term/transitional housing, short term or emergency accommodation, advocacy/liaison on behalf of client, material aid/brokerage, financial information, assistance to sustain tenancy or prevent tenancy failuire or eviction, and assistace for family/domestic violence victim support services. Part of the bars are coloured orange to represent unmet need; the bars representing long term, medium term and short term housing are predominantly orange.">
              <a:extLst xmlns:a="http://schemas.openxmlformats.org/drawingml/2006/main">
                <a:ext uri="{FF2B5EF4-FFF2-40B4-BE49-F238E27FC236}">
                  <a16:creationId xmlns:a16="http://schemas.microsoft.com/office/drawing/2014/main" id="{7F64025B-0A1A-17FA-85BE-F69E763561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0"/>
    <w:p w14:paraId="727689A1" w14:textId="77777777" w:rsidR="009F3010" w:rsidRDefault="009F3010">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AU"/>
        </w:rPr>
      </w:pPr>
      <w:r>
        <w:br w:type="page"/>
      </w:r>
    </w:p>
    <w:p w14:paraId="488AD714" w14:textId="77777777" w:rsidR="009F3010" w:rsidRPr="00B82F87" w:rsidRDefault="009F3010" w:rsidP="00EB597B">
      <w:pPr>
        <w:pStyle w:val="Heading1"/>
      </w:pPr>
      <w:r w:rsidRPr="00B82F87">
        <w:lastRenderedPageBreak/>
        <w:t>Recommendations</w:t>
      </w:r>
    </w:p>
    <w:p w14:paraId="116A0232" w14:textId="77777777" w:rsidR="009F3010" w:rsidRPr="00342035" w:rsidRDefault="009F3010" w:rsidP="00A86219">
      <w:pPr>
        <w:widowControl/>
        <w:autoSpaceDE/>
        <w:autoSpaceDN/>
        <w:spacing w:after="160" w:line="259" w:lineRule="auto"/>
        <w:rPr>
          <w:i/>
          <w:iCs/>
          <w:lang w:val="en-AU"/>
        </w:rPr>
      </w:pPr>
      <w:r w:rsidRPr="00342035">
        <w:rPr>
          <w:szCs w:val="24"/>
          <w:lang w:val="en-AU"/>
        </w:rPr>
        <w:t>Anglicare Tasmania continues to recommend that the Federal Government increases income support payments above the poverty line.</w:t>
      </w:r>
    </w:p>
    <w:p w14:paraId="2AE2E92B" w14:textId="77777777" w:rsidR="009F3010" w:rsidRPr="00342035" w:rsidRDefault="009F3010" w:rsidP="00E040EB">
      <w:pPr>
        <w:pStyle w:val="BodyText"/>
      </w:pPr>
      <w:r w:rsidRPr="00342035">
        <w:t>Anglicare Tasmania recommends that the Tasmanian Government:</w:t>
      </w:r>
    </w:p>
    <w:p w14:paraId="5E17E884" w14:textId="77777777" w:rsidR="009F3010" w:rsidRPr="00AD16B0" w:rsidRDefault="009F3010" w:rsidP="009F3010">
      <w:pPr>
        <w:pStyle w:val="BodyText"/>
        <w:numPr>
          <w:ilvl w:val="0"/>
          <w:numId w:val="39"/>
        </w:numPr>
      </w:pPr>
      <w:r w:rsidRPr="00342035">
        <w:rPr>
          <w:b/>
        </w:rPr>
        <w:t xml:space="preserve">Works with social housing and supported accommodation providers </w:t>
      </w:r>
      <w:r w:rsidRPr="00342035" w:rsidDel="0068005A">
        <w:rPr>
          <w:b/>
        </w:rPr>
        <w:t xml:space="preserve">to </w:t>
      </w:r>
      <w:r w:rsidRPr="00342035">
        <w:rPr>
          <w:b/>
        </w:rPr>
        <w:t>improve social housing allocation to make more supported accommodation available to people who need additional support</w:t>
      </w:r>
      <w:r w:rsidRPr="00AD16B0">
        <w:t>, including people living with a mental health condition.</w:t>
      </w:r>
    </w:p>
    <w:p w14:paraId="563FFE3F" w14:textId="77777777" w:rsidR="009F3010" w:rsidRPr="00AD16B0" w:rsidRDefault="009F3010" w:rsidP="009F3010">
      <w:pPr>
        <w:pStyle w:val="BodyText"/>
        <w:numPr>
          <w:ilvl w:val="0"/>
          <w:numId w:val="39"/>
        </w:numPr>
      </w:pPr>
      <w:r w:rsidRPr="00AD16B0">
        <w:rPr>
          <w:b/>
        </w:rPr>
        <w:t>Funds delivery of more crisis accommodation, transitional housing and social homes</w:t>
      </w:r>
      <w:r w:rsidRPr="00AD16B0">
        <w:t>, including:</w:t>
      </w:r>
    </w:p>
    <w:p w14:paraId="70099F1C" w14:textId="77777777" w:rsidR="009F3010" w:rsidRPr="00AD16B0" w:rsidRDefault="009F3010" w:rsidP="009F3010">
      <w:pPr>
        <w:pStyle w:val="ListParagraph"/>
        <w:numPr>
          <w:ilvl w:val="1"/>
          <w:numId w:val="39"/>
        </w:numPr>
        <w:rPr>
          <w:lang w:val="en-AU"/>
        </w:rPr>
      </w:pPr>
      <w:r w:rsidRPr="00AD16B0">
        <w:rPr>
          <w:lang w:val="en-AU"/>
        </w:rPr>
        <w:t>investing in crisis accommodation that is safe and suitable for people living with mental health conditions</w:t>
      </w:r>
    </w:p>
    <w:p w14:paraId="3C29E86A" w14:textId="77777777" w:rsidR="009F3010" w:rsidRPr="00AD16B0" w:rsidRDefault="009F3010" w:rsidP="009F3010">
      <w:pPr>
        <w:pStyle w:val="ListParagraph"/>
        <w:numPr>
          <w:ilvl w:val="1"/>
          <w:numId w:val="39"/>
        </w:numPr>
        <w:rPr>
          <w:lang w:val="en-AU"/>
        </w:rPr>
      </w:pPr>
      <w:r w:rsidRPr="00AD16B0">
        <w:rPr>
          <w:lang w:val="en-AU"/>
        </w:rPr>
        <w:t>additional investment in transitional and long-term supported accommodation to meet the needs of people living with mental health conditions</w:t>
      </w:r>
    </w:p>
    <w:p w14:paraId="2EC5EC12" w14:textId="77777777" w:rsidR="009F3010" w:rsidRPr="006B2AFF" w:rsidRDefault="009F3010" w:rsidP="009F3010">
      <w:pPr>
        <w:pStyle w:val="ListParagraph"/>
        <w:numPr>
          <w:ilvl w:val="1"/>
          <w:numId w:val="39"/>
        </w:numPr>
        <w:rPr>
          <w:lang w:val="en-AU"/>
        </w:rPr>
      </w:pPr>
      <w:r w:rsidRPr="006B2AFF">
        <w:rPr>
          <w:lang w:val="en-AU"/>
        </w:rPr>
        <w:t xml:space="preserve">increasing crisis accommodation </w:t>
      </w:r>
      <w:r w:rsidRPr="00AD16B0">
        <w:rPr>
          <w:lang w:val="en-AU"/>
        </w:rPr>
        <w:t>that is safe and suitable</w:t>
      </w:r>
      <w:r w:rsidRPr="006B2AFF">
        <w:rPr>
          <w:lang w:val="en-AU"/>
        </w:rPr>
        <w:t xml:space="preserve"> for women and children fleeing DFV to meet demand, based on the regional prevalence of DFV</w:t>
      </w:r>
    </w:p>
    <w:p w14:paraId="79FE45E7" w14:textId="3C8E60AC" w:rsidR="009F3010" w:rsidRPr="001A6691" w:rsidRDefault="009F3010" w:rsidP="009F3010">
      <w:pPr>
        <w:pStyle w:val="ListParagraph"/>
        <w:numPr>
          <w:ilvl w:val="1"/>
          <w:numId w:val="39"/>
        </w:numPr>
        <w:rPr>
          <w:lang w:val="en-AU"/>
        </w:rPr>
      </w:pPr>
      <w:r w:rsidRPr="001A6691">
        <w:rPr>
          <w:lang w:val="en-AU"/>
        </w:rPr>
        <w:t xml:space="preserve">ensuring that housing </w:t>
      </w:r>
      <w:r w:rsidR="007266B5" w:rsidRPr="001A6691">
        <w:rPr>
          <w:lang w:val="en-AU"/>
        </w:rPr>
        <w:t>made</w:t>
      </w:r>
      <w:r w:rsidRPr="001A6691">
        <w:rPr>
          <w:lang w:val="en-AU"/>
        </w:rPr>
        <w:t xml:space="preserve"> available </w:t>
      </w:r>
      <w:r w:rsidR="007266B5" w:rsidRPr="001A6691">
        <w:rPr>
          <w:lang w:val="en-AU"/>
        </w:rPr>
        <w:t xml:space="preserve">to victim-survivors of DFV </w:t>
      </w:r>
      <w:r w:rsidRPr="001A6691">
        <w:rPr>
          <w:lang w:val="en-AU"/>
        </w:rPr>
        <w:t>is safe and suitable for the</w:t>
      </w:r>
      <w:r w:rsidR="007266B5" w:rsidRPr="001A6691">
        <w:rPr>
          <w:lang w:val="en-AU"/>
        </w:rPr>
        <w:t>ir</w:t>
      </w:r>
      <w:r w:rsidRPr="001A6691">
        <w:rPr>
          <w:lang w:val="en-AU"/>
        </w:rPr>
        <w:t xml:space="preserve"> needs.</w:t>
      </w:r>
    </w:p>
    <w:p w14:paraId="083657B9" w14:textId="78B82368" w:rsidR="009F3010" w:rsidRPr="005976A3" w:rsidRDefault="009F3010" w:rsidP="009F3010">
      <w:pPr>
        <w:pStyle w:val="BodyText"/>
        <w:numPr>
          <w:ilvl w:val="0"/>
          <w:numId w:val="39"/>
        </w:numPr>
        <w:rPr>
          <w:b/>
        </w:rPr>
      </w:pPr>
      <w:r w:rsidRPr="00AD16B0">
        <w:rPr>
          <w:b/>
        </w:rPr>
        <w:t xml:space="preserve">Works with the Australian Government to scale up investment in long-term social housing. </w:t>
      </w:r>
    </w:p>
    <w:p w14:paraId="27CFF6AD" w14:textId="77777777" w:rsidR="009F3010" w:rsidRPr="00AD16B0" w:rsidRDefault="009F3010" w:rsidP="009F3010">
      <w:pPr>
        <w:pStyle w:val="BodyText"/>
        <w:numPr>
          <w:ilvl w:val="0"/>
          <w:numId w:val="39"/>
        </w:numPr>
      </w:pPr>
      <w:r w:rsidRPr="00AD16B0">
        <w:rPr>
          <w:b/>
        </w:rPr>
        <w:t>Commits to reducing the harmful impacts of waiting for social housing</w:t>
      </w:r>
      <w:r w:rsidRPr="00AD16B0">
        <w:t xml:space="preserve"> by:</w:t>
      </w:r>
    </w:p>
    <w:p w14:paraId="7037139A" w14:textId="29335757" w:rsidR="009F3010" w:rsidRPr="006B2AFF" w:rsidRDefault="009F3010" w:rsidP="009F3010">
      <w:pPr>
        <w:pStyle w:val="ListParagraph"/>
        <w:numPr>
          <w:ilvl w:val="1"/>
          <w:numId w:val="39"/>
        </w:numPr>
        <w:rPr>
          <w:lang w:val="en-AU"/>
        </w:rPr>
      </w:pPr>
      <w:r w:rsidRPr="006B2AFF">
        <w:rPr>
          <w:lang w:val="en-AU"/>
        </w:rPr>
        <w:t>establishing targets in the next housing action plan for reducing the number of applicants on the social housing register and average waiting times for applicants, in consultation with stakeholders</w:t>
      </w:r>
    </w:p>
    <w:p w14:paraId="0BF7E319" w14:textId="77777777" w:rsidR="009F3010" w:rsidRPr="006B2AFF" w:rsidRDefault="009F3010" w:rsidP="009F3010">
      <w:pPr>
        <w:pStyle w:val="ListParagraph"/>
        <w:numPr>
          <w:ilvl w:val="1"/>
          <w:numId w:val="39"/>
        </w:numPr>
        <w:rPr>
          <w:lang w:val="en-AU"/>
        </w:rPr>
      </w:pPr>
      <w:r w:rsidRPr="006B2AFF">
        <w:rPr>
          <w:lang w:val="en-AU"/>
        </w:rPr>
        <w:t>developing a process for providing applicants with realistic estimates of waiting times and the progress of their application.</w:t>
      </w:r>
    </w:p>
    <w:p w14:paraId="3FCFFC24" w14:textId="77777777" w:rsidR="009F3010" w:rsidRPr="00A83183" w:rsidRDefault="009F3010" w:rsidP="009F3010">
      <w:pPr>
        <w:pStyle w:val="BodyText"/>
        <w:numPr>
          <w:ilvl w:val="0"/>
          <w:numId w:val="39"/>
        </w:numPr>
      </w:pPr>
      <w:r w:rsidRPr="00A83183">
        <w:rPr>
          <w:b/>
        </w:rPr>
        <w:t>Improves reporting and measurement</w:t>
      </w:r>
      <w:r w:rsidRPr="00A83183">
        <w:t xml:space="preserve"> </w:t>
      </w:r>
      <w:r w:rsidRPr="00A83183">
        <w:rPr>
          <w:b/>
        </w:rPr>
        <w:t xml:space="preserve">of progress against the Tasmanian Housing Strategy </w:t>
      </w:r>
      <w:r w:rsidRPr="00A83183">
        <w:t>by:</w:t>
      </w:r>
    </w:p>
    <w:p w14:paraId="2908C48D" w14:textId="77777777" w:rsidR="009F3010" w:rsidRPr="006B2AFF" w:rsidRDefault="009F3010" w:rsidP="009F3010">
      <w:pPr>
        <w:pStyle w:val="ListParagraph"/>
        <w:numPr>
          <w:ilvl w:val="1"/>
          <w:numId w:val="39"/>
        </w:numPr>
        <w:rPr>
          <w:lang w:val="en-AU"/>
        </w:rPr>
      </w:pPr>
      <w:r w:rsidRPr="006B2AFF">
        <w:rPr>
          <w:lang w:val="en-AU"/>
        </w:rPr>
        <w:t>clearly reporting how many of the 10,000 houses delivered by Homes Tasmania under the Action Plan are new dwellings which have been completed</w:t>
      </w:r>
    </w:p>
    <w:p w14:paraId="50691609" w14:textId="77777777" w:rsidR="009F3010" w:rsidRPr="006B2AFF" w:rsidRDefault="009F3010" w:rsidP="009F3010">
      <w:pPr>
        <w:pStyle w:val="ListParagraph"/>
        <w:numPr>
          <w:ilvl w:val="1"/>
          <w:numId w:val="39"/>
        </w:numPr>
        <w:rPr>
          <w:lang w:val="en-AU"/>
        </w:rPr>
      </w:pPr>
      <w:r w:rsidRPr="006B2AFF">
        <w:rPr>
          <w:lang w:val="en-AU"/>
        </w:rPr>
        <w:t xml:space="preserve">clearly reporting how many of the 10,000 houses delivered by Homes Tasmania under the Action Plan were affordable for people in the bottom two incomes quintiles. </w:t>
      </w:r>
    </w:p>
    <w:p w14:paraId="6A7F35AD" w14:textId="77777777" w:rsidR="009F3010" w:rsidRPr="006B2AFF" w:rsidRDefault="009F3010" w:rsidP="00E509D2">
      <w:pPr>
        <w:rPr>
          <w:b/>
          <w:lang w:val="en-AU"/>
        </w:rPr>
      </w:pPr>
    </w:p>
    <w:p w14:paraId="2D3B28F5" w14:textId="77777777" w:rsidR="009F3010" w:rsidRPr="006B2AFF" w:rsidRDefault="009F3010" w:rsidP="00E509D2">
      <w:pPr>
        <w:rPr>
          <w:sz w:val="32"/>
          <w:szCs w:val="32"/>
          <w:lang w:val="en-AU"/>
        </w:rPr>
      </w:pPr>
      <w:r w:rsidRPr="006B2AFF">
        <w:rPr>
          <w:lang w:val="en-AU"/>
        </w:rPr>
        <w:br w:type="page"/>
      </w:r>
    </w:p>
    <w:p w14:paraId="519F0330" w14:textId="77777777" w:rsidR="009F3010" w:rsidRPr="00266393" w:rsidRDefault="009F3010" w:rsidP="00EB597B">
      <w:pPr>
        <w:pStyle w:val="Heading2"/>
      </w:pPr>
      <w:r w:rsidRPr="00266393">
        <w:lastRenderedPageBreak/>
        <w:t xml:space="preserve">Acknowledgement of Country </w:t>
      </w:r>
    </w:p>
    <w:p w14:paraId="24C0FC11" w14:textId="72C32F54" w:rsidR="009F3010" w:rsidRPr="00266393" w:rsidRDefault="009F3010" w:rsidP="00FF5FB8">
      <w:pPr>
        <w:pStyle w:val="TitleinText"/>
      </w:pPr>
      <w:r w:rsidRPr="00266393">
        <w:t xml:space="preserve">Anglicare Tasmania acknowledges and pays respect to the Tasmanian Aboriginal community as the traditional and original owners and continuing custodians of this land, </w:t>
      </w:r>
      <w:proofErr w:type="spellStart"/>
      <w:r w:rsidRPr="00266393">
        <w:t>Lutruwita</w:t>
      </w:r>
      <w:proofErr w:type="spellEnd"/>
      <w:r w:rsidRPr="00266393">
        <w:t>/Tasmania, on which this project has taken place. We acknowledge Elders past and present, and Aboriginal people who have participated in and are connected with this research.</w:t>
      </w:r>
    </w:p>
    <w:p w14:paraId="1A92ED39" w14:textId="77777777" w:rsidR="009F3010" w:rsidRPr="00266393" w:rsidRDefault="009F3010" w:rsidP="00EB597B">
      <w:pPr>
        <w:pStyle w:val="Heading2"/>
      </w:pPr>
      <w:r w:rsidRPr="00266393">
        <w:t xml:space="preserve">Acknowledgements </w:t>
      </w:r>
    </w:p>
    <w:p w14:paraId="11A35D68" w14:textId="77777777" w:rsidR="009F3010" w:rsidRPr="00266393" w:rsidRDefault="009F3010" w:rsidP="005B7E29">
      <w:pPr>
        <w:rPr>
          <w:lang w:val="en-AU"/>
        </w:rPr>
      </w:pPr>
      <w:r w:rsidRPr="00266393">
        <w:rPr>
          <w:lang w:val="en-AU"/>
        </w:rPr>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43430D03" w14:textId="77777777" w:rsidR="009F3010" w:rsidRPr="00266393" w:rsidRDefault="009F3010" w:rsidP="005B7E29">
      <w:pPr>
        <w:rPr>
          <w:lang w:val="en-AU"/>
        </w:rPr>
      </w:pPr>
      <w:r w:rsidRPr="00266393">
        <w:rPr>
          <w:lang w:val="en-AU"/>
        </w:rPr>
        <w:t>The assistance of Homes Tasmania in providing data is also acknowledged.</w:t>
      </w:r>
    </w:p>
    <w:p w14:paraId="7E5708B3" w14:textId="77777777" w:rsidR="009F3010" w:rsidRPr="00266393" w:rsidRDefault="009F3010" w:rsidP="00EB597B">
      <w:pPr>
        <w:pStyle w:val="Heading2"/>
      </w:pPr>
      <w:r w:rsidRPr="00266393">
        <w:t xml:space="preserve">About Anglicare Tasmania </w:t>
      </w:r>
    </w:p>
    <w:p w14:paraId="6BF5A858" w14:textId="77777777" w:rsidR="009F3010" w:rsidRPr="00266393" w:rsidRDefault="009F3010" w:rsidP="005B7E29">
      <w:pPr>
        <w:rPr>
          <w:lang w:val="en-AU"/>
        </w:rPr>
      </w:pPr>
      <w:r w:rsidRPr="00266393">
        <w:rPr>
          <w:lang w:val="en-AU"/>
        </w:rPr>
        <w:t xml:space="preserve">Anglicare, in response to the Christian faith, strives to achieve social justice and to provide the opportunity for people in need to reach fullness of life. </w:t>
      </w:r>
    </w:p>
    <w:p w14:paraId="4A4838C5" w14:textId="77777777" w:rsidR="009F3010" w:rsidRPr="00266393" w:rsidRDefault="009F3010" w:rsidP="005B7E29">
      <w:pPr>
        <w:rPr>
          <w:lang w:val="en-AU"/>
        </w:rPr>
      </w:pPr>
      <w:r w:rsidRPr="00266393">
        <w:rPr>
          <w:lang w:val="en-AU"/>
        </w:rPr>
        <w:t xml:space="preserve">Our values: </w:t>
      </w:r>
    </w:p>
    <w:p w14:paraId="4FB6C0B2" w14:textId="77777777" w:rsidR="009F3010" w:rsidRPr="00266393" w:rsidRDefault="009F3010" w:rsidP="005B7E29">
      <w:pPr>
        <w:rPr>
          <w:lang w:val="en-AU"/>
        </w:rPr>
      </w:pPr>
      <w:r w:rsidRPr="00266393">
        <w:rPr>
          <w:b/>
          <w:lang w:val="en-AU"/>
        </w:rPr>
        <w:t>Hope</w:t>
      </w:r>
      <w:r w:rsidRPr="00266393">
        <w:rPr>
          <w:lang w:val="en-AU"/>
        </w:rPr>
        <w:t xml:space="preserve">: Confidently reaching for fullness of life. </w:t>
      </w:r>
    </w:p>
    <w:p w14:paraId="310B526B" w14:textId="77777777" w:rsidR="009F3010" w:rsidRPr="00266393" w:rsidRDefault="009F3010" w:rsidP="005B7E29">
      <w:pPr>
        <w:rPr>
          <w:lang w:val="en-AU"/>
        </w:rPr>
      </w:pPr>
      <w:r w:rsidRPr="00266393">
        <w:rPr>
          <w:b/>
          <w:lang w:val="en-AU"/>
        </w:rPr>
        <w:t>Compassion</w:t>
      </w:r>
      <w:r w:rsidRPr="00266393">
        <w:rPr>
          <w:lang w:val="en-AU"/>
        </w:rPr>
        <w:t xml:space="preserve">: Showing empathy and care for those in need. </w:t>
      </w:r>
    </w:p>
    <w:p w14:paraId="1A659FFA" w14:textId="77777777" w:rsidR="009F3010" w:rsidRPr="00266393" w:rsidRDefault="009F3010" w:rsidP="005B7E29">
      <w:pPr>
        <w:rPr>
          <w:lang w:val="en-AU"/>
        </w:rPr>
      </w:pPr>
      <w:r w:rsidRPr="00266393">
        <w:rPr>
          <w:b/>
          <w:lang w:val="en-AU"/>
        </w:rPr>
        <w:t>Justice</w:t>
      </w:r>
      <w:r w:rsidRPr="00266393">
        <w:rPr>
          <w:lang w:val="en-AU"/>
        </w:rPr>
        <w:t xml:space="preserve">: Promoting the fair distribution of resources and opportunities. </w:t>
      </w:r>
    </w:p>
    <w:p w14:paraId="47B6E9C6" w14:textId="77777777" w:rsidR="009F3010" w:rsidRPr="00266393" w:rsidRDefault="009F3010" w:rsidP="005B7E29">
      <w:pPr>
        <w:rPr>
          <w:lang w:val="en-AU"/>
        </w:rPr>
      </w:pPr>
      <w:r w:rsidRPr="00266393">
        <w:rPr>
          <w:b/>
          <w:lang w:val="en-AU"/>
        </w:rPr>
        <w:t>Respect</w:t>
      </w:r>
      <w:r w:rsidRPr="00266393">
        <w:rPr>
          <w:lang w:val="en-AU"/>
        </w:rPr>
        <w:t>: Recognising the inherent value and dignity of every person.</w:t>
      </w:r>
    </w:p>
    <w:p w14:paraId="4F33345C" w14:textId="77777777" w:rsidR="009F3010" w:rsidRPr="00266393" w:rsidRDefault="009F3010" w:rsidP="00EB597B">
      <w:pPr>
        <w:pStyle w:val="Heading2"/>
      </w:pPr>
      <w:r w:rsidRPr="00266393">
        <w:t xml:space="preserve">Anglicare Tasmania’s Social Action and Research Centre </w:t>
      </w:r>
    </w:p>
    <w:p w14:paraId="7A6C88AE" w14:textId="77777777" w:rsidR="009F3010" w:rsidRDefault="009F3010" w:rsidP="005B7E29">
      <w:pPr>
        <w:rPr>
          <w:lang w:val="en-AU"/>
        </w:rPr>
      </w:pPr>
      <w:r w:rsidRPr="00266393">
        <w:rPr>
          <w:lang w:val="en-AU"/>
        </w:rPr>
        <w:t xml:space="preserve">The Social Action and Research Centre investigate how and why Tasmanians are affected by poverty and inequality. We use what we learn to advocate for changes that improve people’s lives. </w:t>
      </w:r>
    </w:p>
    <w:p w14:paraId="30C4848E" w14:textId="77777777" w:rsidR="009F3010" w:rsidRDefault="009F3010" w:rsidP="005B7E29">
      <w:pPr>
        <w:rPr>
          <w:lang w:val="en-AU"/>
        </w:rPr>
      </w:pPr>
    </w:p>
    <w:p w14:paraId="7E1E1379" w14:textId="77777777" w:rsidR="009F3010" w:rsidRDefault="009F3010" w:rsidP="005B7E29">
      <w:pPr>
        <w:rPr>
          <w:lang w:val="en-AU"/>
        </w:rPr>
      </w:pPr>
      <w:r>
        <w:rPr>
          <w:lang w:val="en-AU"/>
        </w:rPr>
        <w:t>To request information or arrange a meeting, contact us:</w:t>
      </w:r>
    </w:p>
    <w:p w14:paraId="62DE0BA1" w14:textId="77777777" w:rsidR="009F3010" w:rsidRPr="00155C31" w:rsidRDefault="009F3010" w:rsidP="005B7E29">
      <w:pPr>
        <w:rPr>
          <w:b/>
          <w:bCs/>
          <w:lang w:val="en-AU"/>
        </w:rPr>
      </w:pPr>
      <w:r w:rsidRPr="00155C31">
        <w:rPr>
          <w:b/>
          <w:bCs/>
          <w:lang w:val="en-AU"/>
        </w:rPr>
        <w:t>Office of the CEO</w:t>
      </w:r>
    </w:p>
    <w:p w14:paraId="7B71174C" w14:textId="77777777" w:rsidR="009F3010" w:rsidRDefault="009F3010" w:rsidP="005B7E29">
      <w:pPr>
        <w:rPr>
          <w:lang w:val="en-AU"/>
        </w:rPr>
      </w:pPr>
      <w:r>
        <w:rPr>
          <w:lang w:val="en-AU"/>
        </w:rPr>
        <w:t>Anglicare Tasmania</w:t>
      </w:r>
    </w:p>
    <w:p w14:paraId="3C97A975" w14:textId="066149CB" w:rsidR="009F3010" w:rsidRDefault="009F3010" w:rsidP="005B7E29">
      <w:pPr>
        <w:rPr>
          <w:lang w:val="en-AU"/>
        </w:rPr>
      </w:pPr>
      <w:hyperlink r:id="rId15" w:history="1">
        <w:r w:rsidRPr="000807C4">
          <w:rPr>
            <w:rStyle w:val="Hyperlink"/>
            <w:rFonts w:ascii="Avenir Next" w:hAnsi="Avenir Next"/>
            <w:lang w:val="en-AU"/>
          </w:rPr>
          <w:t>c.jones@anglicare-tas.org.au</w:t>
        </w:r>
      </w:hyperlink>
    </w:p>
    <w:p w14:paraId="214CC83F" w14:textId="19865860" w:rsidR="009F3010" w:rsidRDefault="009F3010" w:rsidP="005B7E29">
      <w:pPr>
        <w:rPr>
          <w:lang w:val="en-AU"/>
        </w:rPr>
      </w:pPr>
      <w:r>
        <w:rPr>
          <w:lang w:val="en-AU"/>
        </w:rPr>
        <w:t xml:space="preserve">Phone: </w:t>
      </w:r>
      <w:r w:rsidR="001B7924" w:rsidRPr="001B7924">
        <w:rPr>
          <w:lang w:val="en-AU"/>
        </w:rPr>
        <w:t>03 6213 3562</w:t>
      </w:r>
    </w:p>
    <w:p w14:paraId="19AACB17" w14:textId="05D3F91C" w:rsidR="009F3010" w:rsidRDefault="009F3010" w:rsidP="005B7E29">
      <w:pPr>
        <w:rPr>
          <w:lang w:val="en-AU"/>
        </w:rPr>
      </w:pPr>
      <w:r>
        <w:rPr>
          <w:lang w:val="en-AU"/>
        </w:rPr>
        <w:t xml:space="preserve">You can find out more about the </w:t>
      </w:r>
      <w:hyperlink r:id="rId16" w:history="1">
        <w:r w:rsidRPr="000050B2">
          <w:rPr>
            <w:rStyle w:val="Hyperlink"/>
            <w:rFonts w:ascii="Avenir Next" w:hAnsi="Avenir Next"/>
            <w:lang w:val="en-AU"/>
          </w:rPr>
          <w:t>Social Action and Research Centre</w:t>
        </w:r>
      </w:hyperlink>
      <w:r>
        <w:rPr>
          <w:lang w:val="en-AU"/>
        </w:rPr>
        <w:t xml:space="preserve"> and access our </w:t>
      </w:r>
      <w:hyperlink r:id="rId17" w:history="1">
        <w:r w:rsidRPr="000050B2">
          <w:rPr>
            <w:rStyle w:val="Hyperlink"/>
            <w:rFonts w:ascii="Avenir Next" w:hAnsi="Avenir Next"/>
            <w:lang w:val="en-AU"/>
          </w:rPr>
          <w:t>online library of Anglicare Tasmania research</w:t>
        </w:r>
      </w:hyperlink>
      <w:r>
        <w:rPr>
          <w:lang w:val="en-AU"/>
        </w:rPr>
        <w:t xml:space="preserve"> by visiting </w:t>
      </w:r>
      <w:hyperlink r:id="rId18" w:history="1">
        <w:r w:rsidRPr="000050B2">
          <w:rPr>
            <w:rStyle w:val="Hyperlink"/>
            <w:rFonts w:ascii="Avenir Next" w:hAnsi="Avenir Next"/>
            <w:lang w:val="en-AU"/>
          </w:rPr>
          <w:t>www.anglicare-tas.org.au</w:t>
        </w:r>
      </w:hyperlink>
      <w:r>
        <w:rPr>
          <w:lang w:val="en-AU"/>
        </w:rPr>
        <w:t>.</w:t>
      </w:r>
    </w:p>
    <w:p w14:paraId="483DFFA8" w14:textId="77777777" w:rsidR="009F3010" w:rsidRDefault="009F3010" w:rsidP="005B7E29">
      <w:pPr>
        <w:rPr>
          <w:lang w:val="en-AU"/>
        </w:rPr>
      </w:pPr>
    </w:p>
    <w:p w14:paraId="41792858" w14:textId="44899CD1" w:rsidR="002157C9" w:rsidRDefault="002157C9" w:rsidP="007266B5">
      <w:pPr>
        <w:widowControl/>
        <w:autoSpaceDE/>
        <w:autoSpaceDN/>
        <w:spacing w:before="0" w:after="160" w:line="259" w:lineRule="auto"/>
      </w:pPr>
    </w:p>
    <w:sectPr w:rsidR="002157C9" w:rsidSect="001A6691">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AF08" w14:textId="77777777" w:rsidR="009F3010" w:rsidRDefault="009F3010" w:rsidP="009F3010">
      <w:pPr>
        <w:spacing w:before="0" w:after="0"/>
      </w:pPr>
      <w:r>
        <w:separator/>
      </w:r>
    </w:p>
  </w:endnote>
  <w:endnote w:type="continuationSeparator" w:id="0">
    <w:p w14:paraId="1B439041" w14:textId="77777777" w:rsidR="009F3010" w:rsidRDefault="009F3010" w:rsidP="009F30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ra">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2AF4622" w14:textId="77777777" w:rsidR="009F3010" w:rsidRPr="0000085C" w:rsidRDefault="009F3010" w:rsidP="00E509D2">
        <w:pPr>
          <w:pStyle w:val="Footer"/>
          <w:framePr w:wrap="none" w:vAnchor="text" w:hAnchor="margin" w:xAlign="right" w:y="1"/>
          <w:rPr>
            <w:rStyle w:val="PageNumber"/>
          </w:rPr>
        </w:pPr>
        <w:r w:rsidRPr="0000085C">
          <w:rPr>
            <w:rStyle w:val="PageNumber"/>
          </w:rPr>
          <w:fldChar w:fldCharType="begin"/>
        </w:r>
        <w:r w:rsidRPr="0000085C">
          <w:rPr>
            <w:rStyle w:val="PageNumber"/>
          </w:rPr>
          <w:instrText xml:space="preserve"> PAGE </w:instrText>
        </w:r>
        <w:r w:rsidRPr="0000085C">
          <w:rPr>
            <w:rStyle w:val="PageNumber"/>
          </w:rPr>
          <w:fldChar w:fldCharType="separate"/>
        </w:r>
        <w:r w:rsidRPr="00BC7966">
          <w:rPr>
            <w:rStyle w:val="PageNumber"/>
          </w:rPr>
          <w:t>4</w:t>
        </w:r>
        <w:r w:rsidRPr="0000085C">
          <w:rPr>
            <w:rStyle w:val="PageNumber"/>
          </w:rPr>
          <w:fldChar w:fldCharType="end"/>
        </w:r>
      </w:p>
    </w:sdtContent>
  </w:sdt>
  <w:p w14:paraId="19222C31" w14:textId="77777777" w:rsidR="009F3010" w:rsidRPr="0000085C" w:rsidRDefault="009F3010" w:rsidP="00E50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950165"/>
      <w:docPartObj>
        <w:docPartGallery w:val="Page Numbers (Bottom of Page)"/>
        <w:docPartUnique/>
      </w:docPartObj>
    </w:sdtPr>
    <w:sdtEndPr/>
    <w:sdtContent>
      <w:p w14:paraId="3982473B" w14:textId="77777777" w:rsidR="009F3010" w:rsidRPr="0000085C" w:rsidRDefault="009F3010">
        <w:pPr>
          <w:pStyle w:val="Footer"/>
        </w:pPr>
        <w:r w:rsidRPr="00BC7966">
          <w:fldChar w:fldCharType="begin"/>
        </w:r>
        <w:r w:rsidRPr="0000085C">
          <w:instrText xml:space="preserve"> PAGE   \* MERGEFORMAT </w:instrText>
        </w:r>
        <w:r w:rsidRPr="00BC7966">
          <w:fldChar w:fldCharType="separate"/>
        </w:r>
        <w:r w:rsidRPr="00BC7966">
          <w:t>2</w:t>
        </w:r>
        <w:r w:rsidRPr="00BC7966">
          <w:fldChar w:fldCharType="end"/>
        </w:r>
      </w:p>
    </w:sdtContent>
  </w:sdt>
  <w:p w14:paraId="55F37022" w14:textId="77777777" w:rsidR="009F3010" w:rsidRPr="0000085C" w:rsidRDefault="009F3010" w:rsidP="00E509D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839D" w14:textId="77777777" w:rsidR="009F3010" w:rsidRDefault="009F3010" w:rsidP="009F3010">
      <w:pPr>
        <w:spacing w:before="0" w:after="0"/>
      </w:pPr>
      <w:r>
        <w:separator/>
      </w:r>
    </w:p>
  </w:footnote>
  <w:footnote w:type="continuationSeparator" w:id="0">
    <w:p w14:paraId="1E7734D0" w14:textId="77777777" w:rsidR="009F3010" w:rsidRDefault="009F3010" w:rsidP="009F3010">
      <w:pPr>
        <w:spacing w:before="0" w:after="0"/>
      </w:pPr>
      <w:r>
        <w:continuationSeparator/>
      </w:r>
    </w:p>
  </w:footnote>
  <w:footnote w:id="1">
    <w:p w14:paraId="5C6C9831" w14:textId="77777777" w:rsidR="009F3010" w:rsidRPr="009532EA" w:rsidRDefault="009F3010">
      <w:pPr>
        <w:pStyle w:val="FootnoteText"/>
        <w:rPr>
          <w:lang w:val="en-AU"/>
        </w:rPr>
      </w:pPr>
      <w:r>
        <w:rPr>
          <w:rStyle w:val="FootnoteReference"/>
        </w:rPr>
        <w:footnoteRef/>
      </w:r>
      <w:r>
        <w:t xml:space="preserve"> </w:t>
      </w:r>
      <w:r w:rsidRPr="009532EA">
        <w:rPr>
          <w:lang w:val="en-AU"/>
        </w:rPr>
        <w:t xml:space="preserve">Jackson A (2026) </w:t>
      </w:r>
      <w:hyperlink r:id="rId1" w:history="1">
        <w:r w:rsidRPr="009532EA">
          <w:rPr>
            <w:rStyle w:val="Hyperlink"/>
            <w:rFonts w:ascii="Avenir Next" w:hAnsi="Avenir Next"/>
            <w:lang w:val="en-AU"/>
          </w:rPr>
          <w:t>'A stronger focus on prevention could help governments rein in health care and social spending'</w:t>
        </w:r>
      </w:hyperlink>
      <w:r w:rsidRPr="009532EA">
        <w:rPr>
          <w:lang w:val="en-AU"/>
        </w:rPr>
        <w:t xml:space="preserve">, </w:t>
      </w:r>
      <w:r w:rsidRPr="009532EA">
        <w:rPr>
          <w:i/>
          <w:iCs/>
          <w:lang w:val="en-AU"/>
        </w:rPr>
        <w:t>The Conversation</w:t>
      </w:r>
      <w:r w:rsidRPr="009532EA">
        <w:rPr>
          <w:lang w:val="en-AU"/>
        </w:rPr>
        <w:t>, 21 January, accessed January 2026.</w:t>
      </w:r>
    </w:p>
  </w:footnote>
  <w:footnote w:id="2">
    <w:p w14:paraId="4D1783F0" w14:textId="77777777" w:rsidR="009F3010" w:rsidRPr="009532EA" w:rsidRDefault="009F3010">
      <w:pPr>
        <w:pStyle w:val="FootnoteText"/>
        <w:rPr>
          <w:lang w:val="en-AU"/>
        </w:rPr>
      </w:pPr>
      <w:r>
        <w:rPr>
          <w:rStyle w:val="FootnoteReference"/>
        </w:rPr>
        <w:footnoteRef/>
      </w:r>
      <w:r>
        <w:t xml:space="preserve"> </w:t>
      </w:r>
      <w:r w:rsidRPr="009532EA">
        <w:rPr>
          <w:lang w:val="en-AU"/>
        </w:rPr>
        <w:t xml:space="preserve">Wood L, Flatau P, </w:t>
      </w:r>
      <w:proofErr w:type="spellStart"/>
      <w:r w:rsidRPr="009532EA">
        <w:rPr>
          <w:lang w:val="en-AU"/>
        </w:rPr>
        <w:t>Zaretzky</w:t>
      </w:r>
      <w:proofErr w:type="spellEnd"/>
      <w:r w:rsidRPr="009532EA">
        <w:rPr>
          <w:lang w:val="en-AU"/>
        </w:rPr>
        <w:t xml:space="preserve"> K, Foster S, </w:t>
      </w:r>
      <w:proofErr w:type="spellStart"/>
      <w:r w:rsidRPr="009532EA">
        <w:rPr>
          <w:lang w:val="en-AU"/>
        </w:rPr>
        <w:t>Vallesi</w:t>
      </w:r>
      <w:proofErr w:type="spellEnd"/>
      <w:r w:rsidRPr="009532EA">
        <w:rPr>
          <w:lang w:val="en-AU"/>
        </w:rPr>
        <w:t xml:space="preserve"> S and </w:t>
      </w:r>
      <w:proofErr w:type="spellStart"/>
      <w:r w:rsidRPr="009532EA">
        <w:rPr>
          <w:lang w:val="en-AU"/>
        </w:rPr>
        <w:t>Miscenko</w:t>
      </w:r>
      <w:proofErr w:type="spellEnd"/>
      <w:r w:rsidRPr="009532EA">
        <w:rPr>
          <w:lang w:val="en-AU"/>
        </w:rPr>
        <w:t xml:space="preserve"> D (2016) </w:t>
      </w:r>
      <w:r w:rsidRPr="009532EA">
        <w:rPr>
          <w:i/>
          <w:iCs/>
          <w:lang w:val="en-AU"/>
        </w:rPr>
        <w:t>What are the health, social and economic benefits of providing public housing and support to formerly homeless people?</w:t>
      </w:r>
      <w:r w:rsidRPr="009532EA">
        <w:rPr>
          <w:lang w:val="en-AU"/>
        </w:rPr>
        <w:t>, AHURI Final Report No. 265, Australian Housing and Urban Research Institute, Melbourne.</w:t>
      </w:r>
    </w:p>
  </w:footnote>
  <w:footnote w:id="3">
    <w:p w14:paraId="1A2D7CDC" w14:textId="77777777" w:rsidR="009F3010" w:rsidRPr="00781DB7" w:rsidRDefault="009F3010">
      <w:pPr>
        <w:pStyle w:val="FootnoteText"/>
        <w:rPr>
          <w:lang w:val="en-AU"/>
        </w:rPr>
      </w:pPr>
      <w:r>
        <w:rPr>
          <w:rStyle w:val="FootnoteReference"/>
        </w:rPr>
        <w:footnoteRef/>
      </w:r>
      <w:r>
        <w:t xml:space="preserve"> Tasmanian Department of Premier and Cabinet (2025) </w:t>
      </w:r>
      <w:r>
        <w:rPr>
          <w:i/>
          <w:iCs/>
        </w:rPr>
        <w:t>The Wellbeing Framework</w:t>
      </w:r>
      <w:r>
        <w:t>, Tasmanian Government, Hobart.</w:t>
      </w:r>
    </w:p>
  </w:footnote>
  <w:footnote w:id="4">
    <w:p w14:paraId="5E1BC243" w14:textId="207D1D6A" w:rsidR="009F3010" w:rsidRPr="001F7BF9" w:rsidRDefault="009F3010">
      <w:pPr>
        <w:pStyle w:val="FootnoteText"/>
        <w:rPr>
          <w:lang w:val="en-AU"/>
        </w:rPr>
      </w:pPr>
      <w:r>
        <w:rPr>
          <w:rStyle w:val="FootnoteReference"/>
        </w:rPr>
        <w:footnoteRef/>
      </w:r>
      <w:r>
        <w:t xml:space="preserve"> </w:t>
      </w:r>
      <w:r w:rsidRPr="001F7BF9">
        <w:rPr>
          <w:lang w:val="en-AU"/>
        </w:rPr>
        <w:t xml:space="preserve">News Corp Australia (2025) </w:t>
      </w:r>
      <w:hyperlink r:id="rId2" w:history="1">
        <w:r w:rsidRPr="001F7BF9">
          <w:rPr>
            <w:rStyle w:val="Hyperlink"/>
            <w:rFonts w:ascii="Avenir Next" w:hAnsi="Avenir Next"/>
            <w:lang w:val="en-AU"/>
          </w:rPr>
          <w:t>'Shut out: Hobart homebuyers face $64k income hike'</w:t>
        </w:r>
      </w:hyperlink>
      <w:r w:rsidRPr="001F7BF9">
        <w:rPr>
          <w:lang w:val="en-AU"/>
        </w:rPr>
        <w:t xml:space="preserve">, </w:t>
      </w:r>
      <w:r w:rsidRPr="001F7BF9">
        <w:rPr>
          <w:i/>
          <w:iCs/>
          <w:lang w:val="en-AU"/>
        </w:rPr>
        <w:t>realestate.com.au News</w:t>
      </w:r>
      <w:r w:rsidRPr="001F7BF9">
        <w:rPr>
          <w:lang w:val="en-AU"/>
        </w:rPr>
        <w:t>, 7 June, accessed January 2026.</w:t>
      </w:r>
    </w:p>
  </w:footnote>
  <w:footnote w:id="5">
    <w:p w14:paraId="69F862F9" w14:textId="429E8D9D" w:rsidR="009F3010" w:rsidRPr="00C0093A" w:rsidRDefault="009F3010">
      <w:pPr>
        <w:pStyle w:val="FootnoteText"/>
        <w:rPr>
          <w:lang w:val="en-AU"/>
        </w:rPr>
      </w:pPr>
      <w:r>
        <w:rPr>
          <w:rStyle w:val="FootnoteReference"/>
        </w:rPr>
        <w:footnoteRef/>
      </w:r>
      <w:r>
        <w:t xml:space="preserve"> </w:t>
      </w:r>
      <w:r>
        <w:rPr>
          <w:noProof/>
        </w:rPr>
        <w:t xml:space="preserve">Anglicare Tasmania </w:t>
      </w:r>
      <w:r w:rsidR="00C0093A">
        <w:rPr>
          <w:noProof/>
        </w:rPr>
        <w:t>(</w:t>
      </w:r>
      <w:r>
        <w:rPr>
          <w:noProof/>
        </w:rPr>
        <w:t>2025</w:t>
      </w:r>
      <w:r w:rsidR="00C0093A">
        <w:rPr>
          <w:noProof/>
        </w:rPr>
        <w:t xml:space="preserve">) </w:t>
      </w:r>
      <w:r w:rsidR="00C0093A">
        <w:rPr>
          <w:i/>
          <w:iCs/>
          <w:noProof/>
        </w:rPr>
        <w:t>Rental affordability snapshot 2025</w:t>
      </w:r>
      <w:r w:rsidR="00C0093A">
        <w:rPr>
          <w:noProof/>
        </w:rPr>
        <w:t>, Social Action and Research Centre, Anglicare Tasmania, Hobart.</w:t>
      </w:r>
    </w:p>
  </w:footnote>
  <w:footnote w:id="6">
    <w:p w14:paraId="78F9D41A" w14:textId="219F3D55" w:rsidR="009F3010" w:rsidRPr="00C0093A" w:rsidRDefault="009F3010">
      <w:pPr>
        <w:pStyle w:val="FootnoteText"/>
        <w:rPr>
          <w:lang w:val="en-AU"/>
        </w:rPr>
      </w:pPr>
      <w:r>
        <w:rPr>
          <w:rStyle w:val="FootnoteReference"/>
        </w:rPr>
        <w:footnoteRef/>
      </w:r>
      <w:r w:rsidR="00C0093A">
        <w:rPr>
          <w:lang w:val="en-AU"/>
        </w:rPr>
        <w:t xml:space="preserve"> Tenants’ Union of Tasmania (2025) </w:t>
      </w:r>
      <w:r w:rsidR="00C0093A">
        <w:rPr>
          <w:i/>
          <w:iCs/>
          <w:lang w:val="en-AU"/>
        </w:rPr>
        <w:t>Tasmanian Rents September 2025</w:t>
      </w:r>
      <w:r w:rsidR="00C0093A">
        <w:rPr>
          <w:lang w:val="en-AU"/>
        </w:rPr>
        <w:t>, TUT, Hobart.</w:t>
      </w:r>
    </w:p>
  </w:footnote>
  <w:footnote w:id="7">
    <w:p w14:paraId="234AEDFF" w14:textId="4B5169A1" w:rsidR="009F3010" w:rsidRPr="004C416F" w:rsidRDefault="009F3010">
      <w:pPr>
        <w:pStyle w:val="FootnoteText"/>
        <w:rPr>
          <w:lang w:val="en-AU"/>
        </w:rPr>
      </w:pPr>
      <w:r>
        <w:rPr>
          <w:rStyle w:val="FootnoteReference"/>
        </w:rPr>
        <w:footnoteRef/>
      </w:r>
      <w:r>
        <w:t xml:space="preserve"> </w:t>
      </w:r>
      <w:r w:rsidR="00C0093A">
        <w:rPr>
          <w:lang w:val="en-AU"/>
        </w:rPr>
        <w:t xml:space="preserve">Tenants’ Union of Tasmania (2025) </w:t>
      </w:r>
      <w:r w:rsidR="00C0093A">
        <w:rPr>
          <w:i/>
          <w:iCs/>
          <w:lang w:val="en-AU"/>
        </w:rPr>
        <w:t>Tasmanian Rents September 2025</w:t>
      </w:r>
      <w:r w:rsidR="00C0093A">
        <w:rPr>
          <w:lang w:val="en-AU"/>
        </w:rPr>
        <w:t>, TUT, Hobart.</w:t>
      </w:r>
    </w:p>
  </w:footnote>
  <w:footnote w:id="8">
    <w:p w14:paraId="0C990F8E" w14:textId="77777777" w:rsidR="009F3010" w:rsidRPr="001F7BF9" w:rsidRDefault="009F3010">
      <w:pPr>
        <w:pStyle w:val="FootnoteText"/>
        <w:rPr>
          <w:lang w:val="en-AU"/>
        </w:rPr>
      </w:pPr>
      <w:r>
        <w:rPr>
          <w:rStyle w:val="FootnoteReference"/>
        </w:rPr>
        <w:footnoteRef/>
      </w:r>
      <w:r>
        <w:t xml:space="preserve"> </w:t>
      </w:r>
      <w:r w:rsidRPr="001F7BF9">
        <w:rPr>
          <w:lang w:val="en-AU"/>
        </w:rPr>
        <w:t xml:space="preserve">Johnson G, Scutella R, Tseng Y-P and Wood G (2018) </w:t>
      </w:r>
      <w:hyperlink r:id="rId3" w:history="1">
        <w:r w:rsidRPr="001F7BF9">
          <w:rPr>
            <w:rStyle w:val="Hyperlink"/>
            <w:rFonts w:ascii="Avenir Next" w:hAnsi="Avenir Next"/>
            <w:lang w:val="en-AU"/>
          </w:rPr>
          <w:t>'How do housing and labour markets affect individual homelessness?'</w:t>
        </w:r>
      </w:hyperlink>
      <w:r w:rsidRPr="001F7BF9">
        <w:rPr>
          <w:lang w:val="en-AU"/>
        </w:rPr>
        <w:t xml:space="preserve">, </w:t>
      </w:r>
      <w:r w:rsidRPr="001F7BF9">
        <w:rPr>
          <w:i/>
          <w:iCs/>
          <w:lang w:val="en-AU"/>
        </w:rPr>
        <w:t>Housing Studies,</w:t>
      </w:r>
      <w:r w:rsidRPr="001F7BF9">
        <w:rPr>
          <w:lang w:val="en-AU"/>
        </w:rPr>
        <w:t xml:space="preserve"> </w:t>
      </w:r>
      <w:r>
        <w:rPr>
          <w:lang w:val="en-AU"/>
        </w:rPr>
        <w:t xml:space="preserve">DOI: </w:t>
      </w:r>
      <w:r w:rsidRPr="001F7BF9">
        <w:rPr>
          <w:lang w:val="en-AU"/>
        </w:rPr>
        <w:t>10.1080/02673037.2018.1520819, accessed January 2026.</w:t>
      </w:r>
    </w:p>
  </w:footnote>
  <w:footnote w:id="9">
    <w:p w14:paraId="30B45579" w14:textId="77777777" w:rsidR="001A6691" w:rsidRPr="00FF5FB8" w:rsidRDefault="001A6691" w:rsidP="001A6691">
      <w:pPr>
        <w:pStyle w:val="FootnoteText"/>
        <w:rPr>
          <w:lang w:val="en-AU"/>
        </w:rPr>
      </w:pPr>
      <w:r>
        <w:rPr>
          <w:rStyle w:val="FootnoteReference"/>
        </w:rPr>
        <w:footnoteRef/>
      </w:r>
      <w:r>
        <w:t xml:space="preserve"> </w:t>
      </w:r>
      <w:r w:rsidRPr="008E0493">
        <w:rPr>
          <w:lang w:val="en-AU"/>
        </w:rPr>
        <w:t xml:space="preserve">Wood L, Flatau P, </w:t>
      </w:r>
      <w:proofErr w:type="spellStart"/>
      <w:r w:rsidRPr="008E0493">
        <w:rPr>
          <w:lang w:val="en-AU"/>
        </w:rPr>
        <w:t>Zaretzky</w:t>
      </w:r>
      <w:proofErr w:type="spellEnd"/>
      <w:r w:rsidRPr="008E0493">
        <w:rPr>
          <w:lang w:val="en-AU"/>
        </w:rPr>
        <w:t xml:space="preserve"> K, Foster S, </w:t>
      </w:r>
      <w:proofErr w:type="spellStart"/>
      <w:r w:rsidRPr="008E0493">
        <w:rPr>
          <w:lang w:val="en-AU"/>
        </w:rPr>
        <w:t>Vallesi</w:t>
      </w:r>
      <w:proofErr w:type="spellEnd"/>
      <w:r w:rsidRPr="008E0493">
        <w:rPr>
          <w:lang w:val="en-AU"/>
        </w:rPr>
        <w:t xml:space="preserve"> S and </w:t>
      </w:r>
      <w:proofErr w:type="spellStart"/>
      <w:r w:rsidRPr="008E0493">
        <w:rPr>
          <w:lang w:val="en-AU"/>
        </w:rPr>
        <w:t>Miscenko</w:t>
      </w:r>
      <w:proofErr w:type="spellEnd"/>
      <w:r w:rsidRPr="008E0493">
        <w:rPr>
          <w:lang w:val="en-AU"/>
        </w:rPr>
        <w:t xml:space="preserve"> D (2016) </w:t>
      </w:r>
      <w:r w:rsidRPr="008E0493">
        <w:rPr>
          <w:i/>
          <w:iCs/>
          <w:lang w:val="en-AU"/>
        </w:rPr>
        <w:t>What are the health, social and economic benefits of providing public housing and support to formerly homeless people?</w:t>
      </w:r>
      <w:r w:rsidRPr="008E0493">
        <w:rPr>
          <w:lang w:val="en-AU"/>
        </w:rPr>
        <w:t>, AHURI Final Report No. 265, Australian Housing and Urban Research Institute, Melbourne.</w:t>
      </w:r>
    </w:p>
  </w:footnote>
  <w:footnote w:id="10">
    <w:p w14:paraId="25AE9B18" w14:textId="77777777" w:rsidR="00006A94" w:rsidRPr="00E97843" w:rsidRDefault="00006A94" w:rsidP="00006A94">
      <w:pPr>
        <w:pStyle w:val="FootnoteText"/>
        <w:rPr>
          <w:lang w:val="en-AU"/>
        </w:rPr>
      </w:pPr>
      <w:r>
        <w:rPr>
          <w:rStyle w:val="FootnoteReference"/>
        </w:rPr>
        <w:footnoteRef/>
      </w:r>
      <w:r>
        <w:t xml:space="preserve"> </w:t>
      </w:r>
      <w:r w:rsidRPr="00530BD2">
        <w:t>Equivalised total household income is household income adjusted to facilitate comparison of income levels between households of differing size and composition. This variable reflects that a larger household would normally need more income than a smaller household to achieve the same standard of living.</w:t>
      </w:r>
    </w:p>
  </w:footnote>
  <w:footnote w:id="11">
    <w:p w14:paraId="6FEC2BA0" w14:textId="77777777" w:rsidR="009F3010" w:rsidRPr="003F3BC5" w:rsidRDefault="009F3010">
      <w:pPr>
        <w:pStyle w:val="FootnoteText"/>
        <w:rPr>
          <w:lang w:val="en-AU"/>
        </w:rPr>
      </w:pPr>
      <w:r>
        <w:rPr>
          <w:rStyle w:val="FootnoteReference"/>
        </w:rPr>
        <w:footnoteRef/>
      </w:r>
      <w:r>
        <w:t xml:space="preserve">Based on change in </w:t>
      </w:r>
      <w:r>
        <w:rPr>
          <w:lang w:val="en-AU"/>
        </w:rPr>
        <w:t>median Tasmanian rent index (TUT) and Tasmanian wage price index (ABS) between September 2024 and September 2025.</w:t>
      </w:r>
    </w:p>
  </w:footnote>
  <w:footnote w:id="12">
    <w:p w14:paraId="52528552" w14:textId="31AA6BCA" w:rsidR="009F3010" w:rsidRPr="00E14F11" w:rsidRDefault="009F3010">
      <w:pPr>
        <w:pStyle w:val="FootnoteText"/>
        <w:rPr>
          <w:lang w:val="en-AU"/>
        </w:rPr>
      </w:pPr>
      <w:r>
        <w:rPr>
          <w:rStyle w:val="FootnoteReference"/>
        </w:rPr>
        <w:footnoteRef/>
      </w:r>
      <w:r>
        <w:t xml:space="preserve"> </w:t>
      </w:r>
      <w:r>
        <w:rPr>
          <w:lang w:val="en-AU"/>
        </w:rPr>
        <w:t>Tasmanian Rental Affordability Snapshot 2025 found that 0% of properties were affordable for people receiving Jobseeker, Youth Allowance, Disability Support Pension or Parenting Payment Single as their main source of income and for people receiving Age Pension who wished to live alone.</w:t>
      </w:r>
    </w:p>
  </w:footnote>
  <w:footnote w:id="13">
    <w:p w14:paraId="42D17FB8" w14:textId="029CFF9C" w:rsidR="009F3010" w:rsidRPr="00BF02B7" w:rsidRDefault="009F3010">
      <w:pPr>
        <w:pStyle w:val="FootnoteText"/>
        <w:rPr>
          <w:lang w:val="en-AU"/>
        </w:rPr>
      </w:pPr>
      <w:r>
        <w:rPr>
          <w:rStyle w:val="FootnoteReference"/>
        </w:rPr>
        <w:footnoteRef/>
      </w:r>
      <w:r>
        <w:t xml:space="preserve"> </w:t>
      </w:r>
      <w:r>
        <w:rPr>
          <w:lang w:val="en-AU"/>
        </w:rPr>
        <w:t>Homes Tasmania Housing Dashboard December 2025</w:t>
      </w:r>
    </w:p>
  </w:footnote>
  <w:footnote w:id="14">
    <w:p w14:paraId="7A1D8304" w14:textId="5C06C156" w:rsidR="009F3010" w:rsidRPr="0096691B" w:rsidRDefault="009F3010">
      <w:pPr>
        <w:pStyle w:val="FootnoteText"/>
        <w:rPr>
          <w:lang w:val="en-AU"/>
        </w:rPr>
      </w:pPr>
      <w:r>
        <w:rPr>
          <w:rStyle w:val="FootnoteReference"/>
        </w:rPr>
        <w:footnoteRef/>
      </w:r>
      <w:r>
        <w:t xml:space="preserve"> </w:t>
      </w:r>
      <w:r>
        <w:rPr>
          <w:lang w:val="en-AU"/>
        </w:rPr>
        <w:t>Homes Tasmania Housing Dashboard December 2025</w:t>
      </w:r>
    </w:p>
  </w:footnote>
  <w:footnote w:id="15">
    <w:p w14:paraId="5938341A" w14:textId="77777777" w:rsidR="009F3010" w:rsidRPr="00C17111" w:rsidRDefault="009F3010" w:rsidP="009B6C2E">
      <w:pPr>
        <w:pStyle w:val="FootnoteText"/>
        <w:rPr>
          <w:lang w:val="en-AU"/>
        </w:rPr>
      </w:pPr>
      <w:r w:rsidRPr="0000085C">
        <w:rPr>
          <w:rStyle w:val="FootnoteReference"/>
        </w:rPr>
        <w:footnoteRef/>
      </w:r>
      <w:r w:rsidRPr="0000085C">
        <w:t xml:space="preserve"> Having a lease in place and being nominated on the lease is the most secure form of leased tenure.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D66"/>
    <w:multiLevelType w:val="hybridMultilevel"/>
    <w:tmpl w:val="B794343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B55EE"/>
    <w:multiLevelType w:val="hybridMultilevel"/>
    <w:tmpl w:val="D698237E"/>
    <w:lvl w:ilvl="0" w:tplc="0090D9B0">
      <w:start w:val="4"/>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2" w15:restartNumberingAfterBreak="0">
    <w:nsid w:val="0691205A"/>
    <w:multiLevelType w:val="hybridMultilevel"/>
    <w:tmpl w:val="9F34405A"/>
    <w:lvl w:ilvl="0" w:tplc="327C44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33CD6"/>
    <w:multiLevelType w:val="hybridMultilevel"/>
    <w:tmpl w:val="800CC8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A65F2B"/>
    <w:multiLevelType w:val="hybridMultilevel"/>
    <w:tmpl w:val="ACB65E6A"/>
    <w:lvl w:ilvl="0" w:tplc="71E26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A63EEA"/>
    <w:multiLevelType w:val="hybridMultilevel"/>
    <w:tmpl w:val="97C626F8"/>
    <w:lvl w:ilvl="0" w:tplc="1C1CE8D2">
      <w:start w:val="3"/>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435F25"/>
    <w:multiLevelType w:val="hybridMultilevel"/>
    <w:tmpl w:val="BC42CE9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58EE2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794CE8"/>
    <w:multiLevelType w:val="hybridMultilevel"/>
    <w:tmpl w:val="0A40B690"/>
    <w:lvl w:ilvl="0" w:tplc="2F8A3F62">
      <w:start w:val="1"/>
      <w:numFmt w:val="bullet"/>
      <w:pStyle w:val="Bullets"/>
      <w:lvlText w:val=""/>
      <w:lvlJc w:val="left"/>
      <w:pPr>
        <w:ind w:left="360" w:hanging="360"/>
      </w:pPr>
      <w:rPr>
        <w:rFonts w:ascii="Symbol" w:hAnsi="Symbol" w:hint="default"/>
        <w:color w:val="FFC000"/>
        <w:sz w:val="24"/>
        <w:szCs w:val="24"/>
      </w:rPr>
    </w:lvl>
    <w:lvl w:ilvl="1" w:tplc="0C090003">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9" w15:restartNumberingAfterBreak="0">
    <w:nsid w:val="17BC3B0B"/>
    <w:multiLevelType w:val="hybridMultilevel"/>
    <w:tmpl w:val="C20C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39399C"/>
    <w:multiLevelType w:val="hybridMultilevel"/>
    <w:tmpl w:val="DACEA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55212"/>
    <w:multiLevelType w:val="hybridMultilevel"/>
    <w:tmpl w:val="52F4C992"/>
    <w:lvl w:ilvl="0" w:tplc="749CF2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CF1B4B"/>
    <w:multiLevelType w:val="hybridMultilevel"/>
    <w:tmpl w:val="9C944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7179A6"/>
    <w:multiLevelType w:val="hybridMultilevel"/>
    <w:tmpl w:val="469A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CE6070"/>
    <w:multiLevelType w:val="multilevel"/>
    <w:tmpl w:val="C7A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C5D9A"/>
    <w:multiLevelType w:val="hybridMultilevel"/>
    <w:tmpl w:val="64D82A70"/>
    <w:lvl w:ilvl="0" w:tplc="47285A26">
      <w:start w:val="2"/>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2B7BC4"/>
    <w:multiLevelType w:val="hybridMultilevel"/>
    <w:tmpl w:val="590A626E"/>
    <w:lvl w:ilvl="0" w:tplc="7A86C89A">
      <w:start w:val="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01D8E"/>
    <w:multiLevelType w:val="hybridMultilevel"/>
    <w:tmpl w:val="B06CAF38"/>
    <w:lvl w:ilvl="0" w:tplc="5476B7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7325C"/>
    <w:multiLevelType w:val="hybridMultilevel"/>
    <w:tmpl w:val="4A3A04AE"/>
    <w:lvl w:ilvl="0" w:tplc="CAF480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7B7E37"/>
    <w:multiLevelType w:val="hybridMultilevel"/>
    <w:tmpl w:val="5F0A63B8"/>
    <w:lvl w:ilvl="0" w:tplc="21D8B6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D333E"/>
    <w:multiLevelType w:val="hybridMultilevel"/>
    <w:tmpl w:val="76728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58415F"/>
    <w:multiLevelType w:val="multilevel"/>
    <w:tmpl w:val="3D3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52510"/>
    <w:multiLevelType w:val="hybridMultilevel"/>
    <w:tmpl w:val="D5246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81216F"/>
    <w:multiLevelType w:val="hybridMultilevel"/>
    <w:tmpl w:val="3C90D926"/>
    <w:lvl w:ilvl="0" w:tplc="04E4008C">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24" w15:restartNumberingAfterBreak="0">
    <w:nsid w:val="3E841D94"/>
    <w:multiLevelType w:val="hybridMultilevel"/>
    <w:tmpl w:val="6D4C8064"/>
    <w:lvl w:ilvl="0" w:tplc="FC6691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01140B"/>
    <w:multiLevelType w:val="multilevel"/>
    <w:tmpl w:val="1DB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D7BBB"/>
    <w:multiLevelType w:val="hybridMultilevel"/>
    <w:tmpl w:val="2F24EFDC"/>
    <w:lvl w:ilvl="0" w:tplc="7AA6AA2E">
      <w:start w:val="5"/>
      <w:numFmt w:val="bullet"/>
      <w:lvlText w:val="-"/>
      <w:lvlJc w:val="left"/>
      <w:pPr>
        <w:ind w:left="927" w:hanging="360"/>
      </w:pPr>
      <w:rPr>
        <w:rFonts w:ascii="Avenir Next" w:eastAsia="AvenirNext LT Pro Bold" w:hAnsi="Avenir Next" w:cs="AvenirNext LT Pro Bold"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436534E3"/>
    <w:multiLevelType w:val="hybridMultilevel"/>
    <w:tmpl w:val="46B894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9981575"/>
    <w:multiLevelType w:val="hybridMultilevel"/>
    <w:tmpl w:val="BC04627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4C0A54C0"/>
    <w:multiLevelType w:val="hybridMultilevel"/>
    <w:tmpl w:val="2E60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7831A8"/>
    <w:multiLevelType w:val="hybridMultilevel"/>
    <w:tmpl w:val="F1943D88"/>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CC2828"/>
    <w:multiLevelType w:val="hybridMultilevel"/>
    <w:tmpl w:val="8C60B59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2" w15:restartNumberingAfterBreak="0">
    <w:nsid w:val="5DB10726"/>
    <w:multiLevelType w:val="hybridMultilevel"/>
    <w:tmpl w:val="8DAC96A6"/>
    <w:lvl w:ilvl="0" w:tplc="FFFFFFFF">
      <w:start w:val="1"/>
      <w:numFmt w:val="decimal"/>
      <w:lvlText w:val="%1."/>
      <w:lvlJc w:val="left"/>
      <w:pPr>
        <w:ind w:left="720" w:hanging="360"/>
      </w:pPr>
      <w:rPr>
        <w:rFonts w:hint="default"/>
        <w:b/>
        <w:bCs w:val="0"/>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9E601F"/>
    <w:multiLevelType w:val="hybridMultilevel"/>
    <w:tmpl w:val="AF8C2A58"/>
    <w:lvl w:ilvl="0" w:tplc="83D61B66">
      <w:start w:val="1"/>
      <w:numFmt w:val="decimal"/>
      <w:lvlText w:val="%1."/>
      <w:lvlJc w:val="left"/>
      <w:pPr>
        <w:ind w:left="720" w:hanging="360"/>
      </w:pPr>
      <w:rPr>
        <w:rFonts w:hint="default"/>
        <w:b/>
        <w:bCs w:val="0"/>
      </w:rPr>
    </w:lvl>
    <w:lvl w:ilvl="1" w:tplc="26B41922">
      <w:start w:val="1"/>
      <w:numFmt w:val="lowerLetter"/>
      <w:pStyle w:val="ListParagraph"/>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4370D4"/>
    <w:multiLevelType w:val="hybridMultilevel"/>
    <w:tmpl w:val="AF8C2A5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8C4F02"/>
    <w:multiLevelType w:val="hybridMultilevel"/>
    <w:tmpl w:val="376820CC"/>
    <w:lvl w:ilvl="0" w:tplc="8C52A4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076F1B"/>
    <w:multiLevelType w:val="hybridMultilevel"/>
    <w:tmpl w:val="7CE2815E"/>
    <w:lvl w:ilvl="0" w:tplc="CCDA3C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9E62FF"/>
    <w:multiLevelType w:val="hybridMultilevel"/>
    <w:tmpl w:val="182A7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A061D84"/>
    <w:multiLevelType w:val="hybridMultilevel"/>
    <w:tmpl w:val="EF6A6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9D5683"/>
    <w:multiLevelType w:val="hybridMultilevel"/>
    <w:tmpl w:val="CE40EB44"/>
    <w:lvl w:ilvl="0" w:tplc="4FACF0C0">
      <w:start w:val="1"/>
      <w:numFmt w:val="decimal"/>
      <w:lvlText w:val="%1."/>
      <w:lvlJc w:val="left"/>
      <w:pPr>
        <w:ind w:left="720" w:hanging="360"/>
      </w:pPr>
      <w:rPr>
        <w:b/>
        <w:bCs w:val="0"/>
      </w:r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31274">
    <w:abstractNumId w:val="8"/>
  </w:num>
  <w:num w:numId="2" w16cid:durableId="1829131221">
    <w:abstractNumId w:val="39"/>
  </w:num>
  <w:num w:numId="3" w16cid:durableId="562523891">
    <w:abstractNumId w:val="16"/>
  </w:num>
  <w:num w:numId="4" w16cid:durableId="212082939">
    <w:abstractNumId w:val="23"/>
  </w:num>
  <w:num w:numId="5" w16cid:durableId="1806314352">
    <w:abstractNumId w:val="9"/>
  </w:num>
  <w:num w:numId="6" w16cid:durableId="1938826543">
    <w:abstractNumId w:val="19"/>
  </w:num>
  <w:num w:numId="7" w16cid:durableId="346837353">
    <w:abstractNumId w:val="38"/>
  </w:num>
  <w:num w:numId="8" w16cid:durableId="339235976">
    <w:abstractNumId w:val="12"/>
  </w:num>
  <w:num w:numId="9" w16cid:durableId="153955939">
    <w:abstractNumId w:val="20"/>
  </w:num>
  <w:num w:numId="10" w16cid:durableId="629944056">
    <w:abstractNumId w:val="10"/>
  </w:num>
  <w:num w:numId="11" w16cid:durableId="674768131">
    <w:abstractNumId w:val="25"/>
  </w:num>
  <w:num w:numId="12" w16cid:durableId="684332183">
    <w:abstractNumId w:val="11"/>
  </w:num>
  <w:num w:numId="13" w16cid:durableId="1650136179">
    <w:abstractNumId w:val="27"/>
  </w:num>
  <w:num w:numId="14" w16cid:durableId="886185805">
    <w:abstractNumId w:val="6"/>
  </w:num>
  <w:num w:numId="15" w16cid:durableId="26375780">
    <w:abstractNumId w:val="14"/>
  </w:num>
  <w:num w:numId="16" w16cid:durableId="2112780317">
    <w:abstractNumId w:val="21"/>
  </w:num>
  <w:num w:numId="17" w16cid:durableId="1079867593">
    <w:abstractNumId w:val="30"/>
  </w:num>
  <w:num w:numId="18" w16cid:durableId="1323314689">
    <w:abstractNumId w:val="4"/>
  </w:num>
  <w:num w:numId="19" w16cid:durableId="608044545">
    <w:abstractNumId w:val="35"/>
  </w:num>
  <w:num w:numId="20" w16cid:durableId="1602639024">
    <w:abstractNumId w:val="22"/>
  </w:num>
  <w:num w:numId="21" w16cid:durableId="1062289906">
    <w:abstractNumId w:val="13"/>
  </w:num>
  <w:num w:numId="22" w16cid:durableId="1660426913">
    <w:abstractNumId w:val="29"/>
  </w:num>
  <w:num w:numId="23" w16cid:durableId="1229152037">
    <w:abstractNumId w:val="31"/>
  </w:num>
  <w:num w:numId="24" w16cid:durableId="1073545727">
    <w:abstractNumId w:val="18"/>
  </w:num>
  <w:num w:numId="25" w16cid:durableId="432406767">
    <w:abstractNumId w:val="2"/>
  </w:num>
  <w:num w:numId="26" w16cid:durableId="1310136223">
    <w:abstractNumId w:val="5"/>
  </w:num>
  <w:num w:numId="27" w16cid:durableId="1524976992">
    <w:abstractNumId w:val="15"/>
  </w:num>
  <w:num w:numId="28" w16cid:durableId="1046950669">
    <w:abstractNumId w:val="33"/>
  </w:num>
  <w:num w:numId="29" w16cid:durableId="234245706">
    <w:abstractNumId w:val="24"/>
  </w:num>
  <w:num w:numId="30" w16cid:durableId="271861020">
    <w:abstractNumId w:val="3"/>
  </w:num>
  <w:num w:numId="31" w16cid:durableId="942687005">
    <w:abstractNumId w:val="37"/>
  </w:num>
  <w:num w:numId="32" w16cid:durableId="1895385238">
    <w:abstractNumId w:val="36"/>
  </w:num>
  <w:num w:numId="33" w16cid:durableId="1205679051">
    <w:abstractNumId w:val="26"/>
  </w:num>
  <w:num w:numId="34" w16cid:durableId="1170028530">
    <w:abstractNumId w:val="0"/>
  </w:num>
  <w:num w:numId="35" w16cid:durableId="900748071">
    <w:abstractNumId w:val="28"/>
  </w:num>
  <w:num w:numId="36" w16cid:durableId="1324774081">
    <w:abstractNumId w:val="17"/>
  </w:num>
  <w:num w:numId="37" w16cid:durableId="1802725392">
    <w:abstractNumId w:val="1"/>
  </w:num>
  <w:num w:numId="38" w16cid:durableId="663968668">
    <w:abstractNumId w:val="7"/>
  </w:num>
  <w:num w:numId="39" w16cid:durableId="1160733714">
    <w:abstractNumId w:val="34"/>
  </w:num>
  <w:num w:numId="40" w16cid:durableId="16504002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F3010"/>
    <w:rsid w:val="00006A94"/>
    <w:rsid w:val="00011896"/>
    <w:rsid w:val="00100B9A"/>
    <w:rsid w:val="001278E0"/>
    <w:rsid w:val="001A6691"/>
    <w:rsid w:val="001B7924"/>
    <w:rsid w:val="002157C9"/>
    <w:rsid w:val="002547CC"/>
    <w:rsid w:val="002A7308"/>
    <w:rsid w:val="003B2943"/>
    <w:rsid w:val="003F7842"/>
    <w:rsid w:val="004059A2"/>
    <w:rsid w:val="00587653"/>
    <w:rsid w:val="005976A3"/>
    <w:rsid w:val="006969B4"/>
    <w:rsid w:val="007266B5"/>
    <w:rsid w:val="00852607"/>
    <w:rsid w:val="008C3AEF"/>
    <w:rsid w:val="008E0AA7"/>
    <w:rsid w:val="008E32DF"/>
    <w:rsid w:val="008F66B6"/>
    <w:rsid w:val="00955CB5"/>
    <w:rsid w:val="0097297B"/>
    <w:rsid w:val="009F3010"/>
    <w:rsid w:val="00A52C4D"/>
    <w:rsid w:val="00B057FD"/>
    <w:rsid w:val="00B32A72"/>
    <w:rsid w:val="00B46627"/>
    <w:rsid w:val="00B76F65"/>
    <w:rsid w:val="00BB070B"/>
    <w:rsid w:val="00C0093A"/>
    <w:rsid w:val="00C221F1"/>
    <w:rsid w:val="00D32125"/>
    <w:rsid w:val="00D95A19"/>
    <w:rsid w:val="00E76C87"/>
    <w:rsid w:val="00EA41F4"/>
    <w:rsid w:val="00F04779"/>
    <w:rsid w:val="00F96D21"/>
    <w:rsid w:val="00FF5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DBF"/>
  <w15:chartTrackingRefBased/>
  <w15:docId w15:val="{BBF40549-5993-433B-B441-A80A48C4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10"/>
    <w:pPr>
      <w:widowControl w:val="0"/>
      <w:autoSpaceDE w:val="0"/>
      <w:autoSpaceDN w:val="0"/>
      <w:spacing w:before="120" w:after="120" w:line="240" w:lineRule="auto"/>
    </w:pPr>
    <w:rPr>
      <w:rFonts w:ascii="Avenir Next" w:eastAsia="AvenirNext LT Pro Bold" w:hAnsi="Avenir Next" w:cs="AvenirNext LT Pro Bold"/>
      <w:color w:val="575F61"/>
      <w:kern w:val="0"/>
      <w:szCs w:val="22"/>
      <w:lang w:val="en-GB"/>
      <w14:ligatures w14:val="none"/>
    </w:rPr>
  </w:style>
  <w:style w:type="paragraph" w:styleId="Heading1">
    <w:name w:val="heading 1"/>
    <w:next w:val="BodyText"/>
    <w:link w:val="Heading1Char"/>
    <w:autoRedefine/>
    <w:uiPriority w:val="9"/>
    <w:qFormat/>
    <w:rsid w:val="009F3010"/>
    <w:pPr>
      <w:widowControl w:val="0"/>
      <w:autoSpaceDE w:val="0"/>
      <w:autoSpaceDN w:val="0"/>
      <w:spacing w:before="480" w:after="120" w:line="520" w:lineRule="exact"/>
      <w:outlineLvl w:val="0"/>
    </w:pPr>
    <w:rPr>
      <w:rFonts w:ascii="Avenir Next Demi Bold" w:eastAsia="AvenirNextLTPro-Demi" w:hAnsi="Avenir Next Demi Bold" w:cs="AvenirNextLTPro-Demi"/>
      <w:b/>
      <w:bCs/>
      <w:color w:val="1598CB"/>
      <w:kern w:val="0"/>
      <w:sz w:val="48"/>
      <w:szCs w:val="48"/>
      <w14:ligatures w14:val="none"/>
    </w:rPr>
  </w:style>
  <w:style w:type="paragraph" w:styleId="Heading2">
    <w:name w:val="heading 2"/>
    <w:basedOn w:val="Heading1"/>
    <w:next w:val="BodyText"/>
    <w:link w:val="Heading2Char"/>
    <w:autoRedefine/>
    <w:uiPriority w:val="9"/>
    <w:unhideWhenUsed/>
    <w:qFormat/>
    <w:rsid w:val="009F3010"/>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9F3010"/>
    <w:pPr>
      <w:spacing w:before="240"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9F3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010"/>
    <w:rPr>
      <w:rFonts w:ascii="Avenir Next Demi Bold" w:eastAsia="AvenirNextLTPro-Demi" w:hAnsi="Avenir Next Demi Bold" w:cs="AvenirNextLTPro-Demi"/>
      <w:b/>
      <w:bCs/>
      <w:color w:val="1598CB"/>
      <w:kern w:val="0"/>
      <w:sz w:val="48"/>
      <w:szCs w:val="48"/>
      <w14:ligatures w14:val="none"/>
    </w:rPr>
  </w:style>
  <w:style w:type="character" w:customStyle="1" w:styleId="Heading2Char">
    <w:name w:val="Heading 2 Char"/>
    <w:basedOn w:val="DefaultParagraphFont"/>
    <w:link w:val="Heading2"/>
    <w:uiPriority w:val="9"/>
    <w:rsid w:val="009F3010"/>
    <w:rPr>
      <w:rFonts w:ascii="Avenir Next Demi Bold" w:eastAsia="AvenirNextLTPro-Demi" w:hAnsi="Avenir Next Demi Bold" w:cs="AvenirNextLTPro-Demi"/>
      <w:b/>
      <w:color w:val="248EB9"/>
      <w:spacing w:val="-6"/>
      <w:kern w:val="0"/>
      <w:sz w:val="36"/>
      <w:szCs w:val="36"/>
      <w14:ligatures w14:val="none"/>
    </w:rPr>
  </w:style>
  <w:style w:type="character" w:customStyle="1" w:styleId="Heading3Char">
    <w:name w:val="Heading 3 Char"/>
    <w:basedOn w:val="DefaultParagraphFont"/>
    <w:link w:val="Heading3"/>
    <w:uiPriority w:val="9"/>
    <w:rsid w:val="009F3010"/>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9F3010"/>
    <w:rPr>
      <w:rFonts w:ascii="Avenir Next" w:eastAsiaTheme="majorEastAsia" w:hAnsi="Avenir Next" w:cstheme="majorBidi"/>
      <w:i/>
      <w:iCs/>
      <w:color w:val="0F4761" w:themeColor="accent1" w:themeShade="BF"/>
      <w:kern w:val="0"/>
      <w:szCs w:val="22"/>
      <w:lang w:val="en-GB"/>
      <w14:ligatures w14:val="none"/>
    </w:rPr>
  </w:style>
  <w:style w:type="character" w:customStyle="1" w:styleId="Heading5Char">
    <w:name w:val="Heading 5 Char"/>
    <w:basedOn w:val="DefaultParagraphFont"/>
    <w:link w:val="Heading5"/>
    <w:uiPriority w:val="9"/>
    <w:semiHidden/>
    <w:rsid w:val="009F3010"/>
    <w:rPr>
      <w:rFonts w:ascii="Avenir Next" w:eastAsiaTheme="majorEastAsia" w:hAnsi="Avenir Next" w:cstheme="majorBidi"/>
      <w:color w:val="0F4761" w:themeColor="accent1" w:themeShade="BF"/>
      <w:kern w:val="0"/>
      <w:szCs w:val="22"/>
      <w:lang w:val="en-GB"/>
      <w14:ligatures w14:val="none"/>
    </w:rPr>
  </w:style>
  <w:style w:type="character" w:customStyle="1" w:styleId="Heading6Char">
    <w:name w:val="Heading 6 Char"/>
    <w:basedOn w:val="DefaultParagraphFont"/>
    <w:link w:val="Heading6"/>
    <w:uiPriority w:val="9"/>
    <w:semiHidden/>
    <w:rsid w:val="009F3010"/>
    <w:rPr>
      <w:rFonts w:ascii="Avenir Next" w:eastAsiaTheme="majorEastAsia" w:hAnsi="Avenir Next" w:cstheme="majorBidi"/>
      <w:i/>
      <w:iCs/>
      <w:color w:val="595959" w:themeColor="text1" w:themeTint="A6"/>
      <w:kern w:val="0"/>
      <w:szCs w:val="22"/>
      <w:lang w:val="en-GB"/>
      <w14:ligatures w14:val="none"/>
    </w:rPr>
  </w:style>
  <w:style w:type="character" w:customStyle="1" w:styleId="Heading7Char">
    <w:name w:val="Heading 7 Char"/>
    <w:basedOn w:val="DefaultParagraphFont"/>
    <w:link w:val="Heading7"/>
    <w:uiPriority w:val="9"/>
    <w:semiHidden/>
    <w:rsid w:val="009F3010"/>
    <w:rPr>
      <w:rFonts w:ascii="Avenir Next" w:eastAsiaTheme="majorEastAsia" w:hAnsi="Avenir Next" w:cstheme="majorBidi"/>
      <w:color w:val="595959" w:themeColor="text1" w:themeTint="A6"/>
      <w:kern w:val="0"/>
      <w:szCs w:val="22"/>
      <w:lang w:val="en-GB"/>
      <w14:ligatures w14:val="none"/>
    </w:rPr>
  </w:style>
  <w:style w:type="character" w:customStyle="1" w:styleId="Heading8Char">
    <w:name w:val="Heading 8 Char"/>
    <w:basedOn w:val="DefaultParagraphFont"/>
    <w:link w:val="Heading8"/>
    <w:uiPriority w:val="9"/>
    <w:semiHidden/>
    <w:rsid w:val="009F3010"/>
    <w:rPr>
      <w:rFonts w:ascii="Avenir Next" w:eastAsiaTheme="majorEastAsia" w:hAnsi="Avenir Next" w:cstheme="majorBidi"/>
      <w:i/>
      <w:iCs/>
      <w:color w:val="272727" w:themeColor="text1" w:themeTint="D8"/>
      <w:kern w:val="0"/>
      <w:szCs w:val="22"/>
      <w:lang w:val="en-GB"/>
      <w14:ligatures w14:val="none"/>
    </w:rPr>
  </w:style>
  <w:style w:type="character" w:customStyle="1" w:styleId="Heading9Char">
    <w:name w:val="Heading 9 Char"/>
    <w:basedOn w:val="DefaultParagraphFont"/>
    <w:link w:val="Heading9"/>
    <w:uiPriority w:val="9"/>
    <w:semiHidden/>
    <w:rsid w:val="009F3010"/>
    <w:rPr>
      <w:rFonts w:ascii="Avenir Next" w:eastAsiaTheme="majorEastAsia" w:hAnsi="Avenir Next" w:cstheme="majorBidi"/>
      <w:color w:val="272727" w:themeColor="text1" w:themeTint="D8"/>
      <w:kern w:val="0"/>
      <w:szCs w:val="22"/>
      <w:lang w:val="en-GB"/>
      <w14:ligatures w14:val="none"/>
    </w:rPr>
  </w:style>
  <w:style w:type="paragraph" w:styleId="Title">
    <w:name w:val="Title"/>
    <w:basedOn w:val="Normal"/>
    <w:link w:val="TitleChar"/>
    <w:uiPriority w:val="10"/>
    <w:qFormat/>
    <w:rsid w:val="009F3010"/>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9F3010"/>
    <w:rPr>
      <w:rFonts w:ascii="Avenir Next Demi Bold" w:eastAsia="AvenirNextLTPro-Demi" w:hAnsi="Avenir Next Demi Bold" w:cs="AvenirNextLTPro-Demi"/>
      <w:b/>
      <w:bCs/>
      <w:spacing w:val="-14"/>
      <w:kern w:val="0"/>
      <w:sz w:val="56"/>
      <w:szCs w:val="56"/>
      <w:lang w:val="en-GB"/>
      <w14:ligatures w14:val="none"/>
    </w:rPr>
  </w:style>
  <w:style w:type="paragraph" w:styleId="Subtitle">
    <w:name w:val="Subtitle"/>
    <w:basedOn w:val="Normal"/>
    <w:next w:val="Normal"/>
    <w:link w:val="SubtitleChar"/>
    <w:uiPriority w:val="11"/>
    <w:qFormat/>
    <w:rsid w:val="009F301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F3010"/>
    <w:rPr>
      <w:rFonts w:eastAsiaTheme="minorEastAsia"/>
      <w:color w:val="5A5A5A" w:themeColor="text1" w:themeTint="A5"/>
      <w:spacing w:val="15"/>
      <w:kern w:val="0"/>
      <w:sz w:val="22"/>
      <w:szCs w:val="22"/>
      <w:lang w:val="en-GB"/>
      <w14:ligatures w14:val="none"/>
    </w:rPr>
  </w:style>
  <w:style w:type="paragraph" w:styleId="Quote">
    <w:name w:val="Quote"/>
    <w:basedOn w:val="Normal"/>
    <w:next w:val="Normal"/>
    <w:link w:val="QuoteChar"/>
    <w:uiPriority w:val="29"/>
    <w:qFormat/>
    <w:rsid w:val="009F3010"/>
    <w:pPr>
      <w:spacing w:before="160"/>
      <w:jc w:val="center"/>
    </w:pPr>
    <w:rPr>
      <w:i/>
      <w:iCs/>
      <w:color w:val="404040" w:themeColor="text1" w:themeTint="BF"/>
    </w:rPr>
  </w:style>
  <w:style w:type="character" w:customStyle="1" w:styleId="QuoteChar">
    <w:name w:val="Quote Char"/>
    <w:basedOn w:val="DefaultParagraphFont"/>
    <w:link w:val="Quote"/>
    <w:uiPriority w:val="29"/>
    <w:rsid w:val="009F3010"/>
    <w:rPr>
      <w:rFonts w:ascii="Avenir Next" w:eastAsia="AvenirNext LT Pro Bold" w:hAnsi="Avenir Next" w:cs="AvenirNext LT Pro Bold"/>
      <w:i/>
      <w:iCs/>
      <w:color w:val="404040" w:themeColor="text1" w:themeTint="BF"/>
      <w:kern w:val="0"/>
      <w:szCs w:val="22"/>
      <w:lang w:val="en-GB"/>
      <w14:ligatures w14:val="none"/>
    </w:rPr>
  </w:style>
  <w:style w:type="paragraph" w:styleId="ListParagraph">
    <w:name w:val="List Paragraph"/>
    <w:aliases w:val="Bullets 2,Recommendation,List Paragraph1,List Paragraph11,Bullet point,#List Paragraph"/>
    <w:basedOn w:val="Normal"/>
    <w:next w:val="Normal"/>
    <w:link w:val="ListParagraphChar"/>
    <w:autoRedefine/>
    <w:uiPriority w:val="34"/>
    <w:qFormat/>
    <w:rsid w:val="009F3010"/>
    <w:pPr>
      <w:widowControl/>
      <w:numPr>
        <w:ilvl w:val="1"/>
        <w:numId w:val="28"/>
      </w:numPr>
      <w:autoSpaceDE/>
      <w:autoSpaceDN/>
      <w:spacing w:before="0" w:after="160" w:line="259" w:lineRule="auto"/>
      <w:contextualSpacing/>
    </w:pPr>
  </w:style>
  <w:style w:type="character" w:styleId="IntenseEmphasis">
    <w:name w:val="Intense Emphasis"/>
    <w:basedOn w:val="DefaultParagraphFont"/>
    <w:uiPriority w:val="21"/>
    <w:qFormat/>
    <w:rsid w:val="009F3010"/>
    <w:rPr>
      <w:i/>
      <w:iCs/>
      <w:color w:val="156082" w:themeColor="accent1"/>
    </w:rPr>
  </w:style>
  <w:style w:type="paragraph" w:styleId="IntenseQuote">
    <w:name w:val="Intense Quote"/>
    <w:basedOn w:val="Normal"/>
    <w:next w:val="Normal"/>
    <w:link w:val="IntenseQuoteChar"/>
    <w:uiPriority w:val="30"/>
    <w:qFormat/>
    <w:rsid w:val="009F301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F3010"/>
    <w:rPr>
      <w:rFonts w:ascii="Avenir Next" w:eastAsia="AvenirNext LT Pro Bold" w:hAnsi="Avenir Next" w:cs="AvenirNext LT Pro Bold"/>
      <w:i/>
      <w:iCs/>
      <w:color w:val="156082" w:themeColor="accent1"/>
      <w:kern w:val="0"/>
      <w:szCs w:val="22"/>
      <w:lang w:val="en-GB"/>
      <w14:ligatures w14:val="none"/>
    </w:rPr>
  </w:style>
  <w:style w:type="character" w:styleId="IntenseReference">
    <w:name w:val="Intense Reference"/>
    <w:basedOn w:val="DefaultParagraphFont"/>
    <w:uiPriority w:val="32"/>
    <w:qFormat/>
    <w:rsid w:val="009F3010"/>
    <w:rPr>
      <w:b/>
      <w:bCs/>
      <w:smallCaps/>
      <w:color w:val="156082" w:themeColor="accent1"/>
      <w:spacing w:val="5"/>
    </w:rPr>
  </w:style>
  <w:style w:type="paragraph" w:styleId="TOC1">
    <w:name w:val="toc 1"/>
    <w:basedOn w:val="Normal"/>
    <w:uiPriority w:val="39"/>
    <w:qFormat/>
    <w:rsid w:val="009F3010"/>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9F3010"/>
    <w:pPr>
      <w:widowControl/>
      <w:ind w:right="-48"/>
    </w:pPr>
    <w:rPr>
      <w:rFonts w:eastAsia="Times New Roman" w:cs="Calibri"/>
      <w:szCs w:val="24"/>
      <w:lang w:val="en-AU"/>
    </w:rPr>
  </w:style>
  <w:style w:type="character" w:customStyle="1" w:styleId="BodyTextChar">
    <w:name w:val="Body Text Char"/>
    <w:basedOn w:val="DefaultParagraphFont"/>
    <w:link w:val="BodyText"/>
    <w:uiPriority w:val="1"/>
    <w:rsid w:val="009F3010"/>
    <w:rPr>
      <w:rFonts w:ascii="Avenir Next" w:eastAsia="Times New Roman" w:hAnsi="Avenir Next" w:cs="Calibri"/>
      <w:color w:val="575F61"/>
      <w:kern w:val="0"/>
      <w14:ligatures w14:val="none"/>
    </w:rPr>
  </w:style>
  <w:style w:type="paragraph" w:customStyle="1" w:styleId="TableParagraph">
    <w:name w:val="Table Paragraph"/>
    <w:basedOn w:val="Normal"/>
    <w:uiPriority w:val="1"/>
    <w:qFormat/>
    <w:rsid w:val="009F3010"/>
    <w:rPr>
      <w:rFonts w:eastAsia="AvenirNextLTPro-Demi" w:cs="AvenirNextLTPro-Demi"/>
      <w:sz w:val="20"/>
    </w:rPr>
  </w:style>
  <w:style w:type="paragraph" w:customStyle="1" w:styleId="Bullets">
    <w:name w:val="Bullets"/>
    <w:basedOn w:val="BodyText"/>
    <w:next w:val="BodyText"/>
    <w:autoRedefine/>
    <w:qFormat/>
    <w:rsid w:val="009F3010"/>
    <w:pPr>
      <w:numPr>
        <w:numId w:val="1"/>
      </w:numPr>
      <w:spacing w:before="0"/>
      <w:ind w:left="426"/>
      <w:contextualSpacing/>
    </w:pPr>
  </w:style>
  <w:style w:type="paragraph" w:customStyle="1" w:styleId="Breakout">
    <w:name w:val="Breakout"/>
    <w:basedOn w:val="BodyText"/>
    <w:next w:val="BodyText"/>
    <w:autoRedefine/>
    <w:qFormat/>
    <w:rsid w:val="009F3010"/>
    <w:pPr>
      <w:spacing w:after="0" w:line="440" w:lineRule="exact"/>
    </w:pPr>
    <w:rPr>
      <w:i/>
      <w:iCs/>
      <w:spacing w:val="-2"/>
      <w:sz w:val="36"/>
      <w:szCs w:val="36"/>
    </w:rPr>
  </w:style>
  <w:style w:type="paragraph" w:styleId="TOCHeading">
    <w:name w:val="TOC Heading"/>
    <w:basedOn w:val="Heading1"/>
    <w:next w:val="Normal"/>
    <w:uiPriority w:val="39"/>
    <w:unhideWhenUsed/>
    <w:qFormat/>
    <w:rsid w:val="009F3010"/>
    <w:pPr>
      <w:keepNext/>
      <w:keepLines/>
      <w:widowControl/>
      <w:autoSpaceDE/>
      <w:autoSpaceDN/>
      <w:spacing w:after="0" w:line="276" w:lineRule="auto"/>
      <w:outlineLvl w:val="9"/>
    </w:pPr>
    <w:rPr>
      <w:rFonts w:asciiTheme="majorHAnsi" w:eastAsiaTheme="majorEastAsia" w:hAnsiTheme="majorHAnsi" w:cstheme="majorBidi"/>
      <w:color w:val="0F4761" w:themeColor="accent1" w:themeShade="BF"/>
      <w:sz w:val="28"/>
      <w:szCs w:val="28"/>
    </w:rPr>
  </w:style>
  <w:style w:type="paragraph" w:styleId="TOC2">
    <w:name w:val="toc 2"/>
    <w:basedOn w:val="Normal"/>
    <w:next w:val="Normal"/>
    <w:autoRedefine/>
    <w:uiPriority w:val="39"/>
    <w:unhideWhenUsed/>
    <w:rsid w:val="009F3010"/>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9F3010"/>
    <w:rPr>
      <w:rFonts w:ascii="AvenirNext LT Pro Regular" w:hAnsi="AvenirNext LT Pro Regular"/>
      <w:color w:val="467886" w:themeColor="hyperlink"/>
      <w:u w:val="single"/>
    </w:rPr>
  </w:style>
  <w:style w:type="paragraph" w:styleId="TOC3">
    <w:name w:val="toc 3"/>
    <w:basedOn w:val="Normal"/>
    <w:next w:val="Normal"/>
    <w:autoRedefine/>
    <w:uiPriority w:val="39"/>
    <w:unhideWhenUsed/>
    <w:rsid w:val="009F3010"/>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9F30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F30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F30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F30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F30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F3010"/>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9F3010"/>
    <w:pPr>
      <w:tabs>
        <w:tab w:val="center" w:pos="4513"/>
        <w:tab w:val="right" w:pos="9026"/>
      </w:tabs>
      <w:spacing w:before="0" w:after="0"/>
    </w:pPr>
  </w:style>
  <w:style w:type="character" w:customStyle="1" w:styleId="FooterChar">
    <w:name w:val="Footer Char"/>
    <w:basedOn w:val="DefaultParagraphFont"/>
    <w:link w:val="Footer"/>
    <w:uiPriority w:val="99"/>
    <w:rsid w:val="009F3010"/>
    <w:rPr>
      <w:rFonts w:ascii="Avenir Next" w:eastAsia="AvenirNext LT Pro Bold" w:hAnsi="Avenir Next" w:cs="AvenirNext LT Pro Bold"/>
      <w:color w:val="575F61"/>
      <w:kern w:val="0"/>
      <w:szCs w:val="22"/>
      <w:lang w:val="en-GB"/>
      <w14:ligatures w14:val="none"/>
    </w:rPr>
  </w:style>
  <w:style w:type="character" w:styleId="PageNumber">
    <w:name w:val="page number"/>
    <w:basedOn w:val="DefaultParagraphFont"/>
    <w:uiPriority w:val="99"/>
    <w:semiHidden/>
    <w:unhideWhenUsed/>
    <w:rsid w:val="009F3010"/>
    <w:rPr>
      <w:rFonts w:ascii="AvenirNext LT Pro Regular" w:hAnsi="AvenirNext LT Pro Regular"/>
    </w:rPr>
  </w:style>
  <w:style w:type="paragraph" w:styleId="Header">
    <w:name w:val="header"/>
    <w:basedOn w:val="Normal"/>
    <w:link w:val="HeaderChar"/>
    <w:uiPriority w:val="99"/>
    <w:unhideWhenUsed/>
    <w:rsid w:val="009F3010"/>
    <w:pPr>
      <w:tabs>
        <w:tab w:val="center" w:pos="4513"/>
        <w:tab w:val="right" w:pos="9026"/>
      </w:tabs>
      <w:spacing w:before="0" w:after="0"/>
    </w:pPr>
  </w:style>
  <w:style w:type="character" w:customStyle="1" w:styleId="HeaderChar">
    <w:name w:val="Header Char"/>
    <w:basedOn w:val="DefaultParagraphFont"/>
    <w:link w:val="Header"/>
    <w:uiPriority w:val="99"/>
    <w:rsid w:val="009F3010"/>
    <w:rPr>
      <w:rFonts w:ascii="Avenir Next" w:eastAsia="AvenirNext LT Pro Bold" w:hAnsi="Avenir Next" w:cs="AvenirNext LT Pro Bold"/>
      <w:color w:val="575F61"/>
      <w:kern w:val="0"/>
      <w:szCs w:val="22"/>
      <w:lang w:val="en-GB"/>
      <w14:ligatures w14:val="none"/>
    </w:rPr>
  </w:style>
  <w:style w:type="table" w:customStyle="1" w:styleId="Table">
    <w:name w:val="Table"/>
    <w:basedOn w:val="TableNormal"/>
    <w:uiPriority w:val="99"/>
    <w:rsid w:val="009F3010"/>
    <w:pPr>
      <w:spacing w:after="0" w:line="240" w:lineRule="auto"/>
    </w:pPr>
    <w:rPr>
      <w:rFonts w:ascii="Avenir Next" w:hAnsi="Avenir Next"/>
      <w:color w:val="575F61"/>
      <w:kern w:val="0"/>
      <w:sz w:val="20"/>
      <w:szCs w:val="22"/>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9F3010"/>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9F3010"/>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9F3010"/>
    <w:rPr>
      <w:sz w:val="16"/>
      <w:szCs w:val="16"/>
    </w:rPr>
  </w:style>
  <w:style w:type="paragraph" w:styleId="CommentText">
    <w:name w:val="annotation text"/>
    <w:basedOn w:val="Normal"/>
    <w:link w:val="CommentTextChar"/>
    <w:uiPriority w:val="99"/>
    <w:unhideWhenUsed/>
    <w:rsid w:val="009F3010"/>
    <w:rPr>
      <w:sz w:val="20"/>
      <w:szCs w:val="20"/>
    </w:rPr>
  </w:style>
  <w:style w:type="character" w:customStyle="1" w:styleId="CommentTextChar">
    <w:name w:val="Comment Text Char"/>
    <w:basedOn w:val="DefaultParagraphFont"/>
    <w:link w:val="CommentText"/>
    <w:uiPriority w:val="99"/>
    <w:rsid w:val="009F3010"/>
    <w:rPr>
      <w:rFonts w:ascii="Avenir Next" w:eastAsia="AvenirNext LT Pro Bold" w:hAnsi="Avenir Next" w:cs="AvenirNext LT Pro Bold"/>
      <w:color w:val="575F61"/>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3010"/>
    <w:rPr>
      <w:b/>
      <w:bCs/>
    </w:rPr>
  </w:style>
  <w:style w:type="character" w:customStyle="1" w:styleId="CommentSubjectChar">
    <w:name w:val="Comment Subject Char"/>
    <w:basedOn w:val="CommentTextChar"/>
    <w:link w:val="CommentSubject"/>
    <w:uiPriority w:val="99"/>
    <w:semiHidden/>
    <w:rsid w:val="009F3010"/>
    <w:rPr>
      <w:rFonts w:ascii="Avenir Next" w:eastAsia="AvenirNext LT Pro Bold" w:hAnsi="Avenir Next" w:cs="AvenirNext LT Pro Bold"/>
      <w:b/>
      <w:bCs/>
      <w:color w:val="575F61"/>
      <w:kern w:val="0"/>
      <w:sz w:val="20"/>
      <w:szCs w:val="20"/>
      <w:lang w:val="en-GB"/>
      <w14:ligatures w14:val="none"/>
    </w:rPr>
  </w:style>
  <w:style w:type="paragraph" w:styleId="BalloonText">
    <w:name w:val="Balloon Text"/>
    <w:basedOn w:val="Normal"/>
    <w:link w:val="BalloonTextChar"/>
    <w:uiPriority w:val="99"/>
    <w:semiHidden/>
    <w:unhideWhenUsed/>
    <w:rsid w:val="009F301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10"/>
    <w:rPr>
      <w:rFonts w:ascii="Segoe UI" w:eastAsia="AvenirNext LT Pro Bold" w:hAnsi="Segoe UI" w:cs="Segoe UI"/>
      <w:color w:val="575F61"/>
      <w:kern w:val="0"/>
      <w:sz w:val="18"/>
      <w:szCs w:val="18"/>
      <w:lang w:val="en-GB"/>
      <w14:ligatures w14:val="none"/>
    </w:rPr>
  </w:style>
  <w:style w:type="paragraph" w:styleId="FootnoteText">
    <w:name w:val="footnote text"/>
    <w:basedOn w:val="Normal"/>
    <w:link w:val="FootnoteTextChar"/>
    <w:uiPriority w:val="99"/>
    <w:semiHidden/>
    <w:unhideWhenUsed/>
    <w:rsid w:val="009F3010"/>
    <w:pPr>
      <w:spacing w:before="0" w:after="0"/>
    </w:pPr>
    <w:rPr>
      <w:sz w:val="20"/>
      <w:szCs w:val="20"/>
    </w:rPr>
  </w:style>
  <w:style w:type="character" w:customStyle="1" w:styleId="FootnoteTextChar">
    <w:name w:val="Footnote Text Char"/>
    <w:basedOn w:val="DefaultParagraphFont"/>
    <w:link w:val="FootnoteText"/>
    <w:uiPriority w:val="99"/>
    <w:semiHidden/>
    <w:rsid w:val="009F3010"/>
    <w:rPr>
      <w:rFonts w:ascii="Avenir Next" w:eastAsia="AvenirNext LT Pro Bold" w:hAnsi="Avenir Next" w:cs="AvenirNext LT Pro Bold"/>
      <w:color w:val="575F61"/>
      <w:kern w:val="0"/>
      <w:sz w:val="20"/>
      <w:szCs w:val="20"/>
      <w:lang w:val="en-GB"/>
      <w14:ligatures w14:val="none"/>
    </w:rPr>
  </w:style>
  <w:style w:type="character" w:styleId="FootnoteReference">
    <w:name w:val="footnote reference"/>
    <w:basedOn w:val="DefaultParagraphFont"/>
    <w:uiPriority w:val="99"/>
    <w:semiHidden/>
    <w:unhideWhenUsed/>
    <w:rsid w:val="009F3010"/>
    <w:rPr>
      <w:vertAlign w:val="superscript"/>
    </w:rPr>
  </w:style>
  <w:style w:type="paragraph" w:styleId="Revision">
    <w:name w:val="Revision"/>
    <w:hidden/>
    <w:uiPriority w:val="99"/>
    <w:semiHidden/>
    <w:rsid w:val="009F3010"/>
    <w:pPr>
      <w:spacing w:after="0" w:line="240" w:lineRule="auto"/>
    </w:pPr>
    <w:rPr>
      <w:rFonts w:ascii="Avenir Next" w:eastAsia="AvenirNext LT Pro Bold" w:hAnsi="Avenir Next" w:cs="AvenirNext LT Pro Bold"/>
      <w:color w:val="575F61"/>
      <w:kern w:val="0"/>
      <w:szCs w:val="22"/>
      <w:lang w:val="en-US"/>
      <w14:ligatures w14:val="none"/>
    </w:rPr>
  </w:style>
  <w:style w:type="paragraph" w:customStyle="1" w:styleId="Default">
    <w:name w:val="Default"/>
    <w:rsid w:val="009F3010"/>
    <w:pPr>
      <w:autoSpaceDE w:val="0"/>
      <w:autoSpaceDN w:val="0"/>
      <w:adjustRightInd w:val="0"/>
      <w:spacing w:after="0" w:line="240" w:lineRule="auto"/>
    </w:pPr>
    <w:rPr>
      <w:rFonts w:ascii="Arial" w:hAnsi="Arial" w:cs="Arial"/>
      <w:color w:val="000000"/>
      <w:kern w:val="0"/>
      <w14:ligatures w14:val="none"/>
    </w:rPr>
  </w:style>
  <w:style w:type="paragraph" w:customStyle="1" w:styleId="Pa5">
    <w:name w:val="Pa5"/>
    <w:basedOn w:val="Default"/>
    <w:next w:val="Default"/>
    <w:uiPriority w:val="99"/>
    <w:rsid w:val="009F3010"/>
    <w:pPr>
      <w:spacing w:line="181" w:lineRule="atLeast"/>
    </w:pPr>
    <w:rPr>
      <w:color w:val="auto"/>
    </w:rPr>
  </w:style>
  <w:style w:type="paragraph" w:customStyle="1" w:styleId="Pa9">
    <w:name w:val="Pa9"/>
    <w:basedOn w:val="Default"/>
    <w:next w:val="Default"/>
    <w:uiPriority w:val="99"/>
    <w:rsid w:val="009F3010"/>
    <w:pPr>
      <w:spacing w:line="181" w:lineRule="atLeast"/>
    </w:pPr>
    <w:rPr>
      <w:color w:val="auto"/>
    </w:rPr>
  </w:style>
  <w:style w:type="paragraph" w:customStyle="1" w:styleId="Pa8">
    <w:name w:val="Pa8"/>
    <w:basedOn w:val="Default"/>
    <w:next w:val="Default"/>
    <w:uiPriority w:val="99"/>
    <w:rsid w:val="009F3010"/>
    <w:pPr>
      <w:spacing w:line="181" w:lineRule="atLeast"/>
    </w:pPr>
    <w:rPr>
      <w:color w:val="auto"/>
    </w:rPr>
  </w:style>
  <w:style w:type="table" w:styleId="PlainTable4">
    <w:name w:val="Plain Table 4"/>
    <w:basedOn w:val="TableNormal"/>
    <w:uiPriority w:val="44"/>
    <w:rsid w:val="009F3010"/>
    <w:pPr>
      <w:widowControl w:val="0"/>
      <w:autoSpaceDE w:val="0"/>
      <w:autoSpaceDN w:val="0"/>
      <w:spacing w:after="0" w:line="240" w:lineRule="auto"/>
    </w:pPr>
    <w:rPr>
      <w:kern w:val="0"/>
      <w:sz w:val="22"/>
      <w:szCs w:val="22"/>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9F3010"/>
    <w:pPr>
      <w:spacing w:line="181" w:lineRule="atLeast"/>
    </w:pPr>
    <w:rPr>
      <w:color w:val="auto"/>
    </w:rPr>
  </w:style>
  <w:style w:type="paragraph" w:customStyle="1" w:styleId="Pa28">
    <w:name w:val="Pa28"/>
    <w:basedOn w:val="Default"/>
    <w:next w:val="Default"/>
    <w:uiPriority w:val="99"/>
    <w:rsid w:val="009F3010"/>
    <w:pPr>
      <w:spacing w:line="201" w:lineRule="atLeast"/>
    </w:pPr>
    <w:rPr>
      <w:rFonts w:ascii="Sora" w:hAnsi="Sora" w:cstheme="minorBidi"/>
      <w:color w:val="auto"/>
    </w:rPr>
  </w:style>
  <w:style w:type="paragraph" w:customStyle="1" w:styleId="Pa7">
    <w:name w:val="Pa7"/>
    <w:basedOn w:val="Default"/>
    <w:next w:val="Default"/>
    <w:uiPriority w:val="99"/>
    <w:rsid w:val="009F3010"/>
    <w:pPr>
      <w:spacing w:line="181" w:lineRule="atLeast"/>
    </w:pPr>
    <w:rPr>
      <w:color w:val="auto"/>
    </w:rPr>
  </w:style>
  <w:style w:type="table" w:styleId="ListTable2">
    <w:name w:val="List Table 2"/>
    <w:basedOn w:val="TableNormal"/>
    <w:uiPriority w:val="47"/>
    <w:rsid w:val="009F3010"/>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9F3010"/>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9F3010"/>
    <w:pPr>
      <w:widowControl w:val="0"/>
      <w:autoSpaceDE w:val="0"/>
      <w:autoSpaceDN w:val="0"/>
      <w:spacing w:after="0" w:line="240" w:lineRule="auto"/>
    </w:pPr>
    <w:rPr>
      <w:color w:val="77206D" w:themeColor="accent5" w:themeShade="BF"/>
      <w:kern w:val="0"/>
      <w:sz w:val="22"/>
      <w:szCs w:val="22"/>
      <w:lang w:val="en-US"/>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A7">
    <w:name w:val="A7"/>
    <w:uiPriority w:val="99"/>
    <w:rsid w:val="009F3010"/>
    <w:rPr>
      <w:rFonts w:cs="Sora"/>
      <w:b/>
      <w:bCs/>
      <w:color w:val="000000"/>
      <w:sz w:val="20"/>
      <w:szCs w:val="20"/>
    </w:rPr>
  </w:style>
  <w:style w:type="character" w:styleId="Strong">
    <w:name w:val="Strong"/>
    <w:basedOn w:val="DefaultParagraphFont"/>
    <w:uiPriority w:val="22"/>
    <w:qFormat/>
    <w:rsid w:val="009F3010"/>
    <w:rPr>
      <w:b/>
      <w:bCs/>
    </w:rPr>
  </w:style>
  <w:style w:type="paragraph" w:styleId="NormalWeb">
    <w:name w:val="Normal (Web)"/>
    <w:basedOn w:val="Normal"/>
    <w:uiPriority w:val="99"/>
    <w:semiHidden/>
    <w:unhideWhenUsed/>
    <w:rsid w:val="009F3010"/>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9F3010"/>
    <w:rPr>
      <w:i/>
      <w:iCs/>
    </w:rPr>
  </w:style>
  <w:style w:type="character" w:styleId="UnresolvedMention">
    <w:name w:val="Unresolved Mention"/>
    <w:basedOn w:val="DefaultParagraphFont"/>
    <w:uiPriority w:val="99"/>
    <w:semiHidden/>
    <w:unhideWhenUsed/>
    <w:rsid w:val="009F3010"/>
    <w:rPr>
      <w:color w:val="605E5C"/>
      <w:shd w:val="clear" w:color="auto" w:fill="E1DFDD"/>
    </w:rPr>
  </w:style>
  <w:style w:type="paragraph" w:customStyle="1" w:styleId="Bulletindent">
    <w:name w:val="Bullet indent"/>
    <w:basedOn w:val="Bullets"/>
    <w:qFormat/>
    <w:rsid w:val="009F3010"/>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9F3010"/>
    <w:rPr>
      <w:color w:val="96607D" w:themeColor="followedHyperlink"/>
      <w:u w:val="single"/>
    </w:rPr>
  </w:style>
  <w:style w:type="paragraph" w:customStyle="1" w:styleId="EndNoteBibliographyTitle">
    <w:name w:val="EndNote Bibliography Title"/>
    <w:basedOn w:val="Normal"/>
    <w:link w:val="EndNoteBibliographyTitleChar"/>
    <w:rsid w:val="009F3010"/>
    <w:pPr>
      <w:spacing w:after="0"/>
      <w:jc w:val="center"/>
    </w:pPr>
    <w:rPr>
      <w:noProof/>
      <w:szCs w:val="24"/>
    </w:rPr>
  </w:style>
  <w:style w:type="character" w:customStyle="1" w:styleId="EndNoteBibliographyTitleChar">
    <w:name w:val="EndNote Bibliography Title Char"/>
    <w:basedOn w:val="BodyTextChar"/>
    <w:link w:val="EndNoteBibliographyTitle"/>
    <w:rsid w:val="009F3010"/>
    <w:rPr>
      <w:rFonts w:ascii="Avenir Next" w:eastAsia="AvenirNext LT Pro Bold" w:hAnsi="Avenir Next" w:cs="AvenirNext LT Pro Bold"/>
      <w:noProof/>
      <w:color w:val="575F61"/>
      <w:kern w:val="0"/>
      <w:lang w:val="en-GB"/>
      <w14:ligatures w14:val="none"/>
    </w:rPr>
  </w:style>
  <w:style w:type="paragraph" w:customStyle="1" w:styleId="EndNoteBibliography">
    <w:name w:val="EndNote Bibliography"/>
    <w:basedOn w:val="Normal"/>
    <w:link w:val="EndNoteBibliographyChar"/>
    <w:rsid w:val="009F3010"/>
    <w:rPr>
      <w:noProof/>
      <w:szCs w:val="24"/>
    </w:rPr>
  </w:style>
  <w:style w:type="character" w:customStyle="1" w:styleId="EndNoteBibliographyChar">
    <w:name w:val="EndNote Bibliography Char"/>
    <w:basedOn w:val="BodyTextChar"/>
    <w:link w:val="EndNoteBibliography"/>
    <w:rsid w:val="009F3010"/>
    <w:rPr>
      <w:rFonts w:ascii="Avenir Next" w:eastAsia="AvenirNext LT Pro Bold" w:hAnsi="Avenir Next" w:cs="AvenirNext LT Pro Bold"/>
      <w:noProof/>
      <w:color w:val="575F61"/>
      <w:kern w:val="0"/>
      <w:lang w:val="en-GB"/>
      <w14:ligatures w14:val="none"/>
    </w:rPr>
  </w:style>
  <w:style w:type="character" w:styleId="SubtleEmphasis">
    <w:name w:val="Subtle Emphasis"/>
    <w:basedOn w:val="DefaultParagraphFont"/>
    <w:uiPriority w:val="19"/>
    <w:qFormat/>
    <w:rsid w:val="009F3010"/>
    <w:rPr>
      <w:i/>
      <w:iCs/>
      <w:color w:val="404040" w:themeColor="text1" w:themeTint="BF"/>
    </w:rPr>
  </w:style>
  <w:style w:type="character" w:customStyle="1" w:styleId="ListParagraphChar">
    <w:name w:val="List Paragraph Char"/>
    <w:aliases w:val="Bullets 2 Char,Recommendation Char,List Paragraph1 Char,List Paragraph11 Char,Bullet point Char,#List Paragraph Char"/>
    <w:link w:val="ListParagraph"/>
    <w:uiPriority w:val="34"/>
    <w:locked/>
    <w:rsid w:val="009F3010"/>
    <w:rPr>
      <w:rFonts w:ascii="Avenir Next" w:eastAsia="AvenirNext LT Pro Bold" w:hAnsi="Avenir Next" w:cs="AvenirNext LT Pro Bold"/>
      <w:color w:val="575F61"/>
      <w:kern w:val="0"/>
      <w:szCs w:val="22"/>
      <w:lang w:val="en-GB"/>
      <w14:ligatures w14:val="none"/>
    </w:rPr>
  </w:style>
  <w:style w:type="table" w:styleId="GridTable4-Accent1">
    <w:name w:val="Grid Table 4 Accent 1"/>
    <w:basedOn w:val="TableNormal"/>
    <w:uiPriority w:val="49"/>
    <w:rsid w:val="009F3010"/>
    <w:pPr>
      <w:spacing w:after="0" w:line="240" w:lineRule="auto"/>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c.tas.gov.au/__data/assets/pdf_file/0028/471880/The-Wellbeing-Framework_November-2025.pdf" TargetMode="External"/><Relationship Id="rId13" Type="http://schemas.openxmlformats.org/officeDocument/2006/relationships/chart" Target="charts/chart1.xml"/><Relationship Id="rId18" Type="http://schemas.openxmlformats.org/officeDocument/2006/relationships/hyperlink" Target="file:///\\tas-fileserv1\Program%20Share\SARC\2.%20Research,%20Policy%20and%20Advocacy\Projects\_Recurring%20projects\Housing%20Connect%20Snapshot\Quarterly%20Snapshots\2025%20Q1%20Sep%202025\4.%20Writing\Dec%202025%20revision\www.anglicare-tas.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nglicare-tas.org.au/research/" TargetMode="External"/><Relationship Id="rId2" Type="http://schemas.openxmlformats.org/officeDocument/2006/relationships/numbering" Target="numbering.xml"/><Relationship Id="rId16" Type="http://schemas.openxmlformats.org/officeDocument/2006/relationships/hyperlink" Target="https://www.anglicare-tas.org.au/social-action-research-cent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jones@anglicare-tas.org.au"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andfonline.com/doi/full/10.1080/02673037.2018.1520819" TargetMode="External"/><Relationship Id="rId2" Type="http://schemas.openxmlformats.org/officeDocument/2006/relationships/hyperlink" Target="https://www.realestate.com.au/news/shut-out-hobart-homebuyers-face-64k-income-hike" TargetMode="External"/><Relationship Id="rId1" Type="http://schemas.openxmlformats.org/officeDocument/2006/relationships/hyperlink" Target="https://theconversation.com/a-stronger-focus-on-prevention-could-help-governments-rein-in-health-care-and-social-spending-2738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Housing%20Connect%20Snapshot\Quarterly%20Snapshots\2025%20Q2%20Dec%202025\Data%20and%20analysis\2025_Q2_Working%20Spreadsheet_0302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_Recurring%20projects\Housing%20Connect%20Snapshot\Quarterly%20Snapshots\2025%20Q2%20Dec%202025\Writing\Data%20for%20charts%20HCFD%20Snapshot%20Dec%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'Vacancy rate'!$B$3</c:f>
              <c:strCache>
                <c:ptCount val="1"/>
                <c:pt idx="0">
                  <c:v>Hobart</c:v>
                </c:pt>
              </c:strCache>
            </c:strRef>
          </c:tx>
          <c:spPr>
            <a:ln w="25400" cap="rnd">
              <a:solidFill>
                <a:schemeClr val="accent1"/>
              </a:solidFill>
              <a:round/>
            </a:ln>
            <a:effectLst/>
          </c:spPr>
          <c:marker>
            <c:symbol val="none"/>
          </c:marker>
          <c:cat>
            <c:numRef>
              <c:f>'Vacancy rate'!$A$16:$A$28</c:f>
              <c:numCache>
                <c:formatCode>mmm\-yy</c:formatCode>
                <c:ptCount val="13"/>
                <c:pt idx="0">
                  <c:v>45627</c:v>
                </c:pt>
                <c:pt idx="1">
                  <c:v>45658</c:v>
                </c:pt>
                <c:pt idx="2">
                  <c:v>45689</c:v>
                </c:pt>
                <c:pt idx="3">
                  <c:v>45717</c:v>
                </c:pt>
                <c:pt idx="4">
                  <c:v>45748</c:v>
                </c:pt>
                <c:pt idx="5">
                  <c:v>45778</c:v>
                </c:pt>
                <c:pt idx="6">
                  <c:v>45809</c:v>
                </c:pt>
                <c:pt idx="7">
                  <c:v>45839</c:v>
                </c:pt>
                <c:pt idx="8">
                  <c:v>45870</c:v>
                </c:pt>
                <c:pt idx="9">
                  <c:v>45901</c:v>
                </c:pt>
                <c:pt idx="10">
                  <c:v>45931</c:v>
                </c:pt>
                <c:pt idx="11">
                  <c:v>45962</c:v>
                </c:pt>
                <c:pt idx="12">
                  <c:v>45992</c:v>
                </c:pt>
              </c:numCache>
            </c:numRef>
          </c:cat>
          <c:val>
            <c:numRef>
              <c:f>'Vacancy rate'!$B$16:$B$28</c:f>
              <c:numCache>
                <c:formatCode>0.0%</c:formatCode>
                <c:ptCount val="13"/>
                <c:pt idx="0">
                  <c:v>6.0000000000000001E-3</c:v>
                </c:pt>
                <c:pt idx="1">
                  <c:v>3.0000000000000001E-3</c:v>
                </c:pt>
                <c:pt idx="2">
                  <c:v>6.0000000000000001E-3</c:v>
                </c:pt>
                <c:pt idx="3">
                  <c:v>5.0000000000000001E-3</c:v>
                </c:pt>
                <c:pt idx="4">
                  <c:v>6.0000000000000001E-3</c:v>
                </c:pt>
                <c:pt idx="5">
                  <c:v>6.0000000000000001E-3</c:v>
                </c:pt>
                <c:pt idx="6">
                  <c:v>6.0000000000000001E-3</c:v>
                </c:pt>
                <c:pt idx="7">
                  <c:v>6.0000000000000001E-3</c:v>
                </c:pt>
                <c:pt idx="8">
                  <c:v>5.0000000000000001E-3</c:v>
                </c:pt>
                <c:pt idx="9">
                  <c:v>4.0000000000000001E-3</c:v>
                </c:pt>
                <c:pt idx="10">
                  <c:v>4.0000000000000001E-3</c:v>
                </c:pt>
                <c:pt idx="11">
                  <c:v>4.0000000000000001E-3</c:v>
                </c:pt>
                <c:pt idx="12">
                  <c:v>4.0000000000000001E-3</c:v>
                </c:pt>
              </c:numCache>
            </c:numRef>
          </c:val>
          <c:smooth val="0"/>
          <c:extLst>
            <c:ext xmlns:c16="http://schemas.microsoft.com/office/drawing/2014/chart" uri="{C3380CC4-5D6E-409C-BE32-E72D297353CC}">
              <c16:uniqueId val="{00000000-80A7-4E32-A256-FE024ADE6B72}"/>
            </c:ext>
          </c:extLst>
        </c:ser>
        <c:ser>
          <c:idx val="1"/>
          <c:order val="1"/>
          <c:tx>
            <c:strRef>
              <c:f>'Vacancy rate'!$C$3</c:f>
              <c:strCache>
                <c:ptCount val="1"/>
                <c:pt idx="0">
                  <c:v>Burnie</c:v>
                </c:pt>
              </c:strCache>
            </c:strRef>
          </c:tx>
          <c:spPr>
            <a:ln w="25400" cap="rnd">
              <a:solidFill>
                <a:schemeClr val="accent2"/>
              </a:solidFill>
              <a:round/>
            </a:ln>
            <a:effectLst/>
          </c:spPr>
          <c:marker>
            <c:symbol val="none"/>
          </c:marker>
          <c:cat>
            <c:numRef>
              <c:f>'Vacancy rate'!$A$16:$A$28</c:f>
              <c:numCache>
                <c:formatCode>mmm\-yy</c:formatCode>
                <c:ptCount val="13"/>
                <c:pt idx="0">
                  <c:v>45627</c:v>
                </c:pt>
                <c:pt idx="1">
                  <c:v>45658</c:v>
                </c:pt>
                <c:pt idx="2">
                  <c:v>45689</c:v>
                </c:pt>
                <c:pt idx="3">
                  <c:v>45717</c:v>
                </c:pt>
                <c:pt idx="4">
                  <c:v>45748</c:v>
                </c:pt>
                <c:pt idx="5">
                  <c:v>45778</c:v>
                </c:pt>
                <c:pt idx="6">
                  <c:v>45809</c:v>
                </c:pt>
                <c:pt idx="7">
                  <c:v>45839</c:v>
                </c:pt>
                <c:pt idx="8">
                  <c:v>45870</c:v>
                </c:pt>
                <c:pt idx="9">
                  <c:v>45901</c:v>
                </c:pt>
                <c:pt idx="10">
                  <c:v>45931</c:v>
                </c:pt>
                <c:pt idx="11">
                  <c:v>45962</c:v>
                </c:pt>
                <c:pt idx="12">
                  <c:v>45992</c:v>
                </c:pt>
              </c:numCache>
            </c:numRef>
          </c:cat>
          <c:val>
            <c:numRef>
              <c:f>'Vacancy rate'!$C$16:$C$28</c:f>
              <c:numCache>
                <c:formatCode>0.0%</c:formatCode>
                <c:ptCount val="13"/>
                <c:pt idx="0">
                  <c:v>5.0000000000000001E-3</c:v>
                </c:pt>
                <c:pt idx="1">
                  <c:v>3.0000000000000001E-3</c:v>
                </c:pt>
                <c:pt idx="2">
                  <c:v>3.0000000000000001E-3</c:v>
                </c:pt>
                <c:pt idx="3">
                  <c:v>4.0000000000000001E-3</c:v>
                </c:pt>
                <c:pt idx="4">
                  <c:v>5.0000000000000001E-3</c:v>
                </c:pt>
                <c:pt idx="5">
                  <c:v>5.0000000000000001E-3</c:v>
                </c:pt>
                <c:pt idx="6">
                  <c:v>5.0000000000000001E-3</c:v>
                </c:pt>
                <c:pt idx="7">
                  <c:v>5.0000000000000001E-3</c:v>
                </c:pt>
                <c:pt idx="8">
                  <c:v>4.0000000000000001E-3</c:v>
                </c:pt>
                <c:pt idx="9">
                  <c:v>3.0000000000000001E-3</c:v>
                </c:pt>
                <c:pt idx="10">
                  <c:v>3.0000000000000001E-3</c:v>
                </c:pt>
                <c:pt idx="11">
                  <c:v>4.0000000000000001E-3</c:v>
                </c:pt>
                <c:pt idx="12">
                  <c:v>5.0000000000000001E-3</c:v>
                </c:pt>
              </c:numCache>
            </c:numRef>
          </c:val>
          <c:smooth val="0"/>
          <c:extLst>
            <c:ext xmlns:c16="http://schemas.microsoft.com/office/drawing/2014/chart" uri="{C3380CC4-5D6E-409C-BE32-E72D297353CC}">
              <c16:uniqueId val="{00000001-80A7-4E32-A256-FE024ADE6B72}"/>
            </c:ext>
          </c:extLst>
        </c:ser>
        <c:ser>
          <c:idx val="2"/>
          <c:order val="2"/>
          <c:tx>
            <c:strRef>
              <c:f>'Vacancy rate'!$D$3</c:f>
              <c:strCache>
                <c:ptCount val="1"/>
                <c:pt idx="0">
                  <c:v>Launceston</c:v>
                </c:pt>
              </c:strCache>
            </c:strRef>
          </c:tx>
          <c:spPr>
            <a:ln w="25400" cap="rnd">
              <a:solidFill>
                <a:schemeClr val="accent3"/>
              </a:solidFill>
              <a:round/>
            </a:ln>
            <a:effectLst/>
          </c:spPr>
          <c:marker>
            <c:symbol val="none"/>
          </c:marker>
          <c:cat>
            <c:numRef>
              <c:f>'Vacancy rate'!$A$16:$A$28</c:f>
              <c:numCache>
                <c:formatCode>mmm\-yy</c:formatCode>
                <c:ptCount val="13"/>
                <c:pt idx="0">
                  <c:v>45627</c:v>
                </c:pt>
                <c:pt idx="1">
                  <c:v>45658</c:v>
                </c:pt>
                <c:pt idx="2">
                  <c:v>45689</c:v>
                </c:pt>
                <c:pt idx="3">
                  <c:v>45717</c:v>
                </c:pt>
                <c:pt idx="4">
                  <c:v>45748</c:v>
                </c:pt>
                <c:pt idx="5">
                  <c:v>45778</c:v>
                </c:pt>
                <c:pt idx="6">
                  <c:v>45809</c:v>
                </c:pt>
                <c:pt idx="7">
                  <c:v>45839</c:v>
                </c:pt>
                <c:pt idx="8">
                  <c:v>45870</c:v>
                </c:pt>
                <c:pt idx="9">
                  <c:v>45901</c:v>
                </c:pt>
                <c:pt idx="10">
                  <c:v>45931</c:v>
                </c:pt>
                <c:pt idx="11">
                  <c:v>45962</c:v>
                </c:pt>
                <c:pt idx="12">
                  <c:v>45992</c:v>
                </c:pt>
              </c:numCache>
            </c:numRef>
          </c:cat>
          <c:val>
            <c:numRef>
              <c:f>'Vacancy rate'!$D$16:$D$28</c:f>
              <c:numCache>
                <c:formatCode>0.0%</c:formatCode>
                <c:ptCount val="13"/>
                <c:pt idx="0">
                  <c:v>8.9999999999999993E-3</c:v>
                </c:pt>
                <c:pt idx="1">
                  <c:v>5.0000000000000001E-3</c:v>
                </c:pt>
                <c:pt idx="2">
                  <c:v>8.9999999999999993E-3</c:v>
                </c:pt>
                <c:pt idx="3">
                  <c:v>8.0000000000000002E-3</c:v>
                </c:pt>
                <c:pt idx="4">
                  <c:v>9.0000000000000011E-3</c:v>
                </c:pt>
                <c:pt idx="5">
                  <c:v>6.9999999999999993E-3</c:v>
                </c:pt>
                <c:pt idx="6">
                  <c:v>6.9999999999999993E-3</c:v>
                </c:pt>
                <c:pt idx="7">
                  <c:v>6.0000000000000001E-3</c:v>
                </c:pt>
                <c:pt idx="8">
                  <c:v>5.0000000000000001E-3</c:v>
                </c:pt>
                <c:pt idx="9">
                  <c:v>5.0000000000000001E-3</c:v>
                </c:pt>
                <c:pt idx="10">
                  <c:v>5.0000000000000001E-3</c:v>
                </c:pt>
                <c:pt idx="11">
                  <c:v>4.0000000000000001E-3</c:v>
                </c:pt>
                <c:pt idx="12">
                  <c:v>4.0000000000000001E-3</c:v>
                </c:pt>
              </c:numCache>
            </c:numRef>
          </c:val>
          <c:smooth val="0"/>
          <c:extLst>
            <c:ext xmlns:c16="http://schemas.microsoft.com/office/drawing/2014/chart" uri="{C3380CC4-5D6E-409C-BE32-E72D297353CC}">
              <c16:uniqueId val="{00000002-80A7-4E32-A256-FE024ADE6B72}"/>
            </c:ext>
          </c:extLst>
        </c:ser>
        <c:ser>
          <c:idx val="3"/>
          <c:order val="3"/>
          <c:tx>
            <c:strRef>
              <c:f>'Vacancy rate'!$E$3</c:f>
              <c:strCache>
                <c:ptCount val="1"/>
                <c:pt idx="0">
                  <c:v>Target rate 3%</c:v>
                </c:pt>
              </c:strCache>
            </c:strRef>
          </c:tx>
          <c:spPr>
            <a:ln w="25400" cap="rnd">
              <a:solidFill>
                <a:srgbClr val="00B050"/>
              </a:solidFill>
              <a:round/>
            </a:ln>
            <a:effectLst/>
          </c:spPr>
          <c:marker>
            <c:symbol val="none"/>
          </c:marker>
          <c:cat>
            <c:numRef>
              <c:f>'Vacancy rate'!$A$16:$A$28</c:f>
              <c:numCache>
                <c:formatCode>mmm\-yy</c:formatCode>
                <c:ptCount val="13"/>
                <c:pt idx="0">
                  <c:v>45627</c:v>
                </c:pt>
                <c:pt idx="1">
                  <c:v>45658</c:v>
                </c:pt>
                <c:pt idx="2">
                  <c:v>45689</c:v>
                </c:pt>
                <c:pt idx="3">
                  <c:v>45717</c:v>
                </c:pt>
                <c:pt idx="4">
                  <c:v>45748</c:v>
                </c:pt>
                <c:pt idx="5">
                  <c:v>45778</c:v>
                </c:pt>
                <c:pt idx="6">
                  <c:v>45809</c:v>
                </c:pt>
                <c:pt idx="7">
                  <c:v>45839</c:v>
                </c:pt>
                <c:pt idx="8">
                  <c:v>45870</c:v>
                </c:pt>
                <c:pt idx="9">
                  <c:v>45901</c:v>
                </c:pt>
                <c:pt idx="10">
                  <c:v>45931</c:v>
                </c:pt>
                <c:pt idx="11">
                  <c:v>45962</c:v>
                </c:pt>
                <c:pt idx="12">
                  <c:v>45992</c:v>
                </c:pt>
              </c:numCache>
            </c:numRef>
          </c:cat>
          <c:val>
            <c:numRef>
              <c:f>'Vacancy rate'!$E$16:$E$28</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80A7-4E32-A256-FE024ADE6B72}"/>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'Page 8'!$B$3</c:f>
              <c:strCache>
                <c:ptCount val="1"/>
                <c:pt idx="0">
                  <c:v>Service or referral provided</c:v>
                </c:pt>
              </c:strCache>
            </c:strRef>
          </c:tx>
          <c:spPr>
            <a:solidFill>
              <a:schemeClr val="accent1"/>
            </a:solidFill>
            <a:ln>
              <a:noFill/>
            </a:ln>
            <a:effectLst/>
          </c:spPr>
          <c:invertIfNegative val="0"/>
          <c:cat>
            <c:strRef>
              <c:f>'Page 8'!$A$4:$A$13</c:f>
              <c:strCache>
                <c:ptCount val="10"/>
                <c:pt idx="0">
                  <c:v>Assistance for family/domestic violence - victim support services</c:v>
                </c:pt>
                <c:pt idx="1">
                  <c:v>Assistance to sustain tenancy or prevent tenancy failure or eviction</c:v>
                </c:pt>
                <c:pt idx="2">
                  <c:v>Financial information</c:v>
                </c:pt>
                <c:pt idx="3">
                  <c:v>Material aid/brokerage</c:v>
                </c:pt>
                <c:pt idx="4">
                  <c:v>Advocacy/liaison on behalf of client</c:v>
                </c:pt>
                <c:pt idx="5">
                  <c:v>Short term or emergency accommodation</c:v>
                </c:pt>
                <c:pt idx="6">
                  <c:v>Medium term/transitional housing</c:v>
                </c:pt>
                <c:pt idx="7">
                  <c:v>Long term housing</c:v>
                </c:pt>
                <c:pt idx="8">
                  <c:v>Other basic assistance</c:v>
                </c:pt>
                <c:pt idx="9">
                  <c:v>Advice/information</c:v>
                </c:pt>
              </c:strCache>
            </c:strRef>
          </c:cat>
          <c:val>
            <c:numRef>
              <c:f>'Page 8'!$B$4:$B$13</c:f>
              <c:numCache>
                <c:formatCode>General</c:formatCode>
                <c:ptCount val="10"/>
                <c:pt idx="0">
                  <c:v>25</c:v>
                </c:pt>
                <c:pt idx="1">
                  <c:v>18</c:v>
                </c:pt>
                <c:pt idx="2">
                  <c:v>49</c:v>
                </c:pt>
                <c:pt idx="3">
                  <c:v>99</c:v>
                </c:pt>
                <c:pt idx="4">
                  <c:v>220</c:v>
                </c:pt>
                <c:pt idx="5">
                  <c:v>80</c:v>
                </c:pt>
                <c:pt idx="6">
                  <c:v>40</c:v>
                </c:pt>
                <c:pt idx="7">
                  <c:v>149</c:v>
                </c:pt>
                <c:pt idx="8">
                  <c:v>1398</c:v>
                </c:pt>
                <c:pt idx="9">
                  <c:v>1476</c:v>
                </c:pt>
              </c:numCache>
            </c:numRef>
          </c:val>
          <c:extLst>
            <c:ext xmlns:c16="http://schemas.microsoft.com/office/drawing/2014/chart" uri="{C3380CC4-5D6E-409C-BE32-E72D297353CC}">
              <c16:uniqueId val="{00000000-0EC0-4008-AF69-42FEF209CDE3}"/>
            </c:ext>
          </c:extLst>
        </c:ser>
        <c:ser>
          <c:idx val="1"/>
          <c:order val="1"/>
          <c:tx>
            <c:strRef>
              <c:f>'Page 8'!$C$3</c:f>
              <c:strCache>
                <c:ptCount val="1"/>
                <c:pt idx="0">
                  <c:v>Unmet Need</c:v>
                </c:pt>
              </c:strCache>
            </c:strRef>
          </c:tx>
          <c:spPr>
            <a:solidFill>
              <a:schemeClr val="accent2"/>
            </a:solidFill>
            <a:ln>
              <a:noFill/>
            </a:ln>
            <a:effectLst/>
          </c:spPr>
          <c:invertIfNegative val="0"/>
          <c:cat>
            <c:strRef>
              <c:f>'Page 8'!$A$4:$A$13</c:f>
              <c:strCache>
                <c:ptCount val="10"/>
                <c:pt idx="0">
                  <c:v>Assistance for family/domestic violence - victim support services</c:v>
                </c:pt>
                <c:pt idx="1">
                  <c:v>Assistance to sustain tenancy or prevent tenancy failure or eviction</c:v>
                </c:pt>
                <c:pt idx="2">
                  <c:v>Financial information</c:v>
                </c:pt>
                <c:pt idx="3">
                  <c:v>Material aid/brokerage</c:v>
                </c:pt>
                <c:pt idx="4">
                  <c:v>Advocacy/liaison on behalf of client</c:v>
                </c:pt>
                <c:pt idx="5">
                  <c:v>Short term or emergency accommodation</c:v>
                </c:pt>
                <c:pt idx="6">
                  <c:v>Medium term/transitional housing</c:v>
                </c:pt>
                <c:pt idx="7">
                  <c:v>Long term housing</c:v>
                </c:pt>
                <c:pt idx="8">
                  <c:v>Other basic assistance</c:v>
                </c:pt>
                <c:pt idx="9">
                  <c:v>Advice/information</c:v>
                </c:pt>
              </c:strCache>
            </c:strRef>
          </c:cat>
          <c:val>
            <c:numRef>
              <c:f>'Page 8'!$C$4:$C$13</c:f>
              <c:numCache>
                <c:formatCode>General</c:formatCode>
                <c:ptCount val="10"/>
                <c:pt idx="0">
                  <c:v>11</c:v>
                </c:pt>
                <c:pt idx="1">
                  <c:v>49</c:v>
                </c:pt>
                <c:pt idx="2">
                  <c:v>21</c:v>
                </c:pt>
                <c:pt idx="3">
                  <c:v>30</c:v>
                </c:pt>
                <c:pt idx="4">
                  <c:v>3</c:v>
                </c:pt>
                <c:pt idx="5">
                  <c:v>279</c:v>
                </c:pt>
                <c:pt idx="6">
                  <c:v>360</c:v>
                </c:pt>
                <c:pt idx="7">
                  <c:v>869</c:v>
                </c:pt>
                <c:pt idx="8">
                  <c:v>22</c:v>
                </c:pt>
                <c:pt idx="9">
                  <c:v>0</c:v>
                </c:pt>
              </c:numCache>
            </c:numRef>
          </c:val>
          <c:extLst>
            <c:ext xmlns:c16="http://schemas.microsoft.com/office/drawing/2014/chart" uri="{C3380CC4-5D6E-409C-BE32-E72D297353CC}">
              <c16:uniqueId val="{00000001-0EC0-4008-AF69-42FEF209CDE3}"/>
            </c:ext>
          </c:extLst>
        </c:ser>
        <c:dLbls>
          <c:showLegendKey val="0"/>
          <c:showVal val="0"/>
          <c:showCatName val="0"/>
          <c:showSerName val="0"/>
          <c:showPercent val="0"/>
          <c:showBubbleSize val="0"/>
        </c:dLbls>
        <c:gapWidth val="150"/>
        <c:overlap val="100"/>
        <c:axId val="1322195823"/>
        <c:axId val="1322189583"/>
      </c:barChart>
      <c:catAx>
        <c:axId val="1322195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89583"/>
        <c:crosses val="autoZero"/>
        <c:auto val="1"/>
        <c:lblAlgn val="ctr"/>
        <c:lblOffset val="100"/>
        <c:noMultiLvlLbl val="0"/>
      </c:catAx>
      <c:valAx>
        <c:axId val="13221895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19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E2EB8-CD4B-41EB-BB10-E2195454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2711</Words>
  <Characters>14725</Characters>
  <Application>Microsoft Office Word</Application>
  <DocSecurity>0</DocSecurity>
  <Lines>327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Marla Giacon</cp:lastModifiedBy>
  <cp:revision>3</cp:revision>
  <dcterms:created xsi:type="dcterms:W3CDTF">2026-03-02T04:18:00Z</dcterms:created>
  <dcterms:modified xsi:type="dcterms:W3CDTF">2026-03-02T04:37:00Z</dcterms:modified>
</cp:coreProperties>
</file>