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9D3" w14:textId="6FD1BAB5" w:rsidR="00DC72B9" w:rsidRDefault="00F643D3" w:rsidP="00DC72B9">
      <w:pPr>
        <w:pStyle w:val="Title"/>
        <w:jc w:val="center"/>
        <w:rPr>
          <w:rFonts w:ascii="Avenir Next LT Pro" w:hAnsi="Avenir Next LT Pro"/>
        </w:rPr>
      </w:pPr>
      <w:bookmarkStart w:id="0" w:name="_Toc195101851"/>
      <w:r w:rsidRPr="00425028">
        <w:rPr>
          <w:rFonts w:ascii="Avenir Next LT Pro" w:hAnsi="Avenir Next LT Pro"/>
        </w:rPr>
        <w:t>Rental Affordability Snapshot</w:t>
      </w:r>
    </w:p>
    <w:p w14:paraId="1B49DBFD" w14:textId="3EE30340" w:rsidR="00F643D3" w:rsidRPr="00425028" w:rsidRDefault="00DC72B9" w:rsidP="00DC72B9">
      <w:pPr>
        <w:pStyle w:val="Title"/>
        <w:jc w:val="center"/>
        <w:rPr>
          <w:rFonts w:ascii="Avenir Next LT Pro" w:hAnsi="Avenir Next LT Pro"/>
        </w:rPr>
      </w:pPr>
      <w:r>
        <w:rPr>
          <w:rFonts w:ascii="Avenir Next LT Pro" w:hAnsi="Avenir Next LT Pro"/>
        </w:rPr>
        <w:t xml:space="preserve">Tasmania </w:t>
      </w:r>
      <w:r w:rsidR="00F643D3" w:rsidRPr="00425028">
        <w:rPr>
          <w:rFonts w:ascii="Avenir Next LT Pro" w:hAnsi="Avenir Next LT Pro"/>
        </w:rPr>
        <w:t>202</w:t>
      </w:r>
      <w:bookmarkEnd w:id="0"/>
      <w:r w:rsidR="00DA60E3">
        <w:rPr>
          <w:rFonts w:ascii="Avenir Next LT Pro" w:hAnsi="Avenir Next LT Pro"/>
        </w:rPr>
        <w:t>6</w:t>
      </w:r>
    </w:p>
    <w:p w14:paraId="73EFA12A" w14:textId="77777777" w:rsidR="00423492" w:rsidRPr="00425028" w:rsidRDefault="00423492" w:rsidP="00B71E6B"/>
    <w:p w14:paraId="6F53D5F4" w14:textId="07E51020" w:rsidR="001017EE" w:rsidRPr="00425028" w:rsidRDefault="00C67BF0" w:rsidP="00B71E6B">
      <w:r w:rsidRPr="00425028">
        <w:t>Selina Claxton</w:t>
      </w:r>
      <w:r w:rsidR="008F0C5B" w:rsidRPr="00425028">
        <w:t xml:space="preserve"> and</w:t>
      </w:r>
      <w:r w:rsidRPr="00425028">
        <w:t xml:space="preserve"> Ginny To</w:t>
      </w:r>
      <w:r w:rsidR="00081E33" w:rsidRPr="00425028">
        <w:t>o</w:t>
      </w:r>
      <w:r w:rsidRPr="00425028">
        <w:t>mbs</w:t>
      </w:r>
    </w:p>
    <w:p w14:paraId="7312FC7D" w14:textId="4F43D828" w:rsidR="00B369AC" w:rsidRPr="00425028" w:rsidRDefault="00B369AC" w:rsidP="00B71E6B"/>
    <w:p w14:paraId="0AAA8F34" w14:textId="6F1C2150" w:rsidR="00B369AC" w:rsidRPr="00425028" w:rsidRDefault="001A7D31" w:rsidP="00B71E6B">
      <w:r w:rsidRPr="00425028">
        <w:t>Social Action and Research Centre</w:t>
      </w:r>
    </w:p>
    <w:p w14:paraId="6F30CEE6" w14:textId="7B550A20" w:rsidR="001A7D31" w:rsidRPr="00425028" w:rsidRDefault="00EA7029" w:rsidP="00B71E6B">
      <w:r w:rsidRPr="00425028">
        <w:t>Anglicare Tasmania</w:t>
      </w:r>
    </w:p>
    <w:p w14:paraId="35A6796E" w14:textId="77777777" w:rsidR="00EA7029" w:rsidRPr="00425028" w:rsidRDefault="00EA7029" w:rsidP="00B71E6B"/>
    <w:p w14:paraId="205A62A6" w14:textId="77777777" w:rsidR="00EA7029" w:rsidRPr="00425028" w:rsidRDefault="00EA7029" w:rsidP="00B71E6B"/>
    <w:p w14:paraId="70847CAD" w14:textId="587333C4" w:rsidR="00EA7029" w:rsidRPr="00425028" w:rsidRDefault="00EA7029" w:rsidP="00B71E6B">
      <w:r w:rsidRPr="00425028">
        <w:t>April 202</w:t>
      </w:r>
      <w:r w:rsidR="00F97787">
        <w:t>6</w:t>
      </w:r>
    </w:p>
    <w:p w14:paraId="49C35D2A" w14:textId="66D9EACC" w:rsidR="00423492" w:rsidRPr="00425028" w:rsidRDefault="00423492" w:rsidP="00B71E6B">
      <w:r w:rsidRPr="00425028">
        <w:br w:type="page"/>
      </w:r>
    </w:p>
    <w:bookmarkStart w:id="1" w:name="_Toc195101852" w:displacedByCustomXml="next"/>
    <w:sdt>
      <w:sdtPr>
        <w:rPr>
          <w:rFonts w:ascii="Avenir Next LT Pro" w:eastAsiaTheme="minorEastAsia" w:hAnsi="Avenir Next LT Pro" w:cstheme="minorBidi"/>
          <w:color w:val="auto"/>
          <w:kern w:val="2"/>
          <w:sz w:val="22"/>
          <w:szCs w:val="22"/>
          <w:lang w:val="en-AU"/>
          <w14:ligatures w14:val="standardContextual"/>
        </w:rPr>
        <w:id w:val="659347648"/>
        <w:docPartObj>
          <w:docPartGallery w:val="Table of Contents"/>
          <w:docPartUnique/>
        </w:docPartObj>
      </w:sdtPr>
      <w:sdtEndPr>
        <w:rPr>
          <w:sz w:val="24"/>
          <w:szCs w:val="24"/>
        </w:rPr>
      </w:sdtEndPr>
      <w:sdtContent>
        <w:p w14:paraId="7BCA162F" w14:textId="77777777" w:rsidR="00E027B8" w:rsidRPr="00425028" w:rsidRDefault="00E027B8" w:rsidP="00E027B8">
          <w:pPr>
            <w:pStyle w:val="TOCHeading"/>
            <w:rPr>
              <w:rFonts w:ascii="Avenir Next LT Pro" w:hAnsi="Avenir Next LT Pro"/>
            </w:rPr>
          </w:pPr>
          <w:r w:rsidRPr="00425028">
            <w:rPr>
              <w:rFonts w:ascii="Avenir Next LT Pro" w:hAnsi="Avenir Next LT Pro"/>
            </w:rPr>
            <w:t>Contents</w:t>
          </w:r>
        </w:p>
        <w:p w14:paraId="3AEA21C4" w14:textId="430A5D4A" w:rsidR="00A05D6F" w:rsidRDefault="00E027B8">
          <w:pPr>
            <w:pStyle w:val="TOC1"/>
            <w:rPr>
              <w:rFonts w:asciiTheme="minorHAnsi" w:eastAsiaTheme="minorEastAsia" w:hAnsiTheme="minorHAnsi"/>
              <w:szCs w:val="24"/>
              <w:lang w:eastAsia="en-AU"/>
            </w:rPr>
          </w:pPr>
          <w:r w:rsidRPr="00425028">
            <w:rPr>
              <w:noProof w:val="0"/>
            </w:rPr>
            <w:fldChar w:fldCharType="begin"/>
          </w:r>
          <w:r w:rsidRPr="00425028">
            <w:instrText xml:space="preserve"> TOC \o "1-3" \h \z </w:instrText>
          </w:r>
          <w:r w:rsidRPr="00425028">
            <w:rPr>
              <w:noProof w:val="0"/>
            </w:rPr>
            <w:fldChar w:fldCharType="separate"/>
          </w:r>
          <w:hyperlink w:anchor="_Toc227843592" w:history="1">
            <w:r w:rsidR="00A05D6F" w:rsidRPr="003E49AB">
              <w:rPr>
                <w:rStyle w:val="Hyperlink"/>
              </w:rPr>
              <w:t>Anglicare’s experience in housing services and advocacy</w:t>
            </w:r>
            <w:r w:rsidR="00A05D6F">
              <w:rPr>
                <w:webHidden/>
              </w:rPr>
              <w:tab/>
            </w:r>
            <w:r w:rsidR="00A05D6F">
              <w:rPr>
                <w:webHidden/>
              </w:rPr>
              <w:fldChar w:fldCharType="begin"/>
            </w:r>
            <w:r w:rsidR="00A05D6F">
              <w:rPr>
                <w:webHidden/>
              </w:rPr>
              <w:instrText xml:space="preserve"> PAGEREF _Toc227843592 \h </w:instrText>
            </w:r>
            <w:r w:rsidR="00A05D6F">
              <w:rPr>
                <w:webHidden/>
              </w:rPr>
            </w:r>
            <w:r w:rsidR="00A05D6F">
              <w:rPr>
                <w:webHidden/>
              </w:rPr>
              <w:fldChar w:fldCharType="separate"/>
            </w:r>
            <w:r w:rsidR="00A05D6F">
              <w:rPr>
                <w:webHidden/>
              </w:rPr>
              <w:t>5</w:t>
            </w:r>
            <w:r w:rsidR="00A05D6F">
              <w:rPr>
                <w:webHidden/>
              </w:rPr>
              <w:fldChar w:fldCharType="end"/>
            </w:r>
          </w:hyperlink>
        </w:p>
        <w:p w14:paraId="431E41CE" w14:textId="2B0AB99E" w:rsidR="00A05D6F" w:rsidRDefault="00A05D6F">
          <w:pPr>
            <w:pStyle w:val="TOC1"/>
            <w:rPr>
              <w:rFonts w:asciiTheme="minorHAnsi" w:eastAsiaTheme="minorEastAsia" w:hAnsiTheme="minorHAnsi"/>
              <w:szCs w:val="24"/>
              <w:lang w:eastAsia="en-AU"/>
            </w:rPr>
          </w:pPr>
          <w:hyperlink w:anchor="_Toc227843593" w:history="1">
            <w:r w:rsidRPr="003E49AB">
              <w:rPr>
                <w:rStyle w:val="Hyperlink"/>
              </w:rPr>
              <w:t>Rental Affordability Snapshot methodology</w:t>
            </w:r>
            <w:r>
              <w:rPr>
                <w:webHidden/>
              </w:rPr>
              <w:tab/>
            </w:r>
            <w:r>
              <w:rPr>
                <w:webHidden/>
              </w:rPr>
              <w:fldChar w:fldCharType="begin"/>
            </w:r>
            <w:r>
              <w:rPr>
                <w:webHidden/>
              </w:rPr>
              <w:instrText xml:space="preserve"> PAGEREF _Toc227843593 \h </w:instrText>
            </w:r>
            <w:r>
              <w:rPr>
                <w:webHidden/>
              </w:rPr>
            </w:r>
            <w:r>
              <w:rPr>
                <w:webHidden/>
              </w:rPr>
              <w:fldChar w:fldCharType="separate"/>
            </w:r>
            <w:r>
              <w:rPr>
                <w:webHidden/>
              </w:rPr>
              <w:t>6</w:t>
            </w:r>
            <w:r>
              <w:rPr>
                <w:webHidden/>
              </w:rPr>
              <w:fldChar w:fldCharType="end"/>
            </w:r>
          </w:hyperlink>
        </w:p>
        <w:p w14:paraId="7ACF615C" w14:textId="1CC1EBBC" w:rsidR="00A05D6F" w:rsidRDefault="00A05D6F">
          <w:pPr>
            <w:pStyle w:val="TOC1"/>
            <w:rPr>
              <w:rFonts w:asciiTheme="minorHAnsi" w:eastAsiaTheme="minorEastAsia" w:hAnsiTheme="minorHAnsi"/>
              <w:szCs w:val="24"/>
              <w:lang w:eastAsia="en-AU"/>
            </w:rPr>
          </w:pPr>
          <w:hyperlink w:anchor="_Toc227843594" w:history="1">
            <w:r w:rsidRPr="003E49AB">
              <w:rPr>
                <w:rStyle w:val="Hyperlink"/>
              </w:rPr>
              <w:t>Key findings</w:t>
            </w:r>
            <w:r>
              <w:rPr>
                <w:webHidden/>
              </w:rPr>
              <w:tab/>
            </w:r>
            <w:r>
              <w:rPr>
                <w:webHidden/>
              </w:rPr>
              <w:fldChar w:fldCharType="begin"/>
            </w:r>
            <w:r>
              <w:rPr>
                <w:webHidden/>
              </w:rPr>
              <w:instrText xml:space="preserve"> PAGEREF _Toc227843594 \h </w:instrText>
            </w:r>
            <w:r>
              <w:rPr>
                <w:webHidden/>
              </w:rPr>
            </w:r>
            <w:r>
              <w:rPr>
                <w:webHidden/>
              </w:rPr>
              <w:fldChar w:fldCharType="separate"/>
            </w:r>
            <w:r>
              <w:rPr>
                <w:webHidden/>
              </w:rPr>
              <w:t>7</w:t>
            </w:r>
            <w:r>
              <w:rPr>
                <w:webHidden/>
              </w:rPr>
              <w:fldChar w:fldCharType="end"/>
            </w:r>
          </w:hyperlink>
        </w:p>
        <w:p w14:paraId="00D70B59" w14:textId="226D0F19" w:rsidR="00A05D6F" w:rsidRDefault="00A05D6F">
          <w:pPr>
            <w:pStyle w:val="TOC2"/>
            <w:tabs>
              <w:tab w:val="right" w:leader="dot" w:pos="9016"/>
            </w:tabs>
            <w:rPr>
              <w:rFonts w:asciiTheme="minorHAnsi" w:eastAsiaTheme="minorEastAsia" w:hAnsiTheme="minorHAnsi"/>
              <w:noProof/>
              <w:szCs w:val="24"/>
              <w:lang w:eastAsia="en-AU"/>
            </w:rPr>
          </w:pPr>
          <w:hyperlink w:anchor="_Toc227843595" w:history="1">
            <w:r w:rsidRPr="003E49AB">
              <w:rPr>
                <w:rStyle w:val="Hyperlink"/>
                <w:noProof/>
              </w:rPr>
              <w:t>Availability</w:t>
            </w:r>
            <w:r>
              <w:rPr>
                <w:noProof/>
                <w:webHidden/>
              </w:rPr>
              <w:tab/>
            </w:r>
            <w:r>
              <w:rPr>
                <w:noProof/>
                <w:webHidden/>
              </w:rPr>
              <w:fldChar w:fldCharType="begin"/>
            </w:r>
            <w:r>
              <w:rPr>
                <w:noProof/>
                <w:webHidden/>
              </w:rPr>
              <w:instrText xml:space="preserve"> PAGEREF _Toc227843595 \h </w:instrText>
            </w:r>
            <w:r>
              <w:rPr>
                <w:noProof/>
                <w:webHidden/>
              </w:rPr>
            </w:r>
            <w:r>
              <w:rPr>
                <w:noProof/>
                <w:webHidden/>
              </w:rPr>
              <w:fldChar w:fldCharType="separate"/>
            </w:r>
            <w:r>
              <w:rPr>
                <w:noProof/>
                <w:webHidden/>
              </w:rPr>
              <w:t>8</w:t>
            </w:r>
            <w:r>
              <w:rPr>
                <w:noProof/>
                <w:webHidden/>
              </w:rPr>
              <w:fldChar w:fldCharType="end"/>
            </w:r>
          </w:hyperlink>
        </w:p>
        <w:p w14:paraId="54DB11CC" w14:textId="1FE357CB" w:rsidR="00A05D6F" w:rsidRDefault="00A05D6F">
          <w:pPr>
            <w:pStyle w:val="TOC2"/>
            <w:tabs>
              <w:tab w:val="right" w:leader="dot" w:pos="9016"/>
            </w:tabs>
            <w:rPr>
              <w:rFonts w:asciiTheme="minorHAnsi" w:eastAsiaTheme="minorEastAsia" w:hAnsiTheme="minorHAnsi"/>
              <w:noProof/>
              <w:szCs w:val="24"/>
              <w:lang w:eastAsia="en-AU"/>
            </w:rPr>
          </w:pPr>
          <w:hyperlink w:anchor="_Toc227843596" w:history="1">
            <w:r w:rsidRPr="003E49AB">
              <w:rPr>
                <w:rStyle w:val="Hyperlink"/>
                <w:noProof/>
              </w:rPr>
              <w:t>Affordability</w:t>
            </w:r>
            <w:r>
              <w:rPr>
                <w:noProof/>
                <w:webHidden/>
              </w:rPr>
              <w:tab/>
            </w:r>
            <w:r>
              <w:rPr>
                <w:noProof/>
                <w:webHidden/>
              </w:rPr>
              <w:fldChar w:fldCharType="begin"/>
            </w:r>
            <w:r>
              <w:rPr>
                <w:noProof/>
                <w:webHidden/>
              </w:rPr>
              <w:instrText xml:space="preserve"> PAGEREF _Toc227843596 \h </w:instrText>
            </w:r>
            <w:r>
              <w:rPr>
                <w:noProof/>
                <w:webHidden/>
              </w:rPr>
            </w:r>
            <w:r>
              <w:rPr>
                <w:noProof/>
                <w:webHidden/>
              </w:rPr>
              <w:fldChar w:fldCharType="separate"/>
            </w:r>
            <w:r>
              <w:rPr>
                <w:noProof/>
                <w:webHidden/>
              </w:rPr>
              <w:t>9</w:t>
            </w:r>
            <w:r>
              <w:rPr>
                <w:noProof/>
                <w:webHidden/>
              </w:rPr>
              <w:fldChar w:fldCharType="end"/>
            </w:r>
          </w:hyperlink>
        </w:p>
        <w:p w14:paraId="7346AF5A" w14:textId="2C2A9653" w:rsidR="00A05D6F" w:rsidRDefault="00A05D6F">
          <w:pPr>
            <w:pStyle w:val="TOC1"/>
            <w:rPr>
              <w:rFonts w:asciiTheme="minorHAnsi" w:eastAsiaTheme="minorEastAsia" w:hAnsiTheme="minorHAnsi"/>
              <w:szCs w:val="24"/>
              <w:lang w:eastAsia="en-AU"/>
            </w:rPr>
          </w:pPr>
          <w:hyperlink w:anchor="_Toc227843597" w:history="1">
            <w:r w:rsidRPr="003E49AB">
              <w:rPr>
                <w:rStyle w:val="Hyperlink"/>
              </w:rPr>
              <w:t>Vacancy rates have stayed at unprecedented lows</w:t>
            </w:r>
            <w:r>
              <w:rPr>
                <w:webHidden/>
              </w:rPr>
              <w:tab/>
            </w:r>
            <w:r>
              <w:rPr>
                <w:webHidden/>
              </w:rPr>
              <w:fldChar w:fldCharType="begin"/>
            </w:r>
            <w:r>
              <w:rPr>
                <w:webHidden/>
              </w:rPr>
              <w:instrText xml:space="preserve"> PAGEREF _Toc227843597 \h </w:instrText>
            </w:r>
            <w:r>
              <w:rPr>
                <w:webHidden/>
              </w:rPr>
            </w:r>
            <w:r>
              <w:rPr>
                <w:webHidden/>
              </w:rPr>
              <w:fldChar w:fldCharType="separate"/>
            </w:r>
            <w:r>
              <w:rPr>
                <w:webHidden/>
              </w:rPr>
              <w:t>11</w:t>
            </w:r>
            <w:r>
              <w:rPr>
                <w:webHidden/>
              </w:rPr>
              <w:fldChar w:fldCharType="end"/>
            </w:r>
          </w:hyperlink>
        </w:p>
        <w:p w14:paraId="79C1F8BE" w14:textId="3C71AC6E" w:rsidR="00A05D6F" w:rsidRDefault="00A05D6F">
          <w:pPr>
            <w:pStyle w:val="TOC3"/>
            <w:tabs>
              <w:tab w:val="right" w:leader="dot" w:pos="9016"/>
            </w:tabs>
            <w:rPr>
              <w:rFonts w:asciiTheme="minorHAnsi" w:eastAsiaTheme="minorEastAsia" w:hAnsiTheme="minorHAnsi"/>
              <w:noProof/>
              <w:szCs w:val="24"/>
              <w:lang w:eastAsia="en-AU"/>
            </w:rPr>
          </w:pPr>
          <w:hyperlink w:anchor="_Toc227843598" w:history="1">
            <w:r w:rsidRPr="003E49AB">
              <w:rPr>
                <w:rStyle w:val="Hyperlink"/>
                <w:noProof/>
              </w:rPr>
              <w:t>Figure 2: Residential rental vacancy rates</w:t>
            </w:r>
            <w:r>
              <w:rPr>
                <w:noProof/>
                <w:webHidden/>
              </w:rPr>
              <w:tab/>
            </w:r>
            <w:r>
              <w:rPr>
                <w:noProof/>
                <w:webHidden/>
              </w:rPr>
              <w:fldChar w:fldCharType="begin"/>
            </w:r>
            <w:r>
              <w:rPr>
                <w:noProof/>
                <w:webHidden/>
              </w:rPr>
              <w:instrText xml:space="preserve"> PAGEREF _Toc227843598 \h </w:instrText>
            </w:r>
            <w:r>
              <w:rPr>
                <w:noProof/>
                <w:webHidden/>
              </w:rPr>
            </w:r>
            <w:r>
              <w:rPr>
                <w:noProof/>
                <w:webHidden/>
              </w:rPr>
              <w:fldChar w:fldCharType="separate"/>
            </w:r>
            <w:r>
              <w:rPr>
                <w:noProof/>
                <w:webHidden/>
              </w:rPr>
              <w:t>11</w:t>
            </w:r>
            <w:r>
              <w:rPr>
                <w:noProof/>
                <w:webHidden/>
              </w:rPr>
              <w:fldChar w:fldCharType="end"/>
            </w:r>
          </w:hyperlink>
        </w:p>
        <w:p w14:paraId="21708457" w14:textId="0229941E" w:rsidR="00A05D6F" w:rsidRDefault="00A05D6F">
          <w:pPr>
            <w:pStyle w:val="TOC1"/>
            <w:rPr>
              <w:rFonts w:asciiTheme="minorHAnsi" w:eastAsiaTheme="minorEastAsia" w:hAnsiTheme="minorHAnsi"/>
              <w:szCs w:val="24"/>
              <w:lang w:eastAsia="en-AU"/>
            </w:rPr>
          </w:pPr>
          <w:hyperlink w:anchor="_Toc227843599" w:history="1">
            <w:r w:rsidRPr="003E49AB">
              <w:rPr>
                <w:rStyle w:val="Hyperlink"/>
              </w:rPr>
              <w:t>Regional analysis</w:t>
            </w:r>
            <w:r>
              <w:rPr>
                <w:webHidden/>
              </w:rPr>
              <w:tab/>
            </w:r>
            <w:r>
              <w:rPr>
                <w:webHidden/>
              </w:rPr>
              <w:fldChar w:fldCharType="begin"/>
            </w:r>
            <w:r>
              <w:rPr>
                <w:webHidden/>
              </w:rPr>
              <w:instrText xml:space="preserve"> PAGEREF _Toc227843599 \h </w:instrText>
            </w:r>
            <w:r>
              <w:rPr>
                <w:webHidden/>
              </w:rPr>
            </w:r>
            <w:r>
              <w:rPr>
                <w:webHidden/>
              </w:rPr>
              <w:fldChar w:fldCharType="separate"/>
            </w:r>
            <w:r>
              <w:rPr>
                <w:webHidden/>
              </w:rPr>
              <w:t>12</w:t>
            </w:r>
            <w:r>
              <w:rPr>
                <w:webHidden/>
              </w:rPr>
              <w:fldChar w:fldCharType="end"/>
            </w:r>
          </w:hyperlink>
        </w:p>
        <w:p w14:paraId="7491C60F" w14:textId="4F000EED" w:rsidR="00A05D6F" w:rsidRDefault="00A05D6F">
          <w:pPr>
            <w:pStyle w:val="TOC2"/>
            <w:tabs>
              <w:tab w:val="right" w:leader="dot" w:pos="9016"/>
            </w:tabs>
            <w:rPr>
              <w:rFonts w:asciiTheme="minorHAnsi" w:eastAsiaTheme="minorEastAsia" w:hAnsiTheme="minorHAnsi"/>
              <w:noProof/>
              <w:szCs w:val="24"/>
              <w:lang w:eastAsia="en-AU"/>
            </w:rPr>
          </w:pPr>
          <w:hyperlink w:anchor="_Toc227843600" w:history="1">
            <w:r w:rsidRPr="003E49AB">
              <w:rPr>
                <w:rStyle w:val="Hyperlink"/>
                <w:noProof/>
              </w:rPr>
              <w:t>South</w:t>
            </w:r>
            <w:r>
              <w:rPr>
                <w:noProof/>
                <w:webHidden/>
              </w:rPr>
              <w:tab/>
            </w:r>
            <w:r>
              <w:rPr>
                <w:noProof/>
                <w:webHidden/>
              </w:rPr>
              <w:fldChar w:fldCharType="begin"/>
            </w:r>
            <w:r>
              <w:rPr>
                <w:noProof/>
                <w:webHidden/>
              </w:rPr>
              <w:instrText xml:space="preserve"> PAGEREF _Toc227843600 \h </w:instrText>
            </w:r>
            <w:r>
              <w:rPr>
                <w:noProof/>
                <w:webHidden/>
              </w:rPr>
            </w:r>
            <w:r>
              <w:rPr>
                <w:noProof/>
                <w:webHidden/>
              </w:rPr>
              <w:fldChar w:fldCharType="separate"/>
            </w:r>
            <w:r>
              <w:rPr>
                <w:noProof/>
                <w:webHidden/>
              </w:rPr>
              <w:t>12</w:t>
            </w:r>
            <w:r>
              <w:rPr>
                <w:noProof/>
                <w:webHidden/>
              </w:rPr>
              <w:fldChar w:fldCharType="end"/>
            </w:r>
          </w:hyperlink>
        </w:p>
        <w:p w14:paraId="17682018" w14:textId="30474973" w:rsidR="00A05D6F" w:rsidRDefault="00A05D6F">
          <w:pPr>
            <w:pStyle w:val="TOC3"/>
            <w:tabs>
              <w:tab w:val="right" w:leader="dot" w:pos="9016"/>
            </w:tabs>
            <w:rPr>
              <w:rFonts w:asciiTheme="minorHAnsi" w:eastAsiaTheme="minorEastAsia" w:hAnsiTheme="minorHAnsi"/>
              <w:noProof/>
              <w:szCs w:val="24"/>
              <w:lang w:eastAsia="en-AU"/>
            </w:rPr>
          </w:pPr>
          <w:hyperlink w:anchor="_Toc227843601" w:history="1">
            <w:r w:rsidRPr="003E49AB">
              <w:rPr>
                <w:rStyle w:val="Hyperlink"/>
                <w:noProof/>
              </w:rPr>
              <w:t>Availability</w:t>
            </w:r>
            <w:r>
              <w:rPr>
                <w:noProof/>
                <w:webHidden/>
              </w:rPr>
              <w:tab/>
            </w:r>
            <w:r>
              <w:rPr>
                <w:noProof/>
                <w:webHidden/>
              </w:rPr>
              <w:fldChar w:fldCharType="begin"/>
            </w:r>
            <w:r>
              <w:rPr>
                <w:noProof/>
                <w:webHidden/>
              </w:rPr>
              <w:instrText xml:space="preserve"> PAGEREF _Toc227843601 \h </w:instrText>
            </w:r>
            <w:r>
              <w:rPr>
                <w:noProof/>
                <w:webHidden/>
              </w:rPr>
            </w:r>
            <w:r>
              <w:rPr>
                <w:noProof/>
                <w:webHidden/>
              </w:rPr>
              <w:fldChar w:fldCharType="separate"/>
            </w:r>
            <w:r>
              <w:rPr>
                <w:noProof/>
                <w:webHidden/>
              </w:rPr>
              <w:t>12</w:t>
            </w:r>
            <w:r>
              <w:rPr>
                <w:noProof/>
                <w:webHidden/>
              </w:rPr>
              <w:fldChar w:fldCharType="end"/>
            </w:r>
          </w:hyperlink>
        </w:p>
        <w:p w14:paraId="10A3E8E7" w14:textId="6C890B82" w:rsidR="00A05D6F" w:rsidRDefault="00A05D6F">
          <w:pPr>
            <w:pStyle w:val="TOC3"/>
            <w:tabs>
              <w:tab w:val="right" w:leader="dot" w:pos="9016"/>
            </w:tabs>
            <w:rPr>
              <w:rFonts w:asciiTheme="minorHAnsi" w:eastAsiaTheme="minorEastAsia" w:hAnsiTheme="minorHAnsi"/>
              <w:noProof/>
              <w:szCs w:val="24"/>
              <w:lang w:eastAsia="en-AU"/>
            </w:rPr>
          </w:pPr>
          <w:hyperlink w:anchor="_Toc227843602" w:history="1">
            <w:r w:rsidRPr="003E49AB">
              <w:rPr>
                <w:rStyle w:val="Hyperlink"/>
                <w:noProof/>
              </w:rPr>
              <w:t>Affordability</w:t>
            </w:r>
            <w:r>
              <w:rPr>
                <w:noProof/>
                <w:webHidden/>
              </w:rPr>
              <w:tab/>
            </w:r>
            <w:r>
              <w:rPr>
                <w:noProof/>
                <w:webHidden/>
              </w:rPr>
              <w:fldChar w:fldCharType="begin"/>
            </w:r>
            <w:r>
              <w:rPr>
                <w:noProof/>
                <w:webHidden/>
              </w:rPr>
              <w:instrText xml:space="preserve"> PAGEREF _Toc227843602 \h </w:instrText>
            </w:r>
            <w:r>
              <w:rPr>
                <w:noProof/>
                <w:webHidden/>
              </w:rPr>
            </w:r>
            <w:r>
              <w:rPr>
                <w:noProof/>
                <w:webHidden/>
              </w:rPr>
              <w:fldChar w:fldCharType="separate"/>
            </w:r>
            <w:r>
              <w:rPr>
                <w:noProof/>
                <w:webHidden/>
              </w:rPr>
              <w:t>13</w:t>
            </w:r>
            <w:r>
              <w:rPr>
                <w:noProof/>
                <w:webHidden/>
              </w:rPr>
              <w:fldChar w:fldCharType="end"/>
            </w:r>
          </w:hyperlink>
        </w:p>
        <w:p w14:paraId="7B2A9186" w14:textId="5E442967" w:rsidR="00A05D6F" w:rsidRDefault="00A05D6F">
          <w:pPr>
            <w:pStyle w:val="TOC2"/>
            <w:tabs>
              <w:tab w:val="right" w:leader="dot" w:pos="9016"/>
            </w:tabs>
            <w:rPr>
              <w:rFonts w:asciiTheme="minorHAnsi" w:eastAsiaTheme="minorEastAsia" w:hAnsiTheme="minorHAnsi"/>
              <w:noProof/>
              <w:szCs w:val="24"/>
              <w:lang w:eastAsia="en-AU"/>
            </w:rPr>
          </w:pPr>
          <w:hyperlink w:anchor="_Toc227843603" w:history="1">
            <w:r w:rsidRPr="003E49AB">
              <w:rPr>
                <w:rStyle w:val="Hyperlink"/>
                <w:rFonts w:eastAsia="Avenir Next LT Pro" w:cs="Avenir Next LT Pro"/>
                <w:noProof/>
              </w:rPr>
              <w:t>North</w:t>
            </w:r>
            <w:r>
              <w:rPr>
                <w:noProof/>
                <w:webHidden/>
              </w:rPr>
              <w:tab/>
            </w:r>
            <w:r>
              <w:rPr>
                <w:noProof/>
                <w:webHidden/>
              </w:rPr>
              <w:fldChar w:fldCharType="begin"/>
            </w:r>
            <w:r>
              <w:rPr>
                <w:noProof/>
                <w:webHidden/>
              </w:rPr>
              <w:instrText xml:space="preserve"> PAGEREF _Toc227843603 \h </w:instrText>
            </w:r>
            <w:r>
              <w:rPr>
                <w:noProof/>
                <w:webHidden/>
              </w:rPr>
            </w:r>
            <w:r>
              <w:rPr>
                <w:noProof/>
                <w:webHidden/>
              </w:rPr>
              <w:fldChar w:fldCharType="separate"/>
            </w:r>
            <w:r>
              <w:rPr>
                <w:noProof/>
                <w:webHidden/>
              </w:rPr>
              <w:t>14</w:t>
            </w:r>
            <w:r>
              <w:rPr>
                <w:noProof/>
                <w:webHidden/>
              </w:rPr>
              <w:fldChar w:fldCharType="end"/>
            </w:r>
          </w:hyperlink>
        </w:p>
        <w:p w14:paraId="2B1DB6F2" w14:textId="17ED5E42" w:rsidR="00A05D6F" w:rsidRDefault="00A05D6F">
          <w:pPr>
            <w:pStyle w:val="TOC3"/>
            <w:tabs>
              <w:tab w:val="right" w:leader="dot" w:pos="9016"/>
            </w:tabs>
            <w:rPr>
              <w:rFonts w:asciiTheme="minorHAnsi" w:eastAsiaTheme="minorEastAsia" w:hAnsiTheme="minorHAnsi"/>
              <w:noProof/>
              <w:szCs w:val="24"/>
              <w:lang w:eastAsia="en-AU"/>
            </w:rPr>
          </w:pPr>
          <w:hyperlink w:anchor="_Toc227843604" w:history="1">
            <w:r w:rsidRPr="003E49AB">
              <w:rPr>
                <w:rStyle w:val="Hyperlink"/>
                <w:noProof/>
              </w:rPr>
              <w:t>Availability</w:t>
            </w:r>
            <w:r>
              <w:rPr>
                <w:noProof/>
                <w:webHidden/>
              </w:rPr>
              <w:tab/>
            </w:r>
            <w:r>
              <w:rPr>
                <w:noProof/>
                <w:webHidden/>
              </w:rPr>
              <w:fldChar w:fldCharType="begin"/>
            </w:r>
            <w:r>
              <w:rPr>
                <w:noProof/>
                <w:webHidden/>
              </w:rPr>
              <w:instrText xml:space="preserve"> PAGEREF _Toc227843604 \h </w:instrText>
            </w:r>
            <w:r>
              <w:rPr>
                <w:noProof/>
                <w:webHidden/>
              </w:rPr>
            </w:r>
            <w:r>
              <w:rPr>
                <w:noProof/>
                <w:webHidden/>
              </w:rPr>
              <w:fldChar w:fldCharType="separate"/>
            </w:r>
            <w:r>
              <w:rPr>
                <w:noProof/>
                <w:webHidden/>
              </w:rPr>
              <w:t>14</w:t>
            </w:r>
            <w:r>
              <w:rPr>
                <w:noProof/>
                <w:webHidden/>
              </w:rPr>
              <w:fldChar w:fldCharType="end"/>
            </w:r>
          </w:hyperlink>
        </w:p>
        <w:p w14:paraId="2E001FBB" w14:textId="782589EE" w:rsidR="00A05D6F" w:rsidRDefault="00A05D6F">
          <w:pPr>
            <w:pStyle w:val="TOC3"/>
            <w:tabs>
              <w:tab w:val="right" w:leader="dot" w:pos="9016"/>
            </w:tabs>
            <w:rPr>
              <w:rFonts w:asciiTheme="minorHAnsi" w:eastAsiaTheme="minorEastAsia" w:hAnsiTheme="minorHAnsi"/>
              <w:noProof/>
              <w:szCs w:val="24"/>
              <w:lang w:eastAsia="en-AU"/>
            </w:rPr>
          </w:pPr>
          <w:hyperlink w:anchor="_Toc227843605" w:history="1">
            <w:r w:rsidRPr="003E49AB">
              <w:rPr>
                <w:rStyle w:val="Hyperlink"/>
                <w:noProof/>
              </w:rPr>
              <w:t>Affordability</w:t>
            </w:r>
            <w:r>
              <w:rPr>
                <w:noProof/>
                <w:webHidden/>
              </w:rPr>
              <w:tab/>
            </w:r>
            <w:r>
              <w:rPr>
                <w:noProof/>
                <w:webHidden/>
              </w:rPr>
              <w:fldChar w:fldCharType="begin"/>
            </w:r>
            <w:r>
              <w:rPr>
                <w:noProof/>
                <w:webHidden/>
              </w:rPr>
              <w:instrText xml:space="preserve"> PAGEREF _Toc227843605 \h </w:instrText>
            </w:r>
            <w:r>
              <w:rPr>
                <w:noProof/>
                <w:webHidden/>
              </w:rPr>
            </w:r>
            <w:r>
              <w:rPr>
                <w:noProof/>
                <w:webHidden/>
              </w:rPr>
              <w:fldChar w:fldCharType="separate"/>
            </w:r>
            <w:r>
              <w:rPr>
                <w:noProof/>
                <w:webHidden/>
              </w:rPr>
              <w:t>14</w:t>
            </w:r>
            <w:r>
              <w:rPr>
                <w:noProof/>
                <w:webHidden/>
              </w:rPr>
              <w:fldChar w:fldCharType="end"/>
            </w:r>
          </w:hyperlink>
        </w:p>
        <w:p w14:paraId="55CE1D27" w14:textId="73AE4C8B" w:rsidR="00A05D6F" w:rsidRDefault="00A05D6F">
          <w:pPr>
            <w:pStyle w:val="TOC2"/>
            <w:tabs>
              <w:tab w:val="right" w:leader="dot" w:pos="9016"/>
            </w:tabs>
            <w:rPr>
              <w:rFonts w:asciiTheme="minorHAnsi" w:eastAsiaTheme="minorEastAsia" w:hAnsiTheme="minorHAnsi"/>
              <w:noProof/>
              <w:szCs w:val="24"/>
              <w:lang w:eastAsia="en-AU"/>
            </w:rPr>
          </w:pPr>
          <w:hyperlink w:anchor="_Toc227843606" w:history="1">
            <w:r w:rsidRPr="003E49AB">
              <w:rPr>
                <w:rStyle w:val="Hyperlink"/>
                <w:noProof/>
              </w:rPr>
              <w:t>North West</w:t>
            </w:r>
            <w:r>
              <w:rPr>
                <w:noProof/>
                <w:webHidden/>
              </w:rPr>
              <w:tab/>
            </w:r>
            <w:r>
              <w:rPr>
                <w:noProof/>
                <w:webHidden/>
              </w:rPr>
              <w:fldChar w:fldCharType="begin"/>
            </w:r>
            <w:r>
              <w:rPr>
                <w:noProof/>
                <w:webHidden/>
              </w:rPr>
              <w:instrText xml:space="preserve"> PAGEREF _Toc227843606 \h </w:instrText>
            </w:r>
            <w:r>
              <w:rPr>
                <w:noProof/>
                <w:webHidden/>
              </w:rPr>
            </w:r>
            <w:r>
              <w:rPr>
                <w:noProof/>
                <w:webHidden/>
              </w:rPr>
              <w:fldChar w:fldCharType="separate"/>
            </w:r>
            <w:r>
              <w:rPr>
                <w:noProof/>
                <w:webHidden/>
              </w:rPr>
              <w:t>16</w:t>
            </w:r>
            <w:r>
              <w:rPr>
                <w:noProof/>
                <w:webHidden/>
              </w:rPr>
              <w:fldChar w:fldCharType="end"/>
            </w:r>
          </w:hyperlink>
        </w:p>
        <w:p w14:paraId="5F41414D" w14:textId="2E7E1BC7" w:rsidR="00A05D6F" w:rsidRDefault="00A05D6F">
          <w:pPr>
            <w:pStyle w:val="TOC3"/>
            <w:tabs>
              <w:tab w:val="right" w:leader="dot" w:pos="9016"/>
            </w:tabs>
            <w:rPr>
              <w:rFonts w:asciiTheme="minorHAnsi" w:eastAsiaTheme="minorEastAsia" w:hAnsiTheme="minorHAnsi"/>
              <w:noProof/>
              <w:szCs w:val="24"/>
              <w:lang w:eastAsia="en-AU"/>
            </w:rPr>
          </w:pPr>
          <w:hyperlink w:anchor="_Toc227843607" w:history="1">
            <w:r w:rsidRPr="003E49AB">
              <w:rPr>
                <w:rStyle w:val="Hyperlink"/>
                <w:noProof/>
              </w:rPr>
              <w:t>Availability</w:t>
            </w:r>
            <w:r>
              <w:rPr>
                <w:noProof/>
                <w:webHidden/>
              </w:rPr>
              <w:tab/>
            </w:r>
            <w:r>
              <w:rPr>
                <w:noProof/>
                <w:webHidden/>
              </w:rPr>
              <w:fldChar w:fldCharType="begin"/>
            </w:r>
            <w:r>
              <w:rPr>
                <w:noProof/>
                <w:webHidden/>
              </w:rPr>
              <w:instrText xml:space="preserve"> PAGEREF _Toc227843607 \h </w:instrText>
            </w:r>
            <w:r>
              <w:rPr>
                <w:noProof/>
                <w:webHidden/>
              </w:rPr>
            </w:r>
            <w:r>
              <w:rPr>
                <w:noProof/>
                <w:webHidden/>
              </w:rPr>
              <w:fldChar w:fldCharType="separate"/>
            </w:r>
            <w:r>
              <w:rPr>
                <w:noProof/>
                <w:webHidden/>
              </w:rPr>
              <w:t>16</w:t>
            </w:r>
            <w:r>
              <w:rPr>
                <w:noProof/>
                <w:webHidden/>
              </w:rPr>
              <w:fldChar w:fldCharType="end"/>
            </w:r>
          </w:hyperlink>
        </w:p>
        <w:p w14:paraId="65730288" w14:textId="0D3DD95A" w:rsidR="00A05D6F" w:rsidRDefault="00A05D6F">
          <w:pPr>
            <w:pStyle w:val="TOC3"/>
            <w:tabs>
              <w:tab w:val="right" w:leader="dot" w:pos="9016"/>
            </w:tabs>
            <w:rPr>
              <w:rFonts w:asciiTheme="minorHAnsi" w:eastAsiaTheme="minorEastAsia" w:hAnsiTheme="minorHAnsi"/>
              <w:noProof/>
              <w:szCs w:val="24"/>
              <w:lang w:eastAsia="en-AU"/>
            </w:rPr>
          </w:pPr>
          <w:hyperlink w:anchor="_Toc227843608" w:history="1">
            <w:r w:rsidRPr="003E49AB">
              <w:rPr>
                <w:rStyle w:val="Hyperlink"/>
                <w:noProof/>
              </w:rPr>
              <w:t>Affordability</w:t>
            </w:r>
            <w:r>
              <w:rPr>
                <w:noProof/>
                <w:webHidden/>
              </w:rPr>
              <w:tab/>
            </w:r>
            <w:r>
              <w:rPr>
                <w:noProof/>
                <w:webHidden/>
              </w:rPr>
              <w:fldChar w:fldCharType="begin"/>
            </w:r>
            <w:r>
              <w:rPr>
                <w:noProof/>
                <w:webHidden/>
              </w:rPr>
              <w:instrText xml:space="preserve"> PAGEREF _Toc227843608 \h </w:instrText>
            </w:r>
            <w:r>
              <w:rPr>
                <w:noProof/>
                <w:webHidden/>
              </w:rPr>
            </w:r>
            <w:r>
              <w:rPr>
                <w:noProof/>
                <w:webHidden/>
              </w:rPr>
              <w:fldChar w:fldCharType="separate"/>
            </w:r>
            <w:r>
              <w:rPr>
                <w:noProof/>
                <w:webHidden/>
              </w:rPr>
              <w:t>16</w:t>
            </w:r>
            <w:r>
              <w:rPr>
                <w:noProof/>
                <w:webHidden/>
              </w:rPr>
              <w:fldChar w:fldCharType="end"/>
            </w:r>
          </w:hyperlink>
        </w:p>
        <w:p w14:paraId="08351A43" w14:textId="4A8FB0C5" w:rsidR="00A05D6F" w:rsidRDefault="00A05D6F">
          <w:pPr>
            <w:pStyle w:val="TOC1"/>
            <w:rPr>
              <w:rFonts w:asciiTheme="minorHAnsi" w:eastAsiaTheme="minorEastAsia" w:hAnsiTheme="minorHAnsi"/>
              <w:szCs w:val="24"/>
              <w:lang w:eastAsia="en-AU"/>
            </w:rPr>
          </w:pPr>
          <w:hyperlink w:anchor="_Toc227843609" w:history="1">
            <w:r w:rsidRPr="003E49AB">
              <w:rPr>
                <w:rStyle w:val="Hyperlink"/>
              </w:rPr>
              <w:t>Rising rents are outstripping incomes</w:t>
            </w:r>
            <w:r>
              <w:rPr>
                <w:webHidden/>
              </w:rPr>
              <w:tab/>
            </w:r>
            <w:r>
              <w:rPr>
                <w:webHidden/>
              </w:rPr>
              <w:fldChar w:fldCharType="begin"/>
            </w:r>
            <w:r>
              <w:rPr>
                <w:webHidden/>
              </w:rPr>
              <w:instrText xml:space="preserve"> PAGEREF _Toc227843609 \h </w:instrText>
            </w:r>
            <w:r>
              <w:rPr>
                <w:webHidden/>
              </w:rPr>
            </w:r>
            <w:r>
              <w:rPr>
                <w:webHidden/>
              </w:rPr>
              <w:fldChar w:fldCharType="separate"/>
            </w:r>
            <w:r>
              <w:rPr>
                <w:webHidden/>
              </w:rPr>
              <w:t>18</w:t>
            </w:r>
            <w:r>
              <w:rPr>
                <w:webHidden/>
              </w:rPr>
              <w:fldChar w:fldCharType="end"/>
            </w:r>
          </w:hyperlink>
        </w:p>
        <w:p w14:paraId="783D43AB" w14:textId="356A22CA" w:rsidR="00A05D6F" w:rsidRDefault="00A05D6F">
          <w:pPr>
            <w:pStyle w:val="TOC2"/>
            <w:tabs>
              <w:tab w:val="right" w:leader="dot" w:pos="9016"/>
            </w:tabs>
            <w:rPr>
              <w:rFonts w:asciiTheme="minorHAnsi" w:eastAsiaTheme="minorEastAsia" w:hAnsiTheme="minorHAnsi"/>
              <w:noProof/>
              <w:szCs w:val="24"/>
              <w:lang w:eastAsia="en-AU"/>
            </w:rPr>
          </w:pPr>
          <w:hyperlink w:anchor="_Toc227843610" w:history="1">
            <w:r w:rsidRPr="003E49AB">
              <w:rPr>
                <w:rStyle w:val="Hyperlink"/>
                <w:noProof/>
              </w:rPr>
              <w:t>People seeking one-bedroom rentals</w:t>
            </w:r>
            <w:r>
              <w:rPr>
                <w:noProof/>
                <w:webHidden/>
              </w:rPr>
              <w:tab/>
            </w:r>
            <w:r>
              <w:rPr>
                <w:noProof/>
                <w:webHidden/>
              </w:rPr>
              <w:fldChar w:fldCharType="begin"/>
            </w:r>
            <w:r>
              <w:rPr>
                <w:noProof/>
                <w:webHidden/>
              </w:rPr>
              <w:instrText xml:space="preserve"> PAGEREF _Toc227843610 \h </w:instrText>
            </w:r>
            <w:r>
              <w:rPr>
                <w:noProof/>
                <w:webHidden/>
              </w:rPr>
            </w:r>
            <w:r>
              <w:rPr>
                <w:noProof/>
                <w:webHidden/>
              </w:rPr>
              <w:fldChar w:fldCharType="separate"/>
            </w:r>
            <w:r>
              <w:rPr>
                <w:noProof/>
                <w:webHidden/>
              </w:rPr>
              <w:t>18</w:t>
            </w:r>
            <w:r>
              <w:rPr>
                <w:noProof/>
                <w:webHidden/>
              </w:rPr>
              <w:fldChar w:fldCharType="end"/>
            </w:r>
          </w:hyperlink>
        </w:p>
        <w:p w14:paraId="6159F453" w14:textId="05EE5DBE" w:rsidR="00A05D6F" w:rsidRDefault="00A05D6F">
          <w:pPr>
            <w:pStyle w:val="TOC3"/>
            <w:tabs>
              <w:tab w:val="right" w:leader="dot" w:pos="9016"/>
            </w:tabs>
            <w:rPr>
              <w:rFonts w:asciiTheme="minorHAnsi" w:eastAsiaTheme="minorEastAsia" w:hAnsiTheme="minorHAnsi"/>
              <w:noProof/>
              <w:szCs w:val="24"/>
              <w:lang w:eastAsia="en-AU"/>
            </w:rPr>
          </w:pPr>
          <w:hyperlink w:anchor="_Toc227843611" w:history="1">
            <w:r w:rsidRPr="003E49AB">
              <w:rPr>
                <w:rStyle w:val="Hyperlink"/>
                <w:noProof/>
              </w:rPr>
              <w:t>Young people need a home to build a future</w:t>
            </w:r>
            <w:r>
              <w:rPr>
                <w:noProof/>
                <w:webHidden/>
              </w:rPr>
              <w:tab/>
            </w:r>
            <w:r>
              <w:rPr>
                <w:noProof/>
                <w:webHidden/>
              </w:rPr>
              <w:fldChar w:fldCharType="begin"/>
            </w:r>
            <w:r>
              <w:rPr>
                <w:noProof/>
                <w:webHidden/>
              </w:rPr>
              <w:instrText xml:space="preserve"> PAGEREF _Toc227843611 \h </w:instrText>
            </w:r>
            <w:r>
              <w:rPr>
                <w:noProof/>
                <w:webHidden/>
              </w:rPr>
            </w:r>
            <w:r>
              <w:rPr>
                <w:noProof/>
                <w:webHidden/>
              </w:rPr>
              <w:fldChar w:fldCharType="separate"/>
            </w:r>
            <w:r>
              <w:rPr>
                <w:noProof/>
                <w:webHidden/>
              </w:rPr>
              <w:t>20</w:t>
            </w:r>
            <w:r>
              <w:rPr>
                <w:noProof/>
                <w:webHidden/>
              </w:rPr>
              <w:fldChar w:fldCharType="end"/>
            </w:r>
          </w:hyperlink>
        </w:p>
        <w:p w14:paraId="52FF0212" w14:textId="1A78AC2B" w:rsidR="00A05D6F" w:rsidRDefault="00A05D6F">
          <w:pPr>
            <w:pStyle w:val="TOC3"/>
            <w:tabs>
              <w:tab w:val="right" w:leader="dot" w:pos="9016"/>
            </w:tabs>
            <w:rPr>
              <w:rFonts w:asciiTheme="minorHAnsi" w:eastAsiaTheme="minorEastAsia" w:hAnsiTheme="minorHAnsi"/>
              <w:noProof/>
              <w:szCs w:val="24"/>
              <w:lang w:eastAsia="en-AU"/>
            </w:rPr>
          </w:pPr>
          <w:hyperlink w:anchor="_Toc227843612" w:history="1">
            <w:r w:rsidRPr="003E49AB">
              <w:rPr>
                <w:rStyle w:val="Hyperlink"/>
                <w:noProof/>
              </w:rPr>
              <w:t>The situation for older people has continued to worsen</w:t>
            </w:r>
            <w:r>
              <w:rPr>
                <w:noProof/>
                <w:webHidden/>
              </w:rPr>
              <w:tab/>
            </w:r>
            <w:r>
              <w:rPr>
                <w:noProof/>
                <w:webHidden/>
              </w:rPr>
              <w:fldChar w:fldCharType="begin"/>
            </w:r>
            <w:r>
              <w:rPr>
                <w:noProof/>
                <w:webHidden/>
              </w:rPr>
              <w:instrText xml:space="preserve"> PAGEREF _Toc227843612 \h </w:instrText>
            </w:r>
            <w:r>
              <w:rPr>
                <w:noProof/>
                <w:webHidden/>
              </w:rPr>
            </w:r>
            <w:r>
              <w:rPr>
                <w:noProof/>
                <w:webHidden/>
              </w:rPr>
              <w:fldChar w:fldCharType="separate"/>
            </w:r>
            <w:r>
              <w:rPr>
                <w:noProof/>
                <w:webHidden/>
              </w:rPr>
              <w:t>21</w:t>
            </w:r>
            <w:r>
              <w:rPr>
                <w:noProof/>
                <w:webHidden/>
              </w:rPr>
              <w:fldChar w:fldCharType="end"/>
            </w:r>
          </w:hyperlink>
        </w:p>
        <w:p w14:paraId="1BFF584A" w14:textId="7CED65DD" w:rsidR="00A05D6F" w:rsidRDefault="00A05D6F">
          <w:pPr>
            <w:pStyle w:val="TOC3"/>
            <w:tabs>
              <w:tab w:val="right" w:leader="dot" w:pos="9016"/>
            </w:tabs>
            <w:rPr>
              <w:rFonts w:asciiTheme="minorHAnsi" w:eastAsiaTheme="minorEastAsia" w:hAnsiTheme="minorHAnsi"/>
              <w:noProof/>
              <w:szCs w:val="24"/>
              <w:lang w:eastAsia="en-AU"/>
            </w:rPr>
          </w:pPr>
          <w:hyperlink w:anchor="_Toc227843613" w:history="1">
            <w:r w:rsidRPr="003E49AB">
              <w:rPr>
                <w:rStyle w:val="Hyperlink"/>
                <w:noProof/>
              </w:rPr>
              <w:t>Stable housing is key to mental health and recovery</w:t>
            </w:r>
            <w:r>
              <w:rPr>
                <w:noProof/>
                <w:webHidden/>
              </w:rPr>
              <w:tab/>
            </w:r>
            <w:r>
              <w:rPr>
                <w:noProof/>
                <w:webHidden/>
              </w:rPr>
              <w:fldChar w:fldCharType="begin"/>
            </w:r>
            <w:r>
              <w:rPr>
                <w:noProof/>
                <w:webHidden/>
              </w:rPr>
              <w:instrText xml:space="preserve"> PAGEREF _Toc227843613 \h </w:instrText>
            </w:r>
            <w:r>
              <w:rPr>
                <w:noProof/>
                <w:webHidden/>
              </w:rPr>
            </w:r>
            <w:r>
              <w:rPr>
                <w:noProof/>
                <w:webHidden/>
              </w:rPr>
              <w:fldChar w:fldCharType="separate"/>
            </w:r>
            <w:r>
              <w:rPr>
                <w:noProof/>
                <w:webHidden/>
              </w:rPr>
              <w:t>23</w:t>
            </w:r>
            <w:r>
              <w:rPr>
                <w:noProof/>
                <w:webHidden/>
              </w:rPr>
              <w:fldChar w:fldCharType="end"/>
            </w:r>
          </w:hyperlink>
        </w:p>
        <w:p w14:paraId="2DEACA01" w14:textId="050B059C" w:rsidR="00A05D6F" w:rsidRDefault="00A05D6F">
          <w:pPr>
            <w:pStyle w:val="TOC2"/>
            <w:tabs>
              <w:tab w:val="right" w:leader="dot" w:pos="9016"/>
            </w:tabs>
            <w:rPr>
              <w:rFonts w:asciiTheme="minorHAnsi" w:eastAsiaTheme="minorEastAsia" w:hAnsiTheme="minorHAnsi"/>
              <w:noProof/>
              <w:szCs w:val="24"/>
              <w:lang w:eastAsia="en-AU"/>
            </w:rPr>
          </w:pPr>
          <w:hyperlink w:anchor="_Toc227843614" w:history="1">
            <w:r w:rsidRPr="003E49AB">
              <w:rPr>
                <w:rStyle w:val="Hyperlink"/>
                <w:noProof/>
              </w:rPr>
              <w:t>Families seeking larger homes</w:t>
            </w:r>
            <w:r>
              <w:rPr>
                <w:noProof/>
                <w:webHidden/>
              </w:rPr>
              <w:tab/>
            </w:r>
            <w:r>
              <w:rPr>
                <w:noProof/>
                <w:webHidden/>
              </w:rPr>
              <w:fldChar w:fldCharType="begin"/>
            </w:r>
            <w:r>
              <w:rPr>
                <w:noProof/>
                <w:webHidden/>
              </w:rPr>
              <w:instrText xml:space="preserve"> PAGEREF _Toc227843614 \h </w:instrText>
            </w:r>
            <w:r>
              <w:rPr>
                <w:noProof/>
                <w:webHidden/>
              </w:rPr>
            </w:r>
            <w:r>
              <w:rPr>
                <w:noProof/>
                <w:webHidden/>
              </w:rPr>
              <w:fldChar w:fldCharType="separate"/>
            </w:r>
            <w:r>
              <w:rPr>
                <w:noProof/>
                <w:webHidden/>
              </w:rPr>
              <w:t>25</w:t>
            </w:r>
            <w:r>
              <w:rPr>
                <w:noProof/>
                <w:webHidden/>
              </w:rPr>
              <w:fldChar w:fldCharType="end"/>
            </w:r>
          </w:hyperlink>
        </w:p>
        <w:p w14:paraId="235447E8" w14:textId="27C53A3A" w:rsidR="00A05D6F" w:rsidRDefault="00A05D6F">
          <w:pPr>
            <w:pStyle w:val="TOC3"/>
            <w:tabs>
              <w:tab w:val="right" w:leader="dot" w:pos="9016"/>
            </w:tabs>
            <w:rPr>
              <w:rFonts w:asciiTheme="minorHAnsi" w:eastAsiaTheme="minorEastAsia" w:hAnsiTheme="minorHAnsi"/>
              <w:noProof/>
              <w:szCs w:val="24"/>
              <w:lang w:eastAsia="en-AU"/>
            </w:rPr>
          </w:pPr>
          <w:hyperlink w:anchor="_Toc227843615" w:history="1">
            <w:r w:rsidRPr="003E49AB">
              <w:rPr>
                <w:rStyle w:val="Hyperlink"/>
                <w:noProof/>
              </w:rPr>
              <w:t>Families and children need a stable home to flourish</w:t>
            </w:r>
            <w:r>
              <w:rPr>
                <w:noProof/>
                <w:webHidden/>
              </w:rPr>
              <w:tab/>
            </w:r>
            <w:r>
              <w:rPr>
                <w:noProof/>
                <w:webHidden/>
              </w:rPr>
              <w:fldChar w:fldCharType="begin"/>
            </w:r>
            <w:r>
              <w:rPr>
                <w:noProof/>
                <w:webHidden/>
              </w:rPr>
              <w:instrText xml:space="preserve"> PAGEREF _Toc227843615 \h </w:instrText>
            </w:r>
            <w:r>
              <w:rPr>
                <w:noProof/>
                <w:webHidden/>
              </w:rPr>
            </w:r>
            <w:r>
              <w:rPr>
                <w:noProof/>
                <w:webHidden/>
              </w:rPr>
              <w:fldChar w:fldCharType="separate"/>
            </w:r>
            <w:r>
              <w:rPr>
                <w:noProof/>
                <w:webHidden/>
              </w:rPr>
              <w:t>26</w:t>
            </w:r>
            <w:r>
              <w:rPr>
                <w:noProof/>
                <w:webHidden/>
              </w:rPr>
              <w:fldChar w:fldCharType="end"/>
            </w:r>
          </w:hyperlink>
        </w:p>
        <w:p w14:paraId="735743F4" w14:textId="3B76FE81" w:rsidR="00A05D6F" w:rsidRDefault="00A05D6F">
          <w:pPr>
            <w:pStyle w:val="TOC3"/>
            <w:tabs>
              <w:tab w:val="right" w:leader="dot" w:pos="9016"/>
            </w:tabs>
            <w:rPr>
              <w:rFonts w:asciiTheme="minorHAnsi" w:eastAsiaTheme="minorEastAsia" w:hAnsiTheme="minorHAnsi"/>
              <w:noProof/>
              <w:szCs w:val="24"/>
              <w:lang w:eastAsia="en-AU"/>
            </w:rPr>
          </w:pPr>
          <w:hyperlink w:anchor="_Toc227843616" w:history="1">
            <w:r w:rsidRPr="003E49AB">
              <w:rPr>
                <w:rStyle w:val="Hyperlink"/>
                <w:noProof/>
              </w:rPr>
              <w:t>Casual work and income support payments are not enough to secure a rental property</w:t>
            </w:r>
            <w:r>
              <w:rPr>
                <w:noProof/>
                <w:webHidden/>
              </w:rPr>
              <w:tab/>
            </w:r>
            <w:r>
              <w:rPr>
                <w:noProof/>
                <w:webHidden/>
              </w:rPr>
              <w:fldChar w:fldCharType="begin"/>
            </w:r>
            <w:r>
              <w:rPr>
                <w:noProof/>
                <w:webHidden/>
              </w:rPr>
              <w:instrText xml:space="preserve"> PAGEREF _Toc227843616 \h </w:instrText>
            </w:r>
            <w:r>
              <w:rPr>
                <w:noProof/>
                <w:webHidden/>
              </w:rPr>
            </w:r>
            <w:r>
              <w:rPr>
                <w:noProof/>
                <w:webHidden/>
              </w:rPr>
              <w:fldChar w:fldCharType="separate"/>
            </w:r>
            <w:r>
              <w:rPr>
                <w:noProof/>
                <w:webHidden/>
              </w:rPr>
              <w:t>28</w:t>
            </w:r>
            <w:r>
              <w:rPr>
                <w:noProof/>
                <w:webHidden/>
              </w:rPr>
              <w:fldChar w:fldCharType="end"/>
            </w:r>
          </w:hyperlink>
        </w:p>
        <w:p w14:paraId="75D6DC14" w14:textId="489D0F31" w:rsidR="00A05D6F" w:rsidRDefault="00A05D6F">
          <w:pPr>
            <w:pStyle w:val="TOC2"/>
            <w:tabs>
              <w:tab w:val="right" w:leader="dot" w:pos="9016"/>
            </w:tabs>
            <w:rPr>
              <w:rFonts w:asciiTheme="minorHAnsi" w:eastAsiaTheme="minorEastAsia" w:hAnsiTheme="minorHAnsi"/>
              <w:noProof/>
              <w:szCs w:val="24"/>
              <w:lang w:eastAsia="en-AU"/>
            </w:rPr>
          </w:pPr>
          <w:hyperlink w:anchor="_Toc227843617" w:history="1">
            <w:r w:rsidRPr="003E49AB">
              <w:rPr>
                <w:rStyle w:val="Hyperlink"/>
                <w:noProof/>
              </w:rPr>
              <w:t>Families may be forced into overcrowded dwellings</w:t>
            </w:r>
            <w:r>
              <w:rPr>
                <w:noProof/>
                <w:webHidden/>
              </w:rPr>
              <w:tab/>
            </w:r>
            <w:r>
              <w:rPr>
                <w:noProof/>
                <w:webHidden/>
              </w:rPr>
              <w:fldChar w:fldCharType="begin"/>
            </w:r>
            <w:r>
              <w:rPr>
                <w:noProof/>
                <w:webHidden/>
              </w:rPr>
              <w:instrText xml:space="preserve"> PAGEREF _Toc227843617 \h </w:instrText>
            </w:r>
            <w:r>
              <w:rPr>
                <w:noProof/>
                <w:webHidden/>
              </w:rPr>
            </w:r>
            <w:r>
              <w:rPr>
                <w:noProof/>
                <w:webHidden/>
              </w:rPr>
              <w:fldChar w:fldCharType="separate"/>
            </w:r>
            <w:r>
              <w:rPr>
                <w:noProof/>
                <w:webHidden/>
              </w:rPr>
              <w:t>29</w:t>
            </w:r>
            <w:r>
              <w:rPr>
                <w:noProof/>
                <w:webHidden/>
              </w:rPr>
              <w:fldChar w:fldCharType="end"/>
            </w:r>
          </w:hyperlink>
        </w:p>
        <w:p w14:paraId="4EC5CF98" w14:textId="19B1D2EA" w:rsidR="00A05D6F" w:rsidRDefault="00A05D6F">
          <w:pPr>
            <w:pStyle w:val="TOC2"/>
            <w:tabs>
              <w:tab w:val="right" w:leader="dot" w:pos="9016"/>
            </w:tabs>
            <w:rPr>
              <w:rFonts w:asciiTheme="minorHAnsi" w:eastAsiaTheme="minorEastAsia" w:hAnsiTheme="minorHAnsi"/>
              <w:noProof/>
              <w:szCs w:val="24"/>
              <w:lang w:eastAsia="en-AU"/>
            </w:rPr>
          </w:pPr>
          <w:hyperlink w:anchor="_Toc227843618" w:history="1">
            <w:r w:rsidRPr="003E49AB">
              <w:rPr>
                <w:rStyle w:val="Hyperlink"/>
                <w:noProof/>
              </w:rPr>
              <w:t>What do people do if they can’t find a private rental?</w:t>
            </w:r>
            <w:r>
              <w:rPr>
                <w:noProof/>
                <w:webHidden/>
              </w:rPr>
              <w:tab/>
            </w:r>
            <w:r>
              <w:rPr>
                <w:noProof/>
                <w:webHidden/>
              </w:rPr>
              <w:fldChar w:fldCharType="begin"/>
            </w:r>
            <w:r>
              <w:rPr>
                <w:noProof/>
                <w:webHidden/>
              </w:rPr>
              <w:instrText xml:space="preserve"> PAGEREF _Toc227843618 \h </w:instrText>
            </w:r>
            <w:r>
              <w:rPr>
                <w:noProof/>
                <w:webHidden/>
              </w:rPr>
            </w:r>
            <w:r>
              <w:rPr>
                <w:noProof/>
                <w:webHidden/>
              </w:rPr>
              <w:fldChar w:fldCharType="separate"/>
            </w:r>
            <w:r>
              <w:rPr>
                <w:noProof/>
                <w:webHidden/>
              </w:rPr>
              <w:t>30</w:t>
            </w:r>
            <w:r>
              <w:rPr>
                <w:noProof/>
                <w:webHidden/>
              </w:rPr>
              <w:fldChar w:fldCharType="end"/>
            </w:r>
          </w:hyperlink>
        </w:p>
        <w:p w14:paraId="15B9DC74" w14:textId="3963ECBD" w:rsidR="00A05D6F" w:rsidRDefault="00A05D6F">
          <w:pPr>
            <w:pStyle w:val="TOC1"/>
            <w:rPr>
              <w:rFonts w:asciiTheme="minorHAnsi" w:eastAsiaTheme="minorEastAsia" w:hAnsiTheme="minorHAnsi"/>
              <w:szCs w:val="24"/>
              <w:lang w:eastAsia="en-AU"/>
            </w:rPr>
          </w:pPr>
          <w:hyperlink w:anchor="_Toc227843619" w:history="1">
            <w:r w:rsidRPr="003E49AB">
              <w:rPr>
                <w:rStyle w:val="Hyperlink"/>
              </w:rPr>
              <w:t>Urgent action is needed to improve circumstances for people on the lowest incomes</w:t>
            </w:r>
            <w:r>
              <w:rPr>
                <w:webHidden/>
              </w:rPr>
              <w:tab/>
            </w:r>
            <w:r>
              <w:rPr>
                <w:webHidden/>
              </w:rPr>
              <w:fldChar w:fldCharType="begin"/>
            </w:r>
            <w:r>
              <w:rPr>
                <w:webHidden/>
              </w:rPr>
              <w:instrText xml:space="preserve"> PAGEREF _Toc227843619 \h </w:instrText>
            </w:r>
            <w:r>
              <w:rPr>
                <w:webHidden/>
              </w:rPr>
            </w:r>
            <w:r>
              <w:rPr>
                <w:webHidden/>
              </w:rPr>
              <w:fldChar w:fldCharType="separate"/>
            </w:r>
            <w:r>
              <w:rPr>
                <w:webHidden/>
              </w:rPr>
              <w:t>31</w:t>
            </w:r>
            <w:r>
              <w:rPr>
                <w:webHidden/>
              </w:rPr>
              <w:fldChar w:fldCharType="end"/>
            </w:r>
          </w:hyperlink>
        </w:p>
        <w:p w14:paraId="164B06A4" w14:textId="7F139F3F" w:rsidR="00A05D6F" w:rsidRDefault="00A05D6F">
          <w:pPr>
            <w:pStyle w:val="TOC2"/>
            <w:tabs>
              <w:tab w:val="right" w:leader="dot" w:pos="9016"/>
            </w:tabs>
            <w:rPr>
              <w:rFonts w:asciiTheme="minorHAnsi" w:eastAsiaTheme="minorEastAsia" w:hAnsiTheme="minorHAnsi"/>
              <w:noProof/>
              <w:szCs w:val="24"/>
              <w:lang w:eastAsia="en-AU"/>
            </w:rPr>
          </w:pPr>
          <w:hyperlink w:anchor="_Toc227843620" w:history="1">
            <w:r w:rsidRPr="003E49AB">
              <w:rPr>
                <w:rStyle w:val="Hyperlink"/>
                <w:noProof/>
              </w:rPr>
              <w:t>Increasing supply of social housing</w:t>
            </w:r>
            <w:r>
              <w:rPr>
                <w:noProof/>
                <w:webHidden/>
              </w:rPr>
              <w:tab/>
            </w:r>
            <w:r>
              <w:rPr>
                <w:noProof/>
                <w:webHidden/>
              </w:rPr>
              <w:fldChar w:fldCharType="begin"/>
            </w:r>
            <w:r>
              <w:rPr>
                <w:noProof/>
                <w:webHidden/>
              </w:rPr>
              <w:instrText xml:space="preserve"> PAGEREF _Toc227843620 \h </w:instrText>
            </w:r>
            <w:r>
              <w:rPr>
                <w:noProof/>
                <w:webHidden/>
              </w:rPr>
            </w:r>
            <w:r>
              <w:rPr>
                <w:noProof/>
                <w:webHidden/>
              </w:rPr>
              <w:fldChar w:fldCharType="separate"/>
            </w:r>
            <w:r>
              <w:rPr>
                <w:noProof/>
                <w:webHidden/>
              </w:rPr>
              <w:t>31</w:t>
            </w:r>
            <w:r>
              <w:rPr>
                <w:noProof/>
                <w:webHidden/>
              </w:rPr>
              <w:fldChar w:fldCharType="end"/>
            </w:r>
          </w:hyperlink>
        </w:p>
        <w:p w14:paraId="574A7368" w14:textId="2858643E" w:rsidR="00A05D6F" w:rsidRDefault="00A05D6F">
          <w:pPr>
            <w:pStyle w:val="TOC2"/>
            <w:tabs>
              <w:tab w:val="right" w:leader="dot" w:pos="9016"/>
            </w:tabs>
            <w:rPr>
              <w:rFonts w:asciiTheme="minorHAnsi" w:eastAsiaTheme="minorEastAsia" w:hAnsiTheme="minorHAnsi"/>
              <w:noProof/>
              <w:szCs w:val="24"/>
              <w:lang w:eastAsia="en-AU"/>
            </w:rPr>
          </w:pPr>
          <w:hyperlink w:anchor="_Toc227843621" w:history="1">
            <w:r w:rsidRPr="003E49AB">
              <w:rPr>
                <w:rStyle w:val="Hyperlink"/>
                <w:noProof/>
              </w:rPr>
              <w:t>Increasing income support payments</w:t>
            </w:r>
            <w:r>
              <w:rPr>
                <w:noProof/>
                <w:webHidden/>
              </w:rPr>
              <w:tab/>
            </w:r>
            <w:r>
              <w:rPr>
                <w:noProof/>
                <w:webHidden/>
              </w:rPr>
              <w:fldChar w:fldCharType="begin"/>
            </w:r>
            <w:r>
              <w:rPr>
                <w:noProof/>
                <w:webHidden/>
              </w:rPr>
              <w:instrText xml:space="preserve"> PAGEREF _Toc227843621 \h </w:instrText>
            </w:r>
            <w:r>
              <w:rPr>
                <w:noProof/>
                <w:webHidden/>
              </w:rPr>
            </w:r>
            <w:r>
              <w:rPr>
                <w:noProof/>
                <w:webHidden/>
              </w:rPr>
              <w:fldChar w:fldCharType="separate"/>
            </w:r>
            <w:r>
              <w:rPr>
                <w:noProof/>
                <w:webHidden/>
              </w:rPr>
              <w:t>31</w:t>
            </w:r>
            <w:r>
              <w:rPr>
                <w:noProof/>
                <w:webHidden/>
              </w:rPr>
              <w:fldChar w:fldCharType="end"/>
            </w:r>
          </w:hyperlink>
        </w:p>
        <w:p w14:paraId="5E3A2E9A" w14:textId="44C70FD5" w:rsidR="00A05D6F" w:rsidRDefault="00A05D6F">
          <w:pPr>
            <w:pStyle w:val="TOC2"/>
            <w:tabs>
              <w:tab w:val="right" w:leader="dot" w:pos="9016"/>
            </w:tabs>
            <w:rPr>
              <w:rFonts w:asciiTheme="minorHAnsi" w:eastAsiaTheme="minorEastAsia" w:hAnsiTheme="minorHAnsi"/>
              <w:noProof/>
              <w:szCs w:val="24"/>
              <w:lang w:eastAsia="en-AU"/>
            </w:rPr>
          </w:pPr>
          <w:hyperlink w:anchor="_Toc227843622" w:history="1">
            <w:r w:rsidRPr="003E49AB">
              <w:rPr>
                <w:rStyle w:val="Hyperlink"/>
                <w:noProof/>
              </w:rPr>
              <w:t>Active government intervention to raise the vacancy rate toward a 3% target</w:t>
            </w:r>
            <w:r>
              <w:rPr>
                <w:noProof/>
                <w:webHidden/>
              </w:rPr>
              <w:tab/>
            </w:r>
            <w:r>
              <w:rPr>
                <w:noProof/>
                <w:webHidden/>
              </w:rPr>
              <w:fldChar w:fldCharType="begin"/>
            </w:r>
            <w:r>
              <w:rPr>
                <w:noProof/>
                <w:webHidden/>
              </w:rPr>
              <w:instrText xml:space="preserve"> PAGEREF _Toc227843622 \h </w:instrText>
            </w:r>
            <w:r>
              <w:rPr>
                <w:noProof/>
                <w:webHidden/>
              </w:rPr>
            </w:r>
            <w:r>
              <w:rPr>
                <w:noProof/>
                <w:webHidden/>
              </w:rPr>
              <w:fldChar w:fldCharType="separate"/>
            </w:r>
            <w:r>
              <w:rPr>
                <w:noProof/>
                <w:webHidden/>
              </w:rPr>
              <w:t>32</w:t>
            </w:r>
            <w:r>
              <w:rPr>
                <w:noProof/>
                <w:webHidden/>
              </w:rPr>
              <w:fldChar w:fldCharType="end"/>
            </w:r>
          </w:hyperlink>
        </w:p>
        <w:p w14:paraId="791AB145" w14:textId="447F0A57" w:rsidR="00A05D6F" w:rsidRDefault="00A05D6F">
          <w:pPr>
            <w:pStyle w:val="TOC3"/>
            <w:tabs>
              <w:tab w:val="right" w:leader="dot" w:pos="9016"/>
            </w:tabs>
            <w:rPr>
              <w:rFonts w:asciiTheme="minorHAnsi" w:eastAsiaTheme="minorEastAsia" w:hAnsiTheme="minorHAnsi"/>
              <w:noProof/>
              <w:szCs w:val="24"/>
              <w:lang w:eastAsia="en-AU"/>
            </w:rPr>
          </w:pPr>
          <w:hyperlink w:anchor="_Toc227843623" w:history="1">
            <w:r w:rsidRPr="003E49AB">
              <w:rPr>
                <w:rStyle w:val="Hyperlink"/>
                <w:noProof/>
              </w:rPr>
              <w:t>Addressing the impact of short-stay accommodation</w:t>
            </w:r>
            <w:r>
              <w:rPr>
                <w:noProof/>
                <w:webHidden/>
              </w:rPr>
              <w:tab/>
            </w:r>
            <w:r>
              <w:rPr>
                <w:noProof/>
                <w:webHidden/>
              </w:rPr>
              <w:fldChar w:fldCharType="begin"/>
            </w:r>
            <w:r>
              <w:rPr>
                <w:noProof/>
                <w:webHidden/>
              </w:rPr>
              <w:instrText xml:space="preserve"> PAGEREF _Toc227843623 \h </w:instrText>
            </w:r>
            <w:r>
              <w:rPr>
                <w:noProof/>
                <w:webHidden/>
              </w:rPr>
            </w:r>
            <w:r>
              <w:rPr>
                <w:noProof/>
                <w:webHidden/>
              </w:rPr>
              <w:fldChar w:fldCharType="separate"/>
            </w:r>
            <w:r>
              <w:rPr>
                <w:noProof/>
                <w:webHidden/>
              </w:rPr>
              <w:t>33</w:t>
            </w:r>
            <w:r>
              <w:rPr>
                <w:noProof/>
                <w:webHidden/>
              </w:rPr>
              <w:fldChar w:fldCharType="end"/>
            </w:r>
          </w:hyperlink>
        </w:p>
        <w:p w14:paraId="100F906A" w14:textId="508C784A" w:rsidR="00A05D6F" w:rsidRDefault="00A05D6F">
          <w:pPr>
            <w:pStyle w:val="TOC3"/>
            <w:tabs>
              <w:tab w:val="right" w:leader="dot" w:pos="9016"/>
            </w:tabs>
            <w:rPr>
              <w:rFonts w:asciiTheme="minorHAnsi" w:eastAsiaTheme="minorEastAsia" w:hAnsiTheme="minorHAnsi"/>
              <w:noProof/>
              <w:szCs w:val="24"/>
              <w:lang w:eastAsia="en-AU"/>
            </w:rPr>
          </w:pPr>
          <w:hyperlink w:anchor="_Toc227843624" w:history="1">
            <w:r w:rsidRPr="003E49AB">
              <w:rPr>
                <w:rStyle w:val="Hyperlink"/>
                <w:noProof/>
              </w:rPr>
              <w:t>Change tax system incentives to prioritise those most in need of housing</w:t>
            </w:r>
            <w:r>
              <w:rPr>
                <w:noProof/>
                <w:webHidden/>
              </w:rPr>
              <w:tab/>
            </w:r>
            <w:r>
              <w:rPr>
                <w:noProof/>
                <w:webHidden/>
              </w:rPr>
              <w:fldChar w:fldCharType="begin"/>
            </w:r>
            <w:r>
              <w:rPr>
                <w:noProof/>
                <w:webHidden/>
              </w:rPr>
              <w:instrText xml:space="preserve"> PAGEREF _Toc227843624 \h </w:instrText>
            </w:r>
            <w:r>
              <w:rPr>
                <w:noProof/>
                <w:webHidden/>
              </w:rPr>
            </w:r>
            <w:r>
              <w:rPr>
                <w:noProof/>
                <w:webHidden/>
              </w:rPr>
              <w:fldChar w:fldCharType="separate"/>
            </w:r>
            <w:r>
              <w:rPr>
                <w:noProof/>
                <w:webHidden/>
              </w:rPr>
              <w:t>33</w:t>
            </w:r>
            <w:r>
              <w:rPr>
                <w:noProof/>
                <w:webHidden/>
              </w:rPr>
              <w:fldChar w:fldCharType="end"/>
            </w:r>
          </w:hyperlink>
        </w:p>
        <w:p w14:paraId="4023FF29" w14:textId="79D8E456" w:rsidR="00A05D6F" w:rsidRDefault="00A05D6F">
          <w:pPr>
            <w:pStyle w:val="TOC2"/>
            <w:tabs>
              <w:tab w:val="right" w:leader="dot" w:pos="9016"/>
            </w:tabs>
            <w:rPr>
              <w:rFonts w:asciiTheme="minorHAnsi" w:eastAsiaTheme="minorEastAsia" w:hAnsiTheme="minorHAnsi"/>
              <w:noProof/>
              <w:szCs w:val="24"/>
              <w:lang w:eastAsia="en-AU"/>
            </w:rPr>
          </w:pPr>
          <w:hyperlink w:anchor="_Toc227843625" w:history="1">
            <w:r w:rsidRPr="003E49AB">
              <w:rPr>
                <w:rStyle w:val="Hyperlink"/>
                <w:noProof/>
              </w:rPr>
              <w:t>Key Recommendations</w:t>
            </w:r>
            <w:r>
              <w:rPr>
                <w:noProof/>
                <w:webHidden/>
              </w:rPr>
              <w:tab/>
            </w:r>
            <w:r>
              <w:rPr>
                <w:noProof/>
                <w:webHidden/>
              </w:rPr>
              <w:fldChar w:fldCharType="begin"/>
            </w:r>
            <w:r>
              <w:rPr>
                <w:noProof/>
                <w:webHidden/>
              </w:rPr>
              <w:instrText xml:space="preserve"> PAGEREF _Toc227843625 \h </w:instrText>
            </w:r>
            <w:r>
              <w:rPr>
                <w:noProof/>
                <w:webHidden/>
              </w:rPr>
            </w:r>
            <w:r>
              <w:rPr>
                <w:noProof/>
                <w:webHidden/>
              </w:rPr>
              <w:fldChar w:fldCharType="separate"/>
            </w:r>
            <w:r>
              <w:rPr>
                <w:noProof/>
                <w:webHidden/>
              </w:rPr>
              <w:t>34</w:t>
            </w:r>
            <w:r>
              <w:rPr>
                <w:noProof/>
                <w:webHidden/>
              </w:rPr>
              <w:fldChar w:fldCharType="end"/>
            </w:r>
          </w:hyperlink>
        </w:p>
        <w:p w14:paraId="40009AC4" w14:textId="2FE823FE" w:rsidR="00A05D6F" w:rsidRDefault="00A05D6F">
          <w:pPr>
            <w:pStyle w:val="TOC1"/>
            <w:rPr>
              <w:rFonts w:asciiTheme="minorHAnsi" w:eastAsiaTheme="minorEastAsia" w:hAnsiTheme="minorHAnsi"/>
              <w:szCs w:val="24"/>
              <w:lang w:eastAsia="en-AU"/>
            </w:rPr>
          </w:pPr>
          <w:hyperlink w:anchor="_Toc227843626" w:history="1">
            <w:r w:rsidRPr="003E49AB">
              <w:rPr>
                <w:rStyle w:val="Hyperlink"/>
              </w:rPr>
              <w:t>Frequently Asked Questions</w:t>
            </w:r>
            <w:r>
              <w:rPr>
                <w:webHidden/>
              </w:rPr>
              <w:tab/>
            </w:r>
            <w:r>
              <w:rPr>
                <w:webHidden/>
              </w:rPr>
              <w:fldChar w:fldCharType="begin"/>
            </w:r>
            <w:r>
              <w:rPr>
                <w:webHidden/>
              </w:rPr>
              <w:instrText xml:space="preserve"> PAGEREF _Toc227843626 \h </w:instrText>
            </w:r>
            <w:r>
              <w:rPr>
                <w:webHidden/>
              </w:rPr>
            </w:r>
            <w:r>
              <w:rPr>
                <w:webHidden/>
              </w:rPr>
              <w:fldChar w:fldCharType="separate"/>
            </w:r>
            <w:r>
              <w:rPr>
                <w:webHidden/>
              </w:rPr>
              <w:t>35</w:t>
            </w:r>
            <w:r>
              <w:rPr>
                <w:webHidden/>
              </w:rPr>
              <w:fldChar w:fldCharType="end"/>
            </w:r>
          </w:hyperlink>
        </w:p>
        <w:p w14:paraId="6933B16F" w14:textId="723E26FE" w:rsidR="00E027B8" w:rsidRDefault="00E027B8" w:rsidP="00E027B8">
          <w:pPr>
            <w:rPr>
              <w:rFonts w:eastAsiaTheme="minorEastAsia"/>
            </w:rPr>
          </w:pPr>
          <w:r w:rsidRPr="00425028">
            <w:fldChar w:fldCharType="end"/>
          </w:r>
        </w:p>
      </w:sdtContent>
    </w:sdt>
    <w:p w14:paraId="51A3C8CE" w14:textId="77777777" w:rsidR="00EA7029" w:rsidRPr="00425028" w:rsidRDefault="00EA7029">
      <w:pPr>
        <w:rPr>
          <w:rFonts w:eastAsiaTheme="majorEastAsia" w:cstheme="majorBidi"/>
          <w:color w:val="0F4761" w:themeColor="accent1" w:themeShade="BF"/>
          <w:sz w:val="40"/>
          <w:szCs w:val="40"/>
        </w:rPr>
      </w:pPr>
      <w:r w:rsidRPr="00425028">
        <w:br w:type="page"/>
      </w:r>
    </w:p>
    <w:p w14:paraId="41D75475" w14:textId="0B66E31C" w:rsidR="00E027B8" w:rsidRPr="00E027B8" w:rsidRDefault="00E027B8" w:rsidP="00EE785C">
      <w:pPr>
        <w:pStyle w:val="Subtitle"/>
      </w:pPr>
      <w:r>
        <w:lastRenderedPageBreak/>
        <w:t xml:space="preserve">Acknowledgement of </w:t>
      </w:r>
      <w:r w:rsidR="457A21A1">
        <w:t>C</w:t>
      </w:r>
      <w:r>
        <w:t>ountry</w:t>
      </w:r>
    </w:p>
    <w:p w14:paraId="0A215EA9" w14:textId="04FB9031" w:rsidR="00E027B8" w:rsidRDefault="00E027B8" w:rsidP="00E027B8">
      <w:r w:rsidRPr="00E027B8">
        <w:t>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are connected with this research.</w:t>
      </w:r>
    </w:p>
    <w:p w14:paraId="27D6DA4A" w14:textId="59511511" w:rsidR="00E027B8" w:rsidRPr="00E027B8" w:rsidRDefault="00E027B8" w:rsidP="00EE785C">
      <w:pPr>
        <w:pStyle w:val="Subtitle"/>
      </w:pPr>
      <w:r w:rsidRPr="00E027B8">
        <w:t>Acknowledgements</w:t>
      </w:r>
    </w:p>
    <w:p w14:paraId="653844FB" w14:textId="4322BE1C" w:rsidR="00E027B8" w:rsidRDefault="00E027B8" w:rsidP="00E027B8">
      <w:r w:rsidRPr="00E027B8">
        <w:t>The assistance of</w:t>
      </w:r>
      <w:r>
        <w:t xml:space="preserve"> </w:t>
      </w:r>
      <w:r w:rsidRPr="00E027B8">
        <w:t>staff of Anglicare Tasmania’s</w:t>
      </w:r>
      <w:r>
        <w:t xml:space="preserve"> frontline </w:t>
      </w:r>
      <w:r w:rsidRPr="00E027B8">
        <w:t>service</w:t>
      </w:r>
      <w:r>
        <w:t>s</w:t>
      </w:r>
      <w:r w:rsidRPr="00E027B8">
        <w:t xml:space="preserve"> in the preparation of this report is gratefully acknowledged. </w:t>
      </w:r>
      <w:r w:rsidRPr="002074E0">
        <w:t>Thank you for the important work you do, and to the people you work with for their strength and resilience.</w:t>
      </w:r>
      <w:r w:rsidRPr="00E027B8">
        <w:t xml:space="preserve"> </w:t>
      </w:r>
    </w:p>
    <w:p w14:paraId="356FBA84" w14:textId="78DE40E4" w:rsidR="00874FB9" w:rsidRPr="00CE109B" w:rsidRDefault="00874FB9" w:rsidP="00CE109B">
      <w:pPr>
        <w:pStyle w:val="Subtitle"/>
      </w:pPr>
      <w:r w:rsidRPr="00CE109B">
        <w:t xml:space="preserve">Content warning </w:t>
      </w:r>
    </w:p>
    <w:p w14:paraId="4F4AAACE" w14:textId="4CDBDF0F" w:rsidR="00874FB9" w:rsidRPr="00CE109B" w:rsidRDefault="00874FB9" w:rsidP="00874FB9">
      <w:pPr>
        <w:rPr>
          <w:b/>
          <w:bCs/>
        </w:rPr>
      </w:pPr>
      <w:r w:rsidRPr="00CE109B">
        <w:t xml:space="preserve">This report discusses </w:t>
      </w:r>
      <w:r w:rsidR="00CE109B" w:rsidRPr="00CE109B">
        <w:t>experiences of people seeking housing and experiencing homelessness, including the effect on mental health</w:t>
      </w:r>
      <w:r w:rsidRPr="00CE109B">
        <w:t>. If the content raises any issues for you and you would like to speak to someone for support, the below services can be contacted 24/7:</w:t>
      </w:r>
    </w:p>
    <w:p w14:paraId="71F976CC" w14:textId="77777777" w:rsidR="00874FB9" w:rsidRPr="00CE109B" w:rsidRDefault="00874FB9" w:rsidP="00874FB9">
      <w:pPr>
        <w:rPr>
          <w:b/>
          <w:bCs/>
        </w:rPr>
      </w:pPr>
      <w:r w:rsidRPr="00CE109B">
        <w:rPr>
          <w:b/>
          <w:bCs/>
        </w:rPr>
        <w:t xml:space="preserve">Lifeline </w:t>
      </w:r>
    </w:p>
    <w:p w14:paraId="41988ED2" w14:textId="478ACE99" w:rsidR="00874FB9" w:rsidRPr="00CE109B" w:rsidRDefault="73608C37" w:rsidP="00874FB9">
      <w:r>
        <w:t>P</w:t>
      </w:r>
      <w:r w:rsidR="4D735804">
        <w:t xml:space="preserve">hone 13 11 14, online </w:t>
      </w:r>
      <w:hyperlink r:id="rId11">
        <w:r w:rsidR="4D735804" w:rsidRPr="3AD7D649">
          <w:rPr>
            <w:rStyle w:val="Hyperlink"/>
          </w:rPr>
          <w:t>www.lifeline.org.au</w:t>
        </w:r>
      </w:hyperlink>
      <w:r w:rsidR="4D735804">
        <w:t xml:space="preserve"> </w:t>
      </w:r>
    </w:p>
    <w:p w14:paraId="14BA97F1" w14:textId="77777777" w:rsidR="00874FB9" w:rsidRPr="00CE109B" w:rsidRDefault="00874FB9" w:rsidP="00874FB9">
      <w:pPr>
        <w:rPr>
          <w:b/>
          <w:bCs/>
        </w:rPr>
      </w:pPr>
      <w:r w:rsidRPr="00CE109B">
        <w:rPr>
          <w:b/>
          <w:bCs/>
        </w:rPr>
        <w:t xml:space="preserve">13YARN </w:t>
      </w:r>
    </w:p>
    <w:p w14:paraId="3CD97A2C" w14:textId="3A999525" w:rsidR="00CE109B" w:rsidRPr="00CE109B" w:rsidRDefault="00874FB9" w:rsidP="00874FB9">
      <w:r w:rsidRPr="00CE109B">
        <w:t>For Aboriginal and Torres Strait Islander people: phone 13 92 76</w:t>
      </w:r>
    </w:p>
    <w:p w14:paraId="57A5E22C" w14:textId="77777777" w:rsidR="00CE109B" w:rsidRPr="00F97787" w:rsidRDefault="00CE109B" w:rsidP="00874FB9">
      <w:pPr>
        <w:rPr>
          <w:highlight w:val="yellow"/>
        </w:rPr>
      </w:pPr>
    </w:p>
    <w:p w14:paraId="54802B27" w14:textId="77777777" w:rsidR="00874FB9" w:rsidRPr="00E027B8" w:rsidRDefault="00874FB9" w:rsidP="00E027B8"/>
    <w:p w14:paraId="3D392E72" w14:textId="7C2A4CCF" w:rsidR="00E027B8" w:rsidRDefault="00E027B8">
      <w:pPr>
        <w:rPr>
          <w:highlight w:val="yellow"/>
        </w:rPr>
      </w:pPr>
      <w:r>
        <w:rPr>
          <w:highlight w:val="yellow"/>
        </w:rPr>
        <w:br w:type="page"/>
      </w:r>
    </w:p>
    <w:p w14:paraId="571DCE8F" w14:textId="280136E5" w:rsidR="009A11D2" w:rsidRPr="00425028" w:rsidRDefault="009A11D2" w:rsidP="00B71E6B">
      <w:pPr>
        <w:pStyle w:val="Heading1"/>
        <w:rPr>
          <w:rFonts w:ascii="Avenir Next LT Pro" w:hAnsi="Avenir Next LT Pro"/>
        </w:rPr>
      </w:pPr>
      <w:bookmarkStart w:id="2" w:name="_Toc227843592"/>
      <w:r w:rsidRPr="00425028">
        <w:rPr>
          <w:rFonts w:ascii="Avenir Next LT Pro" w:hAnsi="Avenir Next LT Pro"/>
        </w:rPr>
        <w:lastRenderedPageBreak/>
        <w:t>Anglicare’s experience in housing services and advocacy</w:t>
      </w:r>
      <w:bookmarkEnd w:id="2"/>
      <w:bookmarkEnd w:id="1"/>
    </w:p>
    <w:p w14:paraId="59A49B7A" w14:textId="40C56283" w:rsidR="009A11D2" w:rsidRDefault="009A11D2" w:rsidP="00B71E6B">
      <w:r w:rsidRPr="00425028">
        <w:t>Anglicare Tasmania is a large community service organisation with offices in Hobart, Glenorchy, Launceston, St Helens, Devonport, Burnie, Sorell and Zeehan and a range of programs in rural areas. Anglicare’s services include mental health services; support services following a motor vehicle accident; aged and home care services; alcohol and other drug services; financial and gambling counselling; and child, youth and family support.</w:t>
      </w:r>
    </w:p>
    <w:p w14:paraId="7FB11A45" w14:textId="6C569F2C" w:rsidR="009C59BB" w:rsidRPr="00425028" w:rsidRDefault="009C59BB" w:rsidP="00B71E6B">
      <w:r w:rsidRPr="00425028">
        <w:t xml:space="preserve">Anglicare delivers housing services including the Housing Connect Front Door service statewide, long-term communal housing for people on a low income and Youth2Independence accommodation services. The Housing Connect Front Door </w:t>
      </w:r>
      <w:r w:rsidR="006814A2">
        <w:t xml:space="preserve">service is funded by Homes Tasmania and </w:t>
      </w:r>
      <w:r w:rsidRPr="00425028">
        <w:t>is the entry point for people to access housing support, from emergency accommodation to a long-term home.</w:t>
      </w:r>
      <w:r>
        <w:rPr>
          <w:rStyle w:val="FootnoteReference"/>
        </w:rPr>
        <w:footnoteReference w:id="2"/>
      </w:r>
      <w:r>
        <w:t xml:space="preserve"> </w:t>
      </w:r>
      <w:r w:rsidRPr="00425028">
        <w:t xml:space="preserve">This begins with an assessment to understand their individual circumstances and help match them with the most suitable options available. Anglicare publishes a quarterly </w:t>
      </w:r>
      <w:hyperlink r:id="rId12">
        <w:r w:rsidR="66A1ADBC" w:rsidRPr="67D27C22">
          <w:rPr>
            <w:rStyle w:val="Hyperlink"/>
          </w:rPr>
          <w:t>Housing Connect Front Door Service Snapshot</w:t>
        </w:r>
      </w:hyperlink>
      <w:r w:rsidRPr="00425028">
        <w:t xml:space="preserve"> that provides an overview of this service.</w:t>
      </w:r>
    </w:p>
    <w:p w14:paraId="590B86E7" w14:textId="746FAF2F" w:rsidR="009C59BB" w:rsidRDefault="009A11D2">
      <w:r w:rsidRPr="00425028">
        <w:t xml:space="preserve">In addition, Anglicare’s Social Action and Research Centre (SARC) conducts research, policy and advocacy with a focus on issues affecting Tasmanians on low incomes </w:t>
      </w:r>
      <w:r w:rsidR="009E26A5">
        <w:t xml:space="preserve">experiencing </w:t>
      </w:r>
      <w:r w:rsidRPr="00425028">
        <w:t>disadvantage.</w:t>
      </w:r>
      <w:r w:rsidR="009C59BB">
        <w:t xml:space="preserve"> </w:t>
      </w:r>
      <w:r w:rsidRPr="00425028">
        <w:t xml:space="preserve">SARC has </w:t>
      </w:r>
      <w:r w:rsidR="009A20E0" w:rsidRPr="00425028">
        <w:t xml:space="preserve">published the </w:t>
      </w:r>
      <w:r w:rsidRPr="00425028">
        <w:t>Rental Affordability Snapshot</w:t>
      </w:r>
      <w:r w:rsidR="009A20E0" w:rsidRPr="00425028">
        <w:t xml:space="preserve"> every year since 2007</w:t>
      </w:r>
      <w:r w:rsidRPr="00425028">
        <w:t xml:space="preserve">. </w:t>
      </w:r>
    </w:p>
    <w:p w14:paraId="14EE3679" w14:textId="77777777" w:rsidR="009C59BB" w:rsidRDefault="009C59BB">
      <w:r>
        <w:br w:type="page"/>
      </w:r>
    </w:p>
    <w:p w14:paraId="017FC24E" w14:textId="6701EE9E" w:rsidR="009E26A5" w:rsidRPr="009E26A5" w:rsidRDefault="00D26D04" w:rsidP="009E26A5">
      <w:pPr>
        <w:pStyle w:val="Heading1"/>
        <w:rPr>
          <w:rFonts w:ascii="Avenir Next LT Pro" w:hAnsi="Avenir Next LT Pro"/>
        </w:rPr>
      </w:pPr>
      <w:bookmarkStart w:id="3" w:name="_Toc227843593"/>
      <w:r>
        <w:rPr>
          <w:rFonts w:ascii="Avenir Next LT Pro" w:hAnsi="Avenir Next LT Pro"/>
        </w:rPr>
        <w:lastRenderedPageBreak/>
        <w:t>Rental Affordability Snapshot m</w:t>
      </w:r>
      <w:r w:rsidR="009E26A5" w:rsidRPr="009E26A5">
        <w:rPr>
          <w:rFonts w:ascii="Avenir Next LT Pro" w:hAnsi="Avenir Next LT Pro"/>
        </w:rPr>
        <w:t>ethodology</w:t>
      </w:r>
      <w:bookmarkEnd w:id="3"/>
    </w:p>
    <w:p w14:paraId="1D4DE0F6" w14:textId="77777777" w:rsidR="009E26A5" w:rsidRPr="00E23F5E" w:rsidRDefault="009E26A5" w:rsidP="009E26A5">
      <w:r w:rsidRPr="00E23F5E">
        <w:t xml:space="preserve">Every year Anglicare Tasmania, </w:t>
      </w:r>
      <w:r>
        <w:t xml:space="preserve">along </w:t>
      </w:r>
      <w:r w:rsidRPr="00E23F5E">
        <w:t xml:space="preserve">with Anglicare Australia and other agencies across the country, runs the Rental Affordability Snapshot to test whether it is possible for people on low incomes to afford a home in the private rental market. </w:t>
      </w:r>
    </w:p>
    <w:p w14:paraId="4FBC00CE" w14:textId="0A2E3B1B" w:rsidR="009E26A5" w:rsidRPr="00E23F5E" w:rsidRDefault="009E26A5" w:rsidP="009E26A5">
      <w:pPr>
        <w:rPr>
          <w:lang w:val="en-US"/>
        </w:rPr>
      </w:pPr>
      <w:r w:rsidRPr="00E23F5E">
        <w:rPr>
          <w:lang w:val="en-US"/>
        </w:rPr>
        <w:t xml:space="preserve">The Snapshot looks at all properties listed for rent on realestate.com.au and flatmates.com.au on a weekend </w:t>
      </w:r>
      <w:r>
        <w:rPr>
          <w:lang w:val="en-US"/>
        </w:rPr>
        <w:t xml:space="preserve">in </w:t>
      </w:r>
      <w:r w:rsidRPr="00E23F5E">
        <w:rPr>
          <w:lang w:val="en-US"/>
        </w:rPr>
        <w:t>March every year. We then assess whether each property is affordable and appropriate for 14 types of households on low incomes, including young peopl, single parents, families, older people and</w:t>
      </w:r>
      <w:r w:rsidR="00B3271E">
        <w:rPr>
          <w:lang w:val="en-US"/>
        </w:rPr>
        <w:t xml:space="preserve"> people with disability</w:t>
      </w:r>
      <w:r w:rsidRPr="00E23F5E">
        <w:rPr>
          <w:lang w:val="en-US"/>
        </w:rPr>
        <w:t xml:space="preserve">. For more details on our methodology, please see our </w:t>
      </w:r>
      <w:r w:rsidR="26130562" w:rsidRPr="3AD7D649">
        <w:rPr>
          <w:lang w:val="en-US"/>
        </w:rPr>
        <w:t>F</w:t>
      </w:r>
      <w:r w:rsidR="547CA001" w:rsidRPr="3AD7D649">
        <w:rPr>
          <w:lang w:val="en-US"/>
        </w:rPr>
        <w:t xml:space="preserve">requently </w:t>
      </w:r>
      <w:r w:rsidR="26130562" w:rsidRPr="3AD7D649">
        <w:rPr>
          <w:lang w:val="en-US"/>
        </w:rPr>
        <w:t>A</w:t>
      </w:r>
      <w:r w:rsidR="3A816291" w:rsidRPr="3AD7D649">
        <w:rPr>
          <w:lang w:val="en-US"/>
        </w:rPr>
        <w:t xml:space="preserve">sked </w:t>
      </w:r>
      <w:r w:rsidR="26130562" w:rsidRPr="3AD7D649">
        <w:rPr>
          <w:lang w:val="en-US"/>
        </w:rPr>
        <w:t>Q</w:t>
      </w:r>
      <w:r w:rsidR="2F65A1C8" w:rsidRPr="3AD7D649">
        <w:rPr>
          <w:lang w:val="en-US"/>
        </w:rPr>
        <w:t>uestions</w:t>
      </w:r>
      <w:r w:rsidR="003F234C">
        <w:rPr>
          <w:lang w:val="en-US"/>
        </w:rPr>
        <w:t xml:space="preserve"> </w:t>
      </w:r>
      <w:r w:rsidR="2F65A1C8" w:rsidRPr="3AD7D649">
        <w:rPr>
          <w:lang w:val="en-US"/>
        </w:rPr>
        <w:t>section</w:t>
      </w:r>
      <w:r w:rsidR="26130562" w:rsidRPr="3AD7D649">
        <w:rPr>
          <w:lang w:val="en-US"/>
        </w:rPr>
        <w:t xml:space="preserve"> (</w:t>
      </w:r>
      <w:r w:rsidR="26130562" w:rsidRPr="00D40D6E">
        <w:rPr>
          <w:lang w:val="en-US"/>
        </w:rPr>
        <w:t>p</w:t>
      </w:r>
      <w:r w:rsidR="001A43C6" w:rsidRPr="00D40D6E">
        <w:rPr>
          <w:lang w:val="en-US"/>
        </w:rPr>
        <w:t>age</w:t>
      </w:r>
      <w:r w:rsidR="26130562" w:rsidRPr="3AD7D649">
        <w:rPr>
          <w:lang w:val="en-US"/>
        </w:rPr>
        <w:t xml:space="preserve"> </w:t>
      </w:r>
      <w:r w:rsidR="00D40D6E">
        <w:rPr>
          <w:lang w:val="en-US"/>
        </w:rPr>
        <w:t>35</w:t>
      </w:r>
      <w:r w:rsidRPr="00E23F5E">
        <w:rPr>
          <w:lang w:val="en-US"/>
        </w:rPr>
        <w:t>).</w:t>
      </w:r>
    </w:p>
    <w:p w14:paraId="7A77B018" w14:textId="114E591A" w:rsidR="009E26A5" w:rsidRDefault="009E26A5" w:rsidP="009E26A5">
      <w:r w:rsidRPr="00E23F5E">
        <w:t xml:space="preserve">Our report also presents </w:t>
      </w:r>
      <w:r w:rsidR="00C26476">
        <w:t>stories</w:t>
      </w:r>
      <w:r w:rsidRPr="00E23F5E">
        <w:t xml:space="preserve"> of Anglicare</w:t>
      </w:r>
      <w:r w:rsidR="00B605CD">
        <w:t xml:space="preserve"> Tasmania</w:t>
      </w:r>
      <w:r w:rsidRPr="00B605CD">
        <w:rPr>
          <w:color w:val="FF0000"/>
        </w:rPr>
        <w:t xml:space="preserve"> </w:t>
      </w:r>
      <w:r w:rsidRPr="00E23F5E">
        <w:t xml:space="preserve">clients </w:t>
      </w:r>
      <w:r w:rsidR="00C12353">
        <w:t xml:space="preserve">who have been </w:t>
      </w:r>
      <w:r w:rsidRPr="00E23F5E">
        <w:t xml:space="preserve">searching for housing. Their </w:t>
      </w:r>
      <w:r w:rsidR="00C12353" w:rsidRPr="00E23F5E">
        <w:t>experiences show</w:t>
      </w:r>
      <w:r w:rsidRPr="00E23F5E">
        <w:t xml:space="preserve"> how the private rental market in Tasmania works, and doesn’t work, for people today.</w:t>
      </w:r>
      <w:r>
        <w:t xml:space="preserve"> All </w:t>
      </w:r>
      <w:r w:rsidR="00C26476">
        <w:t>stories</w:t>
      </w:r>
      <w:r>
        <w:t xml:space="preserve"> have </w:t>
      </w:r>
      <w:r w:rsidR="00B3271E">
        <w:t xml:space="preserve">had </w:t>
      </w:r>
      <w:r>
        <w:t xml:space="preserve">names and details changed to protect client privacy.  </w:t>
      </w:r>
    </w:p>
    <w:p w14:paraId="5CAB755D" w14:textId="77777777" w:rsidR="009E26A5" w:rsidRPr="009C59BB" w:rsidRDefault="009E26A5" w:rsidP="009E26A5">
      <w:r>
        <w:br w:type="page"/>
      </w:r>
    </w:p>
    <w:p w14:paraId="0165E31F" w14:textId="6B319244" w:rsidR="00F643D3" w:rsidRPr="00425028" w:rsidRDefault="00EB3DF4" w:rsidP="00B71E6B">
      <w:pPr>
        <w:pStyle w:val="Heading1"/>
        <w:rPr>
          <w:rFonts w:ascii="Avenir Next LT Pro" w:hAnsi="Avenir Next LT Pro"/>
        </w:rPr>
      </w:pPr>
      <w:bookmarkStart w:id="4" w:name="_Toc227843594"/>
      <w:r w:rsidRPr="00425028">
        <w:rPr>
          <w:rFonts w:ascii="Avenir Next LT Pro" w:hAnsi="Avenir Next LT Pro"/>
        </w:rPr>
        <w:lastRenderedPageBreak/>
        <w:t>Key findings</w:t>
      </w:r>
      <w:bookmarkEnd w:id="4"/>
    </w:p>
    <w:p w14:paraId="30DD3441" w14:textId="63920F82" w:rsidR="00CC396E" w:rsidRDefault="007840D3" w:rsidP="00284004">
      <w:pPr>
        <w:pStyle w:val="ListParagraph"/>
        <w:numPr>
          <w:ilvl w:val="0"/>
          <w:numId w:val="27"/>
        </w:numPr>
      </w:pPr>
      <w:r>
        <w:t>The number of affordable rentals has declined further</w:t>
      </w:r>
      <w:r w:rsidR="00EE476E">
        <w:t>,</w:t>
      </w:r>
      <w:r>
        <w:t xml:space="preserve"> with</w:t>
      </w:r>
      <w:r w:rsidR="00D40727">
        <w:t xml:space="preserve"> 9% </w:t>
      </w:r>
      <w:r w:rsidR="00EE476E">
        <w:t xml:space="preserve">fewer </w:t>
      </w:r>
      <w:r w:rsidR="00D40727">
        <w:t xml:space="preserve">listings than last year and less than half the number of properties </w:t>
      </w:r>
      <w:r w:rsidR="37767810">
        <w:t>that were</w:t>
      </w:r>
      <w:r w:rsidR="2DA819A7">
        <w:t xml:space="preserve"> </w:t>
      </w:r>
      <w:r w:rsidR="00D40727">
        <w:t>available ten years ago.</w:t>
      </w:r>
      <w:r>
        <w:t xml:space="preserve"> </w:t>
      </w:r>
    </w:p>
    <w:p w14:paraId="26E7087E" w14:textId="3A53F8DE" w:rsidR="007840D3" w:rsidRDefault="00CC396E" w:rsidP="00284004">
      <w:pPr>
        <w:pStyle w:val="ListParagraph"/>
        <w:numPr>
          <w:ilvl w:val="0"/>
          <w:numId w:val="27"/>
        </w:numPr>
      </w:pPr>
      <w:r>
        <w:t xml:space="preserve">For </w:t>
      </w:r>
      <w:r w:rsidR="442FE65B">
        <w:t xml:space="preserve">13 out of 14 </w:t>
      </w:r>
      <w:r>
        <w:t>household type</w:t>
      </w:r>
      <w:r w:rsidR="0F87322E">
        <w:t>s</w:t>
      </w:r>
      <w:r>
        <w:t xml:space="preserve">, the number of affordable properties was as </w:t>
      </w:r>
      <w:r w:rsidR="00EE476E">
        <w:t>lo</w:t>
      </w:r>
      <w:r>
        <w:t xml:space="preserve">w or </w:t>
      </w:r>
      <w:r w:rsidR="00EE476E">
        <w:t>lo</w:t>
      </w:r>
      <w:r>
        <w:t xml:space="preserve">wer than last year. </w:t>
      </w:r>
      <w:r w:rsidR="00D40727">
        <w:t xml:space="preserve">This correlates with the unprecedented low vacancy rates that have persisted in every region </w:t>
      </w:r>
      <w:r w:rsidR="003C53E0">
        <w:t xml:space="preserve">of Tasmania. </w:t>
      </w:r>
      <w:r w:rsidR="00D40727">
        <w:t xml:space="preserve"> </w:t>
      </w:r>
    </w:p>
    <w:p w14:paraId="15BE9E8C" w14:textId="6EAD0180" w:rsidR="007840D3" w:rsidRDefault="007840D3" w:rsidP="00284004">
      <w:pPr>
        <w:pStyle w:val="ListParagraph"/>
        <w:numPr>
          <w:ilvl w:val="0"/>
          <w:numId w:val="27"/>
        </w:numPr>
      </w:pPr>
      <w:r>
        <w:t xml:space="preserve">The situation for older people has continued to </w:t>
      </w:r>
      <w:r w:rsidR="00187536">
        <w:t>worsen</w:t>
      </w:r>
      <w:r>
        <w:t xml:space="preserve">, with </w:t>
      </w:r>
      <w:r w:rsidR="00C82AD5">
        <w:t>the number of</w:t>
      </w:r>
      <w:r>
        <w:t xml:space="preserve"> </w:t>
      </w:r>
      <w:r w:rsidR="00885B1E">
        <w:t xml:space="preserve">affordable properties </w:t>
      </w:r>
      <w:r w:rsidR="00C82AD5">
        <w:t>declining by</w:t>
      </w:r>
      <w:r w:rsidR="00885B1E">
        <w:t xml:space="preserve"> 55% for singles on the </w:t>
      </w:r>
      <w:r w:rsidR="00EE476E">
        <w:t>A</w:t>
      </w:r>
      <w:r w:rsidR="00885B1E">
        <w:t xml:space="preserve">ge </w:t>
      </w:r>
      <w:r w:rsidR="00EE476E">
        <w:t>P</w:t>
      </w:r>
      <w:r w:rsidR="00885B1E">
        <w:t xml:space="preserve">ension and 5% for couples on the </w:t>
      </w:r>
      <w:r w:rsidR="00EE476E">
        <w:t>A</w:t>
      </w:r>
      <w:r w:rsidR="00885B1E">
        <w:t xml:space="preserve">ge </w:t>
      </w:r>
      <w:r w:rsidR="00EE476E">
        <w:t>P</w:t>
      </w:r>
      <w:r w:rsidR="00885B1E">
        <w:t>ension</w:t>
      </w:r>
      <w:r w:rsidR="00EE476E">
        <w:t>,</w:t>
      </w:r>
      <w:r w:rsidR="00D26D04">
        <w:t xml:space="preserve"> compared to last year</w:t>
      </w:r>
      <w:r w:rsidR="00885B1E">
        <w:t xml:space="preserve">. </w:t>
      </w:r>
      <w:r>
        <w:t xml:space="preserve"> </w:t>
      </w:r>
    </w:p>
    <w:p w14:paraId="29B7BDF1" w14:textId="08C8BC78" w:rsidR="007840D3" w:rsidRDefault="00AB1878" w:rsidP="00284004">
      <w:pPr>
        <w:pStyle w:val="ListParagraph"/>
        <w:numPr>
          <w:ilvl w:val="0"/>
          <w:numId w:val="27"/>
        </w:numPr>
      </w:pPr>
      <w:r>
        <w:t>Rent growth</w:t>
      </w:r>
      <w:r w:rsidR="007840D3">
        <w:t xml:space="preserve"> is outstripping incomes. </w:t>
      </w:r>
      <w:r w:rsidR="00C82AD5">
        <w:t xml:space="preserve">For the first time in </w:t>
      </w:r>
      <w:r w:rsidR="001F49F9">
        <w:t>the</w:t>
      </w:r>
      <w:r w:rsidR="00B605CD">
        <w:t xml:space="preserve"> 20-year</w:t>
      </w:r>
      <w:r w:rsidR="00B605CD" w:rsidRPr="00B605CD">
        <w:rPr>
          <w:color w:val="FF0000"/>
        </w:rPr>
        <w:t xml:space="preserve"> </w:t>
      </w:r>
      <w:r w:rsidR="001F49F9">
        <w:t xml:space="preserve">history of </w:t>
      </w:r>
      <w:r w:rsidR="00C82AD5">
        <w:t xml:space="preserve">the </w:t>
      </w:r>
      <w:r w:rsidR="002074E0">
        <w:t xml:space="preserve">Rental Affordability </w:t>
      </w:r>
      <w:r w:rsidR="00C82AD5">
        <w:t xml:space="preserve">Snapshot, </w:t>
      </w:r>
      <w:r w:rsidR="007840D3">
        <w:t xml:space="preserve">median rent on a room in a sharehouse is now unaffordable for </w:t>
      </w:r>
      <w:r w:rsidR="002074E0">
        <w:t>low-income</w:t>
      </w:r>
      <w:r>
        <w:t xml:space="preserve"> </w:t>
      </w:r>
      <w:r w:rsidR="007840D3">
        <w:t>single households, including those on the minimum wage</w:t>
      </w:r>
      <w:r>
        <w:t>.</w:t>
      </w:r>
    </w:p>
    <w:p w14:paraId="5046129E" w14:textId="5E5A816F" w:rsidR="007840D3" w:rsidRDefault="007840D3" w:rsidP="00284004">
      <w:pPr>
        <w:pStyle w:val="ListParagraph"/>
        <w:numPr>
          <w:ilvl w:val="0"/>
          <w:numId w:val="27"/>
        </w:numPr>
      </w:pPr>
      <w:r>
        <w:t>The lack of affordable rental properties</w:t>
      </w:r>
      <w:r w:rsidR="00386D16">
        <w:t xml:space="preserve"> </w:t>
      </w:r>
      <w:r>
        <w:t xml:space="preserve">is continuing to drive </w:t>
      </w:r>
      <w:r w:rsidR="00C82AD5">
        <w:t xml:space="preserve">up </w:t>
      </w:r>
      <w:r>
        <w:t>demand for social housing and force Tasmanians into homelessness.</w:t>
      </w:r>
    </w:p>
    <w:p w14:paraId="5C152341" w14:textId="76E61681" w:rsidR="00554E63" w:rsidRDefault="00554E63"/>
    <w:p w14:paraId="2A17D621" w14:textId="2DFE1015" w:rsidR="00C26476" w:rsidRDefault="00C26476">
      <w:r w:rsidRPr="00C26476">
        <w:rPr>
          <w:noProof/>
        </w:rPr>
        <w:drawing>
          <wp:inline distT="0" distB="0" distL="0" distR="0" wp14:anchorId="06BBCF06" wp14:editId="2CC85700">
            <wp:extent cx="5731510" cy="3212465"/>
            <wp:effectExtent l="0" t="0" r="2540" b="6985"/>
            <wp:docPr id="800177460" name="Picture 1" descr="Infographic. &#10;770 properties listed, down 9%&#10;Less than half the number of properties available 10 years ago&#10;0% of properties listed were affordable for:&#10;solo parent families receiving Single Parenting Payment or JobSeeker&#10;young Tasmanians receiving Youth Allowance&#10;single Tasmanians receiving JobSeeker&#10;Tasmanians receiving Disability Support P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77460" name="Picture 1" descr="Infographic. &#10;770 properties listed, down 9%&#10;Less than half the number of properties available 10 years ago&#10;0% of properties listed were affordable for:&#10;solo parent families receiving Single Parenting Payment or JobSeeker&#10;young Tasmanians receiving Youth Allowance&#10;single Tasmanians receiving JobSeeker&#10;Tasmanians receiving Disability Support Pension"/>
                    <pic:cNvPicPr/>
                  </pic:nvPicPr>
                  <pic:blipFill>
                    <a:blip r:embed="rId13"/>
                    <a:stretch>
                      <a:fillRect/>
                    </a:stretch>
                  </pic:blipFill>
                  <pic:spPr>
                    <a:xfrm>
                      <a:off x="0" y="0"/>
                      <a:ext cx="5731510" cy="3212465"/>
                    </a:xfrm>
                    <a:prstGeom prst="rect">
                      <a:avLst/>
                    </a:prstGeom>
                  </pic:spPr>
                </pic:pic>
              </a:graphicData>
            </a:graphic>
          </wp:inline>
        </w:drawing>
      </w:r>
    </w:p>
    <w:p w14:paraId="2151CDD2" w14:textId="77777777" w:rsidR="00554E63" w:rsidRDefault="00554E63"/>
    <w:p w14:paraId="4B5A6243" w14:textId="5FA0DE0A" w:rsidR="007840D3" w:rsidRPr="00CC396E" w:rsidRDefault="007840D3">
      <w:r>
        <w:br w:type="page"/>
      </w:r>
    </w:p>
    <w:p w14:paraId="3D8ED2C3" w14:textId="018AF80B" w:rsidR="00763786" w:rsidRPr="00763786" w:rsidRDefault="00763786" w:rsidP="00763786">
      <w:pPr>
        <w:pStyle w:val="Heading2"/>
        <w:rPr>
          <w:rFonts w:ascii="Avenir Next LT Pro" w:hAnsi="Avenir Next LT Pro"/>
        </w:rPr>
      </w:pPr>
      <w:bookmarkStart w:id="5" w:name="_Toc227843595"/>
      <w:r w:rsidRPr="00763786">
        <w:rPr>
          <w:rFonts w:ascii="Avenir Next LT Pro" w:hAnsi="Avenir Next LT Pro"/>
        </w:rPr>
        <w:lastRenderedPageBreak/>
        <w:t>Availability</w:t>
      </w:r>
      <w:bookmarkEnd w:id="5"/>
    </w:p>
    <w:p w14:paraId="422E00C3" w14:textId="6BA80DBA" w:rsidR="00FB4F64" w:rsidRDefault="00763786" w:rsidP="00763786">
      <w:r>
        <w:t xml:space="preserve">Despite </w:t>
      </w:r>
      <w:r w:rsidR="00045A16">
        <w:t>g</w:t>
      </w:r>
      <w:r>
        <w:t>overnment efforts to increase the supply of housing in Tasmania, the private rental market has again shrunk in volume. We found just 770 properties advertised for rent, 9% less than last year and less than half the number of properties available ten years ago.</w:t>
      </w:r>
      <w:r w:rsidR="00351BE4">
        <w:t xml:space="preserve"> </w:t>
      </w:r>
      <w:r w:rsidR="007840D3">
        <w:t xml:space="preserve">With </w:t>
      </w:r>
      <w:r w:rsidR="00EB2F35">
        <w:t xml:space="preserve">such a limited </w:t>
      </w:r>
      <w:r w:rsidR="007840D3">
        <w:t>supply of properties, large numbers of people must compete against each other for available rentals. Lower income earners</w:t>
      </w:r>
      <w:r w:rsidR="003312F1">
        <w:t xml:space="preserve"> </w:t>
      </w:r>
      <w:r w:rsidR="007840D3">
        <w:t xml:space="preserve">are at a disadvantage in this environment. </w:t>
      </w:r>
    </w:p>
    <w:p w14:paraId="6D291D89" w14:textId="14A3E3F4" w:rsidR="00A320EE" w:rsidRDefault="00A320EE" w:rsidP="00A320EE">
      <w:r>
        <w:t xml:space="preserve">For 13 out of 14 household types, the number of affordable properties was as few or fewer than last year. Such a limited supply of properties results in extremely low vacancy rates and extreme stress for renters. The number of properties affordable and appropriate for each household type is shown in the table on page </w:t>
      </w:r>
      <w:r w:rsidR="00C26476">
        <w:t>10</w:t>
      </w:r>
      <w:r>
        <w:t>.</w:t>
      </w:r>
    </w:p>
    <w:p w14:paraId="454C68E8" w14:textId="0043C01E" w:rsidR="00EE476E" w:rsidRPr="00E679F2" w:rsidRDefault="00EE476E" w:rsidP="00763786">
      <w:r>
        <w:t>Figure 1: Number of advertised properties, Tasmania</w:t>
      </w:r>
    </w:p>
    <w:p w14:paraId="768CAF87" w14:textId="409AD455" w:rsidR="007840D3" w:rsidRDefault="00FB4F64">
      <w:pPr>
        <w:rPr>
          <w:rFonts w:eastAsiaTheme="majorEastAsia" w:cstheme="majorBidi"/>
          <w:color w:val="0F4761" w:themeColor="accent1" w:themeShade="BF"/>
          <w:sz w:val="32"/>
          <w:szCs w:val="32"/>
        </w:rPr>
      </w:pPr>
      <w:r>
        <w:rPr>
          <w:noProof/>
        </w:rPr>
        <w:drawing>
          <wp:inline distT="0" distB="0" distL="0" distR="0" wp14:anchorId="0ED0A31D" wp14:editId="4427FE45">
            <wp:extent cx="5819775" cy="3524250"/>
            <wp:effectExtent l="0" t="0" r="9525" b="0"/>
            <wp:docPr id="1179528263" name="Chart 1" descr="Column graph.&#10;In 2013, 2,677&#10;In 2014, 2,010&#10;in 2015, 1,842&#10;in 2016, 1,588&#10;in 2017, 1,353&#10;in 2018, 1,245&#10;in 2019, 1,050&#10;in 2020, 1,291&#10;in 2021, 729&#10;in 2022, 714&#10;in 2023, 1,037&#10;in 2024, 1,127&#10;in 2025, 845&#10;in 2026, 770">
              <a:extLst xmlns:a="http://schemas.openxmlformats.org/drawingml/2006/main">
                <a:ext uri="{FF2B5EF4-FFF2-40B4-BE49-F238E27FC236}">
                  <a16:creationId xmlns:a16="http://schemas.microsoft.com/office/drawing/2014/main" id="{F949125D-3F89-ABAF-D63E-1F7B0A6C4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840D3">
        <w:br w:type="page"/>
      </w:r>
    </w:p>
    <w:p w14:paraId="685FE6CC" w14:textId="70C8391D" w:rsidR="00763786" w:rsidRPr="00763786" w:rsidRDefault="00763786" w:rsidP="00763786">
      <w:pPr>
        <w:pStyle w:val="Heading2"/>
        <w:rPr>
          <w:rFonts w:ascii="Avenir Next LT Pro" w:hAnsi="Avenir Next LT Pro"/>
        </w:rPr>
      </w:pPr>
      <w:bookmarkStart w:id="6" w:name="_Toc227843596"/>
      <w:r w:rsidRPr="00763786">
        <w:rPr>
          <w:rFonts w:ascii="Avenir Next LT Pro" w:hAnsi="Avenir Next LT Pro"/>
        </w:rPr>
        <w:lastRenderedPageBreak/>
        <w:t>Affordability</w:t>
      </w:r>
      <w:bookmarkEnd w:id="6"/>
    </w:p>
    <w:p w14:paraId="42261273" w14:textId="5B7EB4E5" w:rsidR="00763786" w:rsidRDefault="00763786" w:rsidP="00763786">
      <w:r>
        <w:t>The average price for a property in this year’s Snapshot is $508</w:t>
      </w:r>
      <w:r w:rsidR="006356CF">
        <w:t xml:space="preserve">, from </w:t>
      </w:r>
      <w:r w:rsidR="45BD63F6">
        <w:t>small</w:t>
      </w:r>
      <w:r w:rsidR="42450BE0">
        <w:t xml:space="preserve"> </w:t>
      </w:r>
      <w:r>
        <w:t xml:space="preserve">units in Rosebery to </w:t>
      </w:r>
      <w:r w:rsidR="70BF0B7A">
        <w:t xml:space="preserve">large </w:t>
      </w:r>
      <w:r>
        <w:t xml:space="preserve">executive apartments in Hobart. </w:t>
      </w:r>
    </w:p>
    <w:p w14:paraId="499EA6A9" w14:textId="4A9A515C" w:rsidR="00763786" w:rsidRDefault="25033B7C" w:rsidP="00763786">
      <w:r>
        <w:t xml:space="preserve">For a </w:t>
      </w:r>
      <w:r w:rsidR="00EB2F35">
        <w:t xml:space="preserve">family with two </w:t>
      </w:r>
      <w:r>
        <w:t xml:space="preserve">children and two </w:t>
      </w:r>
      <w:r w:rsidR="00E878F6">
        <w:t>adult</w:t>
      </w:r>
      <w:r w:rsidR="00EB2F35">
        <w:t>s</w:t>
      </w:r>
      <w:r>
        <w:t xml:space="preserve"> </w:t>
      </w:r>
      <w:r w:rsidR="00EE476E">
        <w:t xml:space="preserve">earning </w:t>
      </w:r>
      <w:r w:rsidR="00EB2F35">
        <w:t>minimum wage</w:t>
      </w:r>
      <w:r>
        <w:t>, around</w:t>
      </w:r>
      <w:r w:rsidR="42901483">
        <w:t xml:space="preserve"> 45% of the </w:t>
      </w:r>
      <w:r w:rsidR="672A08AA">
        <w:t>appropriate</w:t>
      </w:r>
      <w:r w:rsidR="006539BF">
        <w:t xml:space="preserve"> </w:t>
      </w:r>
      <w:r w:rsidR="42901483">
        <w:t xml:space="preserve">properties </w:t>
      </w:r>
      <w:r w:rsidR="226FEBAC">
        <w:t xml:space="preserve">are </w:t>
      </w:r>
      <w:r w:rsidR="42901483">
        <w:t>affordable</w:t>
      </w:r>
      <w:r w:rsidR="637EC01D">
        <w:t>.</w:t>
      </w:r>
      <w:r w:rsidR="0D93B877">
        <w:t xml:space="preserve"> They could expect to pay $450-$550 a week</w:t>
      </w:r>
      <w:r w:rsidR="00EB2F35">
        <w:t xml:space="preserve"> </w:t>
      </w:r>
      <w:r w:rsidR="330B95E3">
        <w:t xml:space="preserve">for a </w:t>
      </w:r>
      <w:r w:rsidR="00FB4F64">
        <w:t>three-to-four-bedroom</w:t>
      </w:r>
      <w:r w:rsidR="00763786">
        <w:t xml:space="preserve"> </w:t>
      </w:r>
      <w:r w:rsidR="006356CF">
        <w:t xml:space="preserve">suburban </w:t>
      </w:r>
      <w:r w:rsidR="00763786">
        <w:t>house</w:t>
      </w:r>
      <w:r w:rsidR="231D51E9">
        <w:t>.</w:t>
      </w:r>
      <w:r w:rsidR="00763786">
        <w:t xml:space="preserve"> However</w:t>
      </w:r>
      <w:r w:rsidR="00EB2F35">
        <w:t>, if</w:t>
      </w:r>
      <w:r w:rsidR="00763786">
        <w:t xml:space="preserve"> there is only one </w:t>
      </w:r>
      <w:r w:rsidR="00956141">
        <w:t>adult</w:t>
      </w:r>
      <w:r w:rsidR="00457126">
        <w:t xml:space="preserve"> in the household</w:t>
      </w:r>
      <w:r w:rsidR="00EB2F35">
        <w:t xml:space="preserve"> </w:t>
      </w:r>
      <w:r w:rsidR="00A320EE">
        <w:t>earning minimum wage</w:t>
      </w:r>
      <w:r w:rsidR="0038100C">
        <w:t>,</w:t>
      </w:r>
      <w:r w:rsidR="1381B47B">
        <w:t xml:space="preserve"> </w:t>
      </w:r>
      <w:r w:rsidR="00763786">
        <w:t xml:space="preserve">their prospects fall dramatically. Now they can afford only </w:t>
      </w:r>
      <w:r w:rsidR="006E07C4">
        <w:t>10</w:t>
      </w:r>
      <w:r w:rsidR="00763786">
        <w:t xml:space="preserve">% of </w:t>
      </w:r>
      <w:r w:rsidR="00457126">
        <w:t>appropriate</w:t>
      </w:r>
      <w:r w:rsidR="00763786">
        <w:t xml:space="preserve"> properties, and </w:t>
      </w:r>
      <w:r w:rsidR="00FB4F64">
        <w:t>those are</w:t>
      </w:r>
      <w:r w:rsidR="00763786">
        <w:t xml:space="preserve"> more likely to be in rural areas. </w:t>
      </w:r>
    </w:p>
    <w:p w14:paraId="216EE275" w14:textId="275193B7" w:rsidR="00EB2F35" w:rsidRDefault="001F49F9" w:rsidP="00763786">
      <w:r>
        <w:t xml:space="preserve">Families </w:t>
      </w:r>
      <w:r w:rsidR="00956141">
        <w:t xml:space="preserve">with adults </w:t>
      </w:r>
      <w:r>
        <w:t xml:space="preserve">not in employment </w:t>
      </w:r>
      <w:r w:rsidR="00D4695A">
        <w:t>will struggle</w:t>
      </w:r>
      <w:r>
        <w:t xml:space="preserve"> to afford a place to live</w:t>
      </w:r>
      <w:r w:rsidR="00D4695A">
        <w:t>, as t</w:t>
      </w:r>
      <w:r w:rsidR="00EB2F35">
        <w:t>he rate of Centrelink</w:t>
      </w:r>
      <w:r w:rsidR="006356CF">
        <w:t xml:space="preserve"> income support</w:t>
      </w:r>
      <w:r w:rsidR="00EB2F35">
        <w:t xml:space="preserve"> payments </w:t>
      </w:r>
      <w:r w:rsidR="3557FE4B">
        <w:t>ha</w:t>
      </w:r>
      <w:r w:rsidR="00A05D6F">
        <w:t>s</w:t>
      </w:r>
      <w:r w:rsidR="3557FE4B">
        <w:t xml:space="preserve"> not kept pace with </w:t>
      </w:r>
      <w:r w:rsidR="00D4695A">
        <w:t>t</w:t>
      </w:r>
      <w:r w:rsidR="00EB2F35">
        <w:t>he cost of living</w:t>
      </w:r>
      <w:r w:rsidR="5CE388D4">
        <w:t>.</w:t>
      </w:r>
      <w:r w:rsidR="00EB2F35">
        <w:t xml:space="preserve"> </w:t>
      </w:r>
      <w:r w:rsidR="4349A054">
        <w:t>Any who do</w:t>
      </w:r>
      <w:r>
        <w:t xml:space="preserve"> secure a </w:t>
      </w:r>
      <w:r w:rsidR="31CB1342">
        <w:t xml:space="preserve">tenancy </w:t>
      </w:r>
      <w:r>
        <w:t xml:space="preserve">are likely to </w:t>
      </w:r>
      <w:r w:rsidR="6E5DEE7A">
        <w:t xml:space="preserve">be </w:t>
      </w:r>
      <w:r>
        <w:t>raising their children in poverty as rent eats up their income.</w:t>
      </w:r>
      <w:r w:rsidR="00956141" w:rsidRPr="00956141">
        <w:t xml:space="preserve"> </w:t>
      </w:r>
      <w:r w:rsidR="00956141">
        <w:t>They will be competing with families on higher incomes, including those who may be searching for cheaper rentals while saving for a house deposit.</w:t>
      </w:r>
    </w:p>
    <w:p w14:paraId="666C75E9" w14:textId="0CB8C2E8" w:rsidR="00763786" w:rsidRDefault="00763786" w:rsidP="00763786">
      <w:r>
        <w:t xml:space="preserve">A couple with two children receiving JobSeeker and Family Tax Benefit have an income of a little over $1,000 a week. In today’s market, about half </w:t>
      </w:r>
      <w:r w:rsidR="00B814D5">
        <w:t xml:space="preserve">of </w:t>
      </w:r>
      <w:r>
        <w:t>that income w</w:t>
      </w:r>
      <w:r w:rsidR="00956141">
        <w:t>ould</w:t>
      </w:r>
      <w:r>
        <w:t xml:space="preserve"> have to be spent on rent. Properties that are truly affordable for them are rare and will be in locations with fewer employment opportunities. </w:t>
      </w:r>
    </w:p>
    <w:p w14:paraId="69F467A6" w14:textId="2034C0F2" w:rsidR="00763786" w:rsidRDefault="00763786" w:rsidP="00763786">
      <w:r>
        <w:t xml:space="preserve">The only houses and units affordable for a single parent </w:t>
      </w:r>
      <w:r w:rsidR="001F49F9">
        <w:t>receiving</w:t>
      </w:r>
      <w:r>
        <w:t xml:space="preserve"> </w:t>
      </w:r>
      <w:r w:rsidR="00826CB1">
        <w:t>Single Parenting Payment</w:t>
      </w:r>
      <w:r>
        <w:t xml:space="preserve"> are located on the West Coast. Even a small </w:t>
      </w:r>
      <w:r w:rsidR="00B36DBC">
        <w:t>two</w:t>
      </w:r>
      <w:r>
        <w:t xml:space="preserve">-bedroom unit in Geeveston, nearly an hour from Hobart, is outside their price range.  </w:t>
      </w:r>
    </w:p>
    <w:p w14:paraId="60393CBF" w14:textId="711C6F22" w:rsidR="00763786" w:rsidRDefault="00763786" w:rsidP="00763786">
      <w:r>
        <w:t>Single people in Tasmania are increasingly likely to live in sharehouses, which make up 18% of our sample and average about $260 a week. About 40% of sharehouses will be affordable for a minimum wage earner, compared to 6% of unshared one-bedroom units. Those who cannot or will not live in a sharehouse, such as</w:t>
      </w:r>
      <w:r w:rsidR="00956141">
        <w:t xml:space="preserve"> some</w:t>
      </w:r>
      <w:r>
        <w:t xml:space="preserve"> older</w:t>
      </w:r>
      <w:r w:rsidR="00A612E2">
        <w:t xml:space="preserve"> people</w:t>
      </w:r>
      <w:r>
        <w:t xml:space="preserve"> or </w:t>
      </w:r>
      <w:r w:rsidR="008772AF">
        <w:t>people with disability</w:t>
      </w:r>
      <w:r>
        <w:t xml:space="preserve">, will </w:t>
      </w:r>
      <w:r w:rsidR="008772AF">
        <w:t xml:space="preserve">have difficulty finding a home and </w:t>
      </w:r>
      <w:r>
        <w:t xml:space="preserve">will </w:t>
      </w:r>
      <w:r w:rsidR="2DB3390C">
        <w:t xml:space="preserve">likely </w:t>
      </w:r>
      <w:r>
        <w:t xml:space="preserve">end up paying more than they can afford. The cheapest unshared property, at $200, located in Rosebery, is </w:t>
      </w:r>
      <w:r w:rsidR="00956141">
        <w:t>affordable</w:t>
      </w:r>
      <w:r>
        <w:t xml:space="preserve"> for someone on Age or Disability Pension, but it is the only one in that price range.</w:t>
      </w:r>
    </w:p>
    <w:p w14:paraId="0EDC4561" w14:textId="3F4382ED" w:rsidR="00763786" w:rsidRPr="00E679F2" w:rsidRDefault="00763786" w:rsidP="00763786">
      <w:r>
        <w:t>The private rental market is not a</w:t>
      </w:r>
      <w:r w:rsidR="008772AF">
        <w:t>n affordable</w:t>
      </w:r>
      <w:r>
        <w:t xml:space="preserve"> option for people on JobSeeker or Youth Allowance. Even the cheapest sharehouse, at $145, is too expensive</w:t>
      </w:r>
      <w:r w:rsidR="00956141">
        <w:t xml:space="preserve"> for them</w:t>
      </w:r>
      <w:r>
        <w:t xml:space="preserve">. An average sharehouse would </w:t>
      </w:r>
      <w:r w:rsidR="00A05D6F">
        <w:t>cost</w:t>
      </w:r>
      <w:r>
        <w:t xml:space="preserve"> 50% of </w:t>
      </w:r>
      <w:r w:rsidR="00A320EE">
        <w:t xml:space="preserve">income for a person on </w:t>
      </w:r>
      <w:r>
        <w:t>JobSeeker, and 63% of a young person’s</w:t>
      </w:r>
      <w:r w:rsidR="00956141">
        <w:t xml:space="preserve"> </w:t>
      </w:r>
      <w:r w:rsidR="00A320EE">
        <w:t xml:space="preserve">income </w:t>
      </w:r>
      <w:r w:rsidR="00956141">
        <w:t>on Youth Allowance</w:t>
      </w:r>
      <w:r>
        <w:t xml:space="preserve">. Their income support payments are already well under the poverty line and </w:t>
      </w:r>
      <w:r w:rsidR="752D5DA9">
        <w:t>paying this level of rent</w:t>
      </w:r>
      <w:r>
        <w:t xml:space="preserve"> results in significant hardship. </w:t>
      </w:r>
    </w:p>
    <w:p w14:paraId="50A901EF" w14:textId="69D3933C" w:rsidR="000417EF" w:rsidRPr="00763786" w:rsidRDefault="000417EF" w:rsidP="00763786">
      <w:pPr>
        <w:pStyle w:val="Heading2"/>
        <w:sectPr w:rsidR="000417EF" w:rsidRPr="00763786">
          <w:footerReference w:type="default" r:id="rId15"/>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068"/>
        <w:gridCol w:w="1621"/>
        <w:gridCol w:w="1745"/>
        <w:gridCol w:w="1134"/>
        <w:gridCol w:w="1434"/>
        <w:gridCol w:w="1475"/>
        <w:gridCol w:w="1724"/>
      </w:tblGrid>
      <w:tr w:rsidR="00763786" w:rsidRPr="00FD02AE" w14:paraId="1876D9A9" w14:textId="77777777" w:rsidTr="00C26476">
        <w:trPr>
          <w:trHeight w:val="1007"/>
        </w:trPr>
        <w:tc>
          <w:tcPr>
            <w:tcW w:w="1068" w:type="dxa"/>
            <w:vAlign w:val="center"/>
          </w:tcPr>
          <w:p w14:paraId="770599A4" w14:textId="77777777" w:rsidR="00763786" w:rsidRPr="00956141" w:rsidRDefault="00763786" w:rsidP="00C26476">
            <w:pPr>
              <w:jc w:val="center"/>
              <w:rPr>
                <w:b/>
                <w:sz w:val="20"/>
                <w:szCs w:val="20"/>
              </w:rPr>
            </w:pPr>
            <w:r w:rsidRPr="00956141">
              <w:rPr>
                <w:b/>
                <w:sz w:val="20"/>
                <w:szCs w:val="20"/>
              </w:rPr>
              <w:lastRenderedPageBreak/>
              <w:t>Cohort</w:t>
            </w:r>
          </w:p>
        </w:tc>
        <w:tc>
          <w:tcPr>
            <w:tcW w:w="1621" w:type="dxa"/>
            <w:vAlign w:val="center"/>
          </w:tcPr>
          <w:p w14:paraId="2CE42DF4" w14:textId="77777777" w:rsidR="00763786" w:rsidRPr="00956141" w:rsidRDefault="00763786" w:rsidP="00C26476">
            <w:pPr>
              <w:jc w:val="center"/>
              <w:rPr>
                <w:b/>
                <w:sz w:val="20"/>
                <w:szCs w:val="20"/>
              </w:rPr>
            </w:pPr>
            <w:r w:rsidRPr="00956141">
              <w:rPr>
                <w:b/>
                <w:sz w:val="20"/>
                <w:szCs w:val="20"/>
              </w:rPr>
              <w:t>Household type</w:t>
            </w:r>
          </w:p>
        </w:tc>
        <w:tc>
          <w:tcPr>
            <w:tcW w:w="1745" w:type="dxa"/>
            <w:vAlign w:val="center"/>
          </w:tcPr>
          <w:p w14:paraId="48C3A968" w14:textId="77777777" w:rsidR="00763786" w:rsidRPr="00956141" w:rsidRDefault="00763786" w:rsidP="00C26476">
            <w:pPr>
              <w:jc w:val="center"/>
              <w:rPr>
                <w:b/>
                <w:sz w:val="20"/>
                <w:szCs w:val="20"/>
              </w:rPr>
            </w:pPr>
            <w:r w:rsidRPr="00956141">
              <w:rPr>
                <w:b/>
                <w:sz w:val="20"/>
                <w:szCs w:val="20"/>
              </w:rPr>
              <w:t>Income type</w:t>
            </w:r>
          </w:p>
        </w:tc>
        <w:tc>
          <w:tcPr>
            <w:tcW w:w="1134" w:type="dxa"/>
            <w:vAlign w:val="center"/>
          </w:tcPr>
          <w:p w14:paraId="1546C45D" w14:textId="77777777" w:rsidR="00763786" w:rsidRPr="00956141" w:rsidRDefault="00763786" w:rsidP="00C26476">
            <w:pPr>
              <w:jc w:val="center"/>
              <w:rPr>
                <w:b/>
                <w:sz w:val="20"/>
                <w:szCs w:val="20"/>
              </w:rPr>
            </w:pPr>
          </w:p>
          <w:p w14:paraId="56E7E57F" w14:textId="77777777" w:rsidR="00763786" w:rsidRPr="00956141" w:rsidRDefault="00763786" w:rsidP="00C26476">
            <w:pPr>
              <w:jc w:val="center"/>
              <w:rPr>
                <w:b/>
                <w:sz w:val="20"/>
                <w:szCs w:val="20"/>
              </w:rPr>
            </w:pPr>
            <w:r w:rsidRPr="00956141">
              <w:rPr>
                <w:b/>
                <w:sz w:val="20"/>
                <w:szCs w:val="20"/>
              </w:rPr>
              <w:t>Max weekly rent</w:t>
            </w:r>
          </w:p>
        </w:tc>
        <w:tc>
          <w:tcPr>
            <w:tcW w:w="1434" w:type="dxa"/>
            <w:vAlign w:val="center"/>
          </w:tcPr>
          <w:p w14:paraId="195C1E71" w14:textId="77777777" w:rsidR="00763786" w:rsidRPr="00956141" w:rsidRDefault="00763786" w:rsidP="00C26476">
            <w:pPr>
              <w:jc w:val="center"/>
              <w:rPr>
                <w:b/>
                <w:sz w:val="20"/>
                <w:szCs w:val="20"/>
              </w:rPr>
            </w:pPr>
            <w:r w:rsidRPr="00956141">
              <w:rPr>
                <w:b/>
                <w:sz w:val="20"/>
                <w:szCs w:val="20"/>
              </w:rPr>
              <w:t>Number affordable and appropriate</w:t>
            </w:r>
          </w:p>
        </w:tc>
        <w:tc>
          <w:tcPr>
            <w:tcW w:w="1475" w:type="dxa"/>
            <w:vAlign w:val="center"/>
          </w:tcPr>
          <w:p w14:paraId="7E089EB4" w14:textId="4DEBEF0B" w:rsidR="00763786" w:rsidRPr="00956141" w:rsidRDefault="00763786" w:rsidP="00C26476">
            <w:pPr>
              <w:jc w:val="center"/>
              <w:rPr>
                <w:b/>
                <w:sz w:val="20"/>
                <w:szCs w:val="20"/>
                <w:lang w:val="en-US"/>
              </w:rPr>
            </w:pPr>
            <w:r w:rsidRPr="00956141">
              <w:rPr>
                <w:b/>
                <w:sz w:val="20"/>
                <w:szCs w:val="20"/>
                <w:lang w:val="en-US"/>
              </w:rPr>
              <w:t>Percentage affordable and appropriate</w:t>
            </w:r>
          </w:p>
        </w:tc>
        <w:tc>
          <w:tcPr>
            <w:tcW w:w="1724" w:type="dxa"/>
            <w:vAlign w:val="center"/>
          </w:tcPr>
          <w:p w14:paraId="2BBD4E70" w14:textId="77777777" w:rsidR="00763786" w:rsidRPr="00956141" w:rsidRDefault="00763786" w:rsidP="00C26476">
            <w:pPr>
              <w:jc w:val="center"/>
              <w:rPr>
                <w:b/>
                <w:sz w:val="20"/>
                <w:szCs w:val="20"/>
                <w:lang w:val="en-US"/>
              </w:rPr>
            </w:pPr>
            <w:r w:rsidRPr="00956141">
              <w:rPr>
                <w:b/>
                <w:sz w:val="20"/>
                <w:szCs w:val="20"/>
                <w:lang w:val="en-US"/>
              </w:rPr>
              <w:t>Number by region</w:t>
            </w:r>
          </w:p>
        </w:tc>
      </w:tr>
      <w:tr w:rsidR="00763786" w:rsidRPr="00FD02AE" w14:paraId="414106A6" w14:textId="77777777" w:rsidTr="00C26476">
        <w:trPr>
          <w:trHeight w:val="567"/>
        </w:trPr>
        <w:tc>
          <w:tcPr>
            <w:tcW w:w="1068" w:type="dxa"/>
            <w:vMerge w:val="restart"/>
            <w:vAlign w:val="center"/>
          </w:tcPr>
          <w:p w14:paraId="2288DA00" w14:textId="77777777" w:rsidR="00763786" w:rsidRPr="00956141" w:rsidRDefault="00763786" w:rsidP="00C26476">
            <w:pPr>
              <w:jc w:val="center"/>
              <w:rPr>
                <w:b/>
                <w:sz w:val="20"/>
                <w:szCs w:val="20"/>
                <w:lang w:val="en-US"/>
              </w:rPr>
            </w:pPr>
            <w:r w:rsidRPr="00956141">
              <w:rPr>
                <w:b/>
                <w:sz w:val="20"/>
                <w:szCs w:val="20"/>
                <w:lang w:val="en-US"/>
              </w:rPr>
              <w:t>Young people</w:t>
            </w:r>
          </w:p>
        </w:tc>
        <w:tc>
          <w:tcPr>
            <w:tcW w:w="1621" w:type="dxa"/>
            <w:vAlign w:val="center"/>
          </w:tcPr>
          <w:p w14:paraId="771FEEEA" w14:textId="77777777" w:rsidR="00763786" w:rsidRPr="00956141" w:rsidRDefault="00763786" w:rsidP="00C26476">
            <w:pPr>
              <w:jc w:val="center"/>
              <w:rPr>
                <w:sz w:val="20"/>
                <w:szCs w:val="20"/>
                <w:lang w:val="en-US"/>
              </w:rPr>
            </w:pPr>
            <w:r w:rsidRPr="00956141">
              <w:rPr>
                <w:sz w:val="20"/>
                <w:szCs w:val="20"/>
                <w:lang w:val="en-US"/>
              </w:rPr>
              <w:t>Single</w:t>
            </w:r>
          </w:p>
          <w:p w14:paraId="1F1D7AB3" w14:textId="77777777" w:rsidR="00763786" w:rsidRPr="00956141" w:rsidRDefault="00763786" w:rsidP="00C26476">
            <w:pPr>
              <w:jc w:val="center"/>
              <w:rPr>
                <w:sz w:val="20"/>
                <w:szCs w:val="20"/>
                <w:lang w:val="en-US"/>
              </w:rPr>
            </w:pPr>
            <w:r w:rsidRPr="00956141">
              <w:rPr>
                <w:sz w:val="20"/>
                <w:szCs w:val="20"/>
                <w:lang w:val="en-US"/>
              </w:rPr>
              <w:t>(18+)</w:t>
            </w:r>
          </w:p>
        </w:tc>
        <w:tc>
          <w:tcPr>
            <w:tcW w:w="1745" w:type="dxa"/>
            <w:vAlign w:val="center"/>
          </w:tcPr>
          <w:p w14:paraId="48F8E9E3" w14:textId="77777777" w:rsidR="00763786" w:rsidRPr="00956141" w:rsidRDefault="00763786" w:rsidP="00C26476">
            <w:pPr>
              <w:jc w:val="center"/>
              <w:rPr>
                <w:sz w:val="20"/>
                <w:szCs w:val="20"/>
                <w:lang w:val="en-US"/>
              </w:rPr>
            </w:pPr>
            <w:r w:rsidRPr="00956141">
              <w:rPr>
                <w:sz w:val="20"/>
                <w:szCs w:val="20"/>
                <w:lang w:val="en-US"/>
              </w:rPr>
              <w:t>Youth Allowance</w:t>
            </w:r>
          </w:p>
        </w:tc>
        <w:tc>
          <w:tcPr>
            <w:tcW w:w="1134" w:type="dxa"/>
            <w:shd w:val="clear" w:color="auto" w:fill="FFFFFF" w:themeFill="background1"/>
            <w:vAlign w:val="center"/>
          </w:tcPr>
          <w:p w14:paraId="561CBDCB" w14:textId="77777777" w:rsidR="00763786" w:rsidRPr="00956141" w:rsidRDefault="00763786" w:rsidP="00C26476">
            <w:pPr>
              <w:jc w:val="center"/>
              <w:rPr>
                <w:sz w:val="28"/>
                <w:szCs w:val="28"/>
                <w:lang w:val="en-US"/>
              </w:rPr>
            </w:pPr>
            <w:r w:rsidRPr="00956141">
              <w:rPr>
                <w:sz w:val="28"/>
                <w:szCs w:val="28"/>
                <w:lang w:val="en-US"/>
              </w:rPr>
              <w:t>$110</w:t>
            </w:r>
          </w:p>
        </w:tc>
        <w:tc>
          <w:tcPr>
            <w:tcW w:w="1434" w:type="dxa"/>
            <w:shd w:val="clear" w:color="auto" w:fill="FFFFFF" w:themeFill="background1"/>
            <w:vAlign w:val="center"/>
          </w:tcPr>
          <w:p w14:paraId="27A9ED2A" w14:textId="77777777" w:rsidR="00763786" w:rsidRPr="00956141" w:rsidRDefault="00763786" w:rsidP="00C26476">
            <w:pPr>
              <w:jc w:val="center"/>
              <w:rPr>
                <w:color w:val="FF0000"/>
                <w:sz w:val="32"/>
                <w:szCs w:val="32"/>
                <w:lang w:val="en-US"/>
              </w:rPr>
            </w:pPr>
            <w:r w:rsidRPr="00956141">
              <w:rPr>
                <w:color w:val="FF0000"/>
                <w:sz w:val="32"/>
                <w:szCs w:val="32"/>
                <w:lang w:val="en-US"/>
              </w:rPr>
              <w:t>0</w:t>
            </w:r>
          </w:p>
        </w:tc>
        <w:tc>
          <w:tcPr>
            <w:tcW w:w="1475" w:type="dxa"/>
            <w:shd w:val="clear" w:color="auto" w:fill="FFFFFF" w:themeFill="background1"/>
            <w:vAlign w:val="center"/>
          </w:tcPr>
          <w:p w14:paraId="3CFC249F" w14:textId="77777777" w:rsidR="00763786" w:rsidRPr="00956141" w:rsidRDefault="00763786" w:rsidP="00C26476">
            <w:pPr>
              <w:jc w:val="center"/>
              <w:rPr>
                <w:color w:val="FF0000"/>
                <w:sz w:val="32"/>
                <w:szCs w:val="32"/>
                <w:lang w:val="en-US"/>
              </w:rPr>
            </w:pPr>
            <w:r w:rsidRPr="00956141">
              <w:rPr>
                <w:color w:val="FF0000"/>
                <w:sz w:val="32"/>
                <w:szCs w:val="32"/>
                <w:lang w:val="en-US"/>
              </w:rPr>
              <w:t>0%</w:t>
            </w:r>
          </w:p>
        </w:tc>
        <w:tc>
          <w:tcPr>
            <w:tcW w:w="1724" w:type="dxa"/>
            <w:shd w:val="clear" w:color="auto" w:fill="FFFFFF" w:themeFill="background1"/>
            <w:vAlign w:val="center"/>
          </w:tcPr>
          <w:p w14:paraId="3015C2BA" w14:textId="77777777" w:rsidR="00763786" w:rsidRPr="00956141" w:rsidRDefault="00763786" w:rsidP="00C26476">
            <w:pPr>
              <w:jc w:val="center"/>
              <w:rPr>
                <w:sz w:val="20"/>
                <w:szCs w:val="20"/>
              </w:rPr>
            </w:pPr>
            <w:r w:rsidRPr="00956141">
              <w:rPr>
                <w:sz w:val="20"/>
                <w:szCs w:val="20"/>
              </w:rPr>
              <w:t>South:</w:t>
            </w:r>
            <w:r w:rsidRPr="00956141">
              <w:rPr>
                <w:color w:val="FF0000"/>
                <w:sz w:val="20"/>
                <w:szCs w:val="20"/>
              </w:rPr>
              <w:t xml:space="preserve"> 0</w:t>
            </w:r>
          </w:p>
          <w:p w14:paraId="4DDC20AD" w14:textId="77777777" w:rsidR="00763786" w:rsidRPr="00956141" w:rsidRDefault="00763786" w:rsidP="00C26476">
            <w:pPr>
              <w:jc w:val="center"/>
              <w:rPr>
                <w:sz w:val="20"/>
                <w:szCs w:val="20"/>
              </w:rPr>
            </w:pPr>
            <w:r w:rsidRPr="00956141">
              <w:rPr>
                <w:sz w:val="20"/>
                <w:szCs w:val="20"/>
              </w:rPr>
              <w:t xml:space="preserve">North: </w:t>
            </w:r>
            <w:r w:rsidRPr="00956141">
              <w:rPr>
                <w:color w:val="FF0000"/>
                <w:sz w:val="20"/>
                <w:szCs w:val="20"/>
              </w:rPr>
              <w:t>0</w:t>
            </w:r>
          </w:p>
          <w:p w14:paraId="10DE7527" w14:textId="77777777" w:rsidR="00763786" w:rsidRPr="00956141" w:rsidRDefault="00763786" w:rsidP="00C26476">
            <w:pPr>
              <w:jc w:val="center"/>
              <w:rPr>
                <w:sz w:val="20"/>
                <w:szCs w:val="20"/>
                <w:lang w:val="en-US"/>
              </w:rPr>
            </w:pPr>
            <w:r w:rsidRPr="00956141">
              <w:rPr>
                <w:sz w:val="20"/>
                <w:szCs w:val="20"/>
              </w:rPr>
              <w:t xml:space="preserve">North West: </w:t>
            </w:r>
            <w:r w:rsidRPr="00956141">
              <w:rPr>
                <w:color w:val="FF0000"/>
                <w:sz w:val="20"/>
                <w:szCs w:val="20"/>
              </w:rPr>
              <w:t>0</w:t>
            </w:r>
          </w:p>
        </w:tc>
      </w:tr>
      <w:tr w:rsidR="00763786" w:rsidRPr="00FD02AE" w14:paraId="7834D01A" w14:textId="77777777" w:rsidTr="00C26476">
        <w:trPr>
          <w:trHeight w:val="567"/>
        </w:trPr>
        <w:tc>
          <w:tcPr>
            <w:tcW w:w="1068" w:type="dxa"/>
            <w:vMerge/>
            <w:vAlign w:val="center"/>
          </w:tcPr>
          <w:p w14:paraId="76A8F1F5" w14:textId="77777777" w:rsidR="00763786" w:rsidRPr="00956141" w:rsidRDefault="00763786" w:rsidP="00C26476">
            <w:pPr>
              <w:jc w:val="center"/>
              <w:rPr>
                <w:b/>
                <w:sz w:val="20"/>
                <w:szCs w:val="20"/>
                <w:lang w:val="en-US"/>
              </w:rPr>
            </w:pPr>
          </w:p>
        </w:tc>
        <w:tc>
          <w:tcPr>
            <w:tcW w:w="1621" w:type="dxa"/>
            <w:vAlign w:val="center"/>
          </w:tcPr>
          <w:p w14:paraId="4A57342C" w14:textId="77777777" w:rsidR="00763786" w:rsidRPr="00956141" w:rsidRDefault="00763786" w:rsidP="00C26476">
            <w:pPr>
              <w:jc w:val="center"/>
              <w:rPr>
                <w:sz w:val="20"/>
                <w:szCs w:val="20"/>
                <w:lang w:val="en-US"/>
              </w:rPr>
            </w:pPr>
            <w:r w:rsidRPr="00956141">
              <w:rPr>
                <w:sz w:val="20"/>
                <w:szCs w:val="20"/>
                <w:lang w:val="en-US"/>
              </w:rPr>
              <w:t>Single</w:t>
            </w:r>
          </w:p>
          <w:p w14:paraId="0E7952AE" w14:textId="77777777" w:rsidR="00763786" w:rsidRPr="00956141" w:rsidRDefault="00763786" w:rsidP="00C26476">
            <w:pPr>
              <w:jc w:val="center"/>
              <w:rPr>
                <w:sz w:val="20"/>
                <w:szCs w:val="20"/>
                <w:lang w:val="en-US"/>
              </w:rPr>
            </w:pPr>
            <w:r w:rsidRPr="00956141">
              <w:rPr>
                <w:sz w:val="20"/>
                <w:szCs w:val="20"/>
                <w:lang w:val="en-US"/>
              </w:rPr>
              <w:t>(in a share house)</w:t>
            </w:r>
          </w:p>
        </w:tc>
        <w:tc>
          <w:tcPr>
            <w:tcW w:w="1745" w:type="dxa"/>
            <w:vAlign w:val="center"/>
          </w:tcPr>
          <w:p w14:paraId="5F6596C1" w14:textId="77777777" w:rsidR="00763786" w:rsidRPr="00956141" w:rsidRDefault="00763786" w:rsidP="00C26476">
            <w:pPr>
              <w:jc w:val="center"/>
              <w:rPr>
                <w:sz w:val="20"/>
                <w:szCs w:val="20"/>
                <w:lang w:val="en-US"/>
              </w:rPr>
            </w:pPr>
            <w:r w:rsidRPr="00956141">
              <w:rPr>
                <w:sz w:val="20"/>
                <w:szCs w:val="20"/>
                <w:lang w:val="en-US"/>
              </w:rPr>
              <w:t>Youth Allowance</w:t>
            </w:r>
          </w:p>
        </w:tc>
        <w:tc>
          <w:tcPr>
            <w:tcW w:w="1134" w:type="dxa"/>
            <w:shd w:val="clear" w:color="auto" w:fill="FFFFFF" w:themeFill="background1"/>
            <w:vAlign w:val="center"/>
          </w:tcPr>
          <w:p w14:paraId="7FFC9834" w14:textId="77777777" w:rsidR="00763786" w:rsidRPr="00956141" w:rsidRDefault="00763786" w:rsidP="00C26476">
            <w:pPr>
              <w:jc w:val="center"/>
              <w:rPr>
                <w:sz w:val="28"/>
                <w:szCs w:val="28"/>
              </w:rPr>
            </w:pPr>
            <w:r w:rsidRPr="00956141">
              <w:rPr>
                <w:sz w:val="28"/>
                <w:szCs w:val="28"/>
              </w:rPr>
              <w:t>$110</w:t>
            </w:r>
          </w:p>
        </w:tc>
        <w:tc>
          <w:tcPr>
            <w:tcW w:w="1434" w:type="dxa"/>
            <w:shd w:val="clear" w:color="auto" w:fill="FFFFFF" w:themeFill="background1"/>
            <w:vAlign w:val="center"/>
          </w:tcPr>
          <w:p w14:paraId="1867EF77" w14:textId="77777777" w:rsidR="00763786" w:rsidRPr="00956141" w:rsidRDefault="00763786" w:rsidP="00C26476">
            <w:pPr>
              <w:jc w:val="center"/>
              <w:rPr>
                <w:color w:val="FF0000"/>
                <w:sz w:val="32"/>
                <w:szCs w:val="32"/>
              </w:rPr>
            </w:pPr>
            <w:r w:rsidRPr="00956141">
              <w:rPr>
                <w:color w:val="FF0000"/>
                <w:sz w:val="32"/>
                <w:szCs w:val="32"/>
              </w:rPr>
              <w:t>0</w:t>
            </w:r>
          </w:p>
        </w:tc>
        <w:tc>
          <w:tcPr>
            <w:tcW w:w="1475" w:type="dxa"/>
            <w:shd w:val="clear" w:color="auto" w:fill="FFFFFF" w:themeFill="background1"/>
            <w:vAlign w:val="center"/>
          </w:tcPr>
          <w:p w14:paraId="665A6359" w14:textId="77777777" w:rsidR="00763786" w:rsidRPr="00956141" w:rsidRDefault="00763786" w:rsidP="00C26476">
            <w:pPr>
              <w:jc w:val="center"/>
              <w:rPr>
                <w:color w:val="FF0000"/>
                <w:sz w:val="32"/>
                <w:szCs w:val="32"/>
              </w:rPr>
            </w:pPr>
            <w:r w:rsidRPr="00956141">
              <w:rPr>
                <w:color w:val="FF0000"/>
                <w:sz w:val="32"/>
                <w:szCs w:val="32"/>
              </w:rPr>
              <w:t>0%</w:t>
            </w:r>
          </w:p>
        </w:tc>
        <w:tc>
          <w:tcPr>
            <w:tcW w:w="1724" w:type="dxa"/>
            <w:shd w:val="clear" w:color="auto" w:fill="FFFFFF" w:themeFill="background1"/>
            <w:vAlign w:val="center"/>
          </w:tcPr>
          <w:p w14:paraId="34A2333C"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4D945FD6" w14:textId="77777777" w:rsidR="00763786" w:rsidRPr="00956141" w:rsidRDefault="00763786" w:rsidP="00C26476">
            <w:pPr>
              <w:jc w:val="center"/>
              <w:rPr>
                <w:sz w:val="20"/>
                <w:szCs w:val="20"/>
              </w:rPr>
            </w:pPr>
            <w:r w:rsidRPr="00956141">
              <w:rPr>
                <w:sz w:val="20"/>
                <w:szCs w:val="20"/>
              </w:rPr>
              <w:t xml:space="preserve">North: </w:t>
            </w:r>
            <w:r w:rsidRPr="00956141">
              <w:rPr>
                <w:color w:val="FF0000"/>
                <w:sz w:val="20"/>
                <w:szCs w:val="20"/>
              </w:rPr>
              <w:t>0</w:t>
            </w:r>
          </w:p>
          <w:p w14:paraId="502D62D1" w14:textId="77777777" w:rsidR="00763786" w:rsidRPr="00956141" w:rsidRDefault="00763786" w:rsidP="00C26476">
            <w:pPr>
              <w:jc w:val="center"/>
              <w:rPr>
                <w:sz w:val="20"/>
                <w:szCs w:val="20"/>
              </w:rPr>
            </w:pPr>
            <w:r w:rsidRPr="00956141">
              <w:rPr>
                <w:sz w:val="20"/>
                <w:szCs w:val="20"/>
              </w:rPr>
              <w:t xml:space="preserve">North West: </w:t>
            </w:r>
            <w:r w:rsidRPr="00956141">
              <w:rPr>
                <w:color w:val="FF0000"/>
                <w:sz w:val="20"/>
                <w:szCs w:val="20"/>
              </w:rPr>
              <w:t>0</w:t>
            </w:r>
          </w:p>
        </w:tc>
      </w:tr>
      <w:tr w:rsidR="00763786" w:rsidRPr="00FD02AE" w14:paraId="368BE218" w14:textId="77777777" w:rsidTr="00C26476">
        <w:trPr>
          <w:trHeight w:val="567"/>
        </w:trPr>
        <w:tc>
          <w:tcPr>
            <w:tcW w:w="1068" w:type="dxa"/>
            <w:vMerge w:val="restart"/>
            <w:vAlign w:val="center"/>
          </w:tcPr>
          <w:p w14:paraId="1D207008" w14:textId="77777777" w:rsidR="00763786" w:rsidRPr="00956141" w:rsidRDefault="00763786" w:rsidP="00C26476">
            <w:pPr>
              <w:jc w:val="center"/>
              <w:rPr>
                <w:b/>
                <w:sz w:val="20"/>
                <w:szCs w:val="20"/>
                <w:lang w:val="en-US"/>
              </w:rPr>
            </w:pPr>
            <w:r w:rsidRPr="00956141">
              <w:rPr>
                <w:b/>
                <w:sz w:val="20"/>
                <w:szCs w:val="20"/>
                <w:lang w:val="en-US"/>
              </w:rPr>
              <w:t>Single adults</w:t>
            </w:r>
          </w:p>
        </w:tc>
        <w:tc>
          <w:tcPr>
            <w:tcW w:w="1621" w:type="dxa"/>
            <w:vAlign w:val="center"/>
          </w:tcPr>
          <w:p w14:paraId="00769CAE" w14:textId="77777777" w:rsidR="00763786" w:rsidRPr="00956141" w:rsidRDefault="00763786" w:rsidP="00C26476">
            <w:pPr>
              <w:jc w:val="center"/>
              <w:rPr>
                <w:sz w:val="20"/>
                <w:szCs w:val="20"/>
                <w:lang w:val="en-US"/>
              </w:rPr>
            </w:pPr>
            <w:r w:rsidRPr="00956141">
              <w:rPr>
                <w:sz w:val="20"/>
                <w:szCs w:val="20"/>
                <w:lang w:val="en-US"/>
              </w:rPr>
              <w:t>Single</w:t>
            </w:r>
          </w:p>
        </w:tc>
        <w:tc>
          <w:tcPr>
            <w:tcW w:w="1745" w:type="dxa"/>
            <w:vAlign w:val="center"/>
          </w:tcPr>
          <w:p w14:paraId="61657469" w14:textId="77777777" w:rsidR="00763786" w:rsidRPr="00956141" w:rsidRDefault="00763786" w:rsidP="00C26476">
            <w:pPr>
              <w:jc w:val="center"/>
              <w:rPr>
                <w:sz w:val="20"/>
                <w:szCs w:val="20"/>
                <w:lang w:val="en-US"/>
              </w:rPr>
            </w:pPr>
            <w:r w:rsidRPr="00956141">
              <w:rPr>
                <w:sz w:val="20"/>
                <w:szCs w:val="20"/>
                <w:lang w:val="en-US"/>
              </w:rPr>
              <w:t>Jobseeker Payment</w:t>
            </w:r>
          </w:p>
        </w:tc>
        <w:tc>
          <w:tcPr>
            <w:tcW w:w="1134" w:type="dxa"/>
            <w:shd w:val="clear" w:color="auto" w:fill="FFFFFF" w:themeFill="background1"/>
            <w:vAlign w:val="center"/>
          </w:tcPr>
          <w:p w14:paraId="1DCB1803" w14:textId="77777777" w:rsidR="00763786" w:rsidRPr="00956141" w:rsidRDefault="00763786" w:rsidP="00C26476">
            <w:pPr>
              <w:jc w:val="center"/>
              <w:rPr>
                <w:sz w:val="28"/>
                <w:szCs w:val="28"/>
              </w:rPr>
            </w:pPr>
            <w:r w:rsidRPr="00956141">
              <w:rPr>
                <w:sz w:val="28"/>
                <w:szCs w:val="28"/>
              </w:rPr>
              <w:t>$136</w:t>
            </w:r>
          </w:p>
        </w:tc>
        <w:tc>
          <w:tcPr>
            <w:tcW w:w="1434" w:type="dxa"/>
            <w:shd w:val="clear" w:color="auto" w:fill="FFFFFF" w:themeFill="background1"/>
            <w:vAlign w:val="center"/>
          </w:tcPr>
          <w:p w14:paraId="1364F9EB" w14:textId="77777777" w:rsidR="00763786" w:rsidRPr="00956141" w:rsidRDefault="00763786" w:rsidP="00C26476">
            <w:pPr>
              <w:jc w:val="center"/>
              <w:rPr>
                <w:sz w:val="32"/>
                <w:szCs w:val="32"/>
              </w:rPr>
            </w:pPr>
            <w:r w:rsidRPr="00956141">
              <w:rPr>
                <w:color w:val="FF0000"/>
                <w:sz w:val="32"/>
                <w:szCs w:val="32"/>
              </w:rPr>
              <w:t>0</w:t>
            </w:r>
          </w:p>
        </w:tc>
        <w:tc>
          <w:tcPr>
            <w:tcW w:w="1475" w:type="dxa"/>
            <w:shd w:val="clear" w:color="auto" w:fill="FFFFFF" w:themeFill="background1"/>
            <w:vAlign w:val="center"/>
          </w:tcPr>
          <w:p w14:paraId="23D46325" w14:textId="77777777" w:rsidR="00763786" w:rsidRPr="00956141" w:rsidRDefault="00763786" w:rsidP="00C26476">
            <w:pPr>
              <w:jc w:val="center"/>
              <w:rPr>
                <w:color w:val="FF0000"/>
                <w:sz w:val="32"/>
                <w:szCs w:val="32"/>
              </w:rPr>
            </w:pPr>
            <w:r w:rsidRPr="00956141">
              <w:rPr>
                <w:color w:val="FF0000"/>
                <w:sz w:val="32"/>
                <w:szCs w:val="32"/>
              </w:rPr>
              <w:t>0%</w:t>
            </w:r>
          </w:p>
        </w:tc>
        <w:tc>
          <w:tcPr>
            <w:tcW w:w="1724" w:type="dxa"/>
            <w:shd w:val="clear" w:color="auto" w:fill="FFFFFF" w:themeFill="background1"/>
            <w:vAlign w:val="center"/>
          </w:tcPr>
          <w:p w14:paraId="25EC53D1"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76583670" w14:textId="77777777" w:rsidR="00763786" w:rsidRPr="00956141" w:rsidRDefault="00763786" w:rsidP="00C26476">
            <w:pPr>
              <w:jc w:val="center"/>
              <w:rPr>
                <w:sz w:val="20"/>
                <w:szCs w:val="20"/>
              </w:rPr>
            </w:pPr>
            <w:r w:rsidRPr="00956141">
              <w:rPr>
                <w:sz w:val="20"/>
                <w:szCs w:val="20"/>
              </w:rPr>
              <w:t xml:space="preserve">North: </w:t>
            </w:r>
            <w:r w:rsidRPr="00956141">
              <w:rPr>
                <w:color w:val="FF0000"/>
                <w:sz w:val="20"/>
                <w:szCs w:val="20"/>
              </w:rPr>
              <w:t>0</w:t>
            </w:r>
          </w:p>
          <w:p w14:paraId="312D6BC3" w14:textId="77777777" w:rsidR="00763786" w:rsidRPr="00956141" w:rsidRDefault="00763786" w:rsidP="00C26476">
            <w:pPr>
              <w:jc w:val="center"/>
              <w:rPr>
                <w:sz w:val="20"/>
                <w:szCs w:val="20"/>
              </w:rPr>
            </w:pPr>
            <w:r w:rsidRPr="00956141">
              <w:rPr>
                <w:sz w:val="20"/>
                <w:szCs w:val="20"/>
              </w:rPr>
              <w:t xml:space="preserve">North West: </w:t>
            </w:r>
            <w:r w:rsidRPr="00956141">
              <w:rPr>
                <w:color w:val="FF0000"/>
                <w:sz w:val="20"/>
                <w:szCs w:val="20"/>
              </w:rPr>
              <w:t>0</w:t>
            </w:r>
          </w:p>
        </w:tc>
      </w:tr>
      <w:tr w:rsidR="00763786" w:rsidRPr="00FD02AE" w14:paraId="65260547" w14:textId="77777777" w:rsidTr="00C26476">
        <w:trPr>
          <w:trHeight w:val="567"/>
        </w:trPr>
        <w:tc>
          <w:tcPr>
            <w:tcW w:w="1068" w:type="dxa"/>
            <w:vMerge/>
            <w:vAlign w:val="center"/>
          </w:tcPr>
          <w:p w14:paraId="2F6D8CC9" w14:textId="77777777" w:rsidR="00763786" w:rsidRPr="00956141" w:rsidRDefault="00763786" w:rsidP="00C26476">
            <w:pPr>
              <w:jc w:val="center"/>
              <w:rPr>
                <w:b/>
                <w:sz w:val="20"/>
                <w:szCs w:val="20"/>
                <w:lang w:val="en-US"/>
              </w:rPr>
            </w:pPr>
          </w:p>
        </w:tc>
        <w:tc>
          <w:tcPr>
            <w:tcW w:w="1621" w:type="dxa"/>
            <w:vAlign w:val="center"/>
          </w:tcPr>
          <w:p w14:paraId="18BEBB3C" w14:textId="77777777" w:rsidR="00763786" w:rsidRPr="00956141" w:rsidRDefault="00763786" w:rsidP="00C26476">
            <w:pPr>
              <w:jc w:val="center"/>
              <w:rPr>
                <w:sz w:val="20"/>
                <w:szCs w:val="20"/>
                <w:lang w:val="en-US"/>
              </w:rPr>
            </w:pPr>
            <w:r w:rsidRPr="00956141">
              <w:rPr>
                <w:sz w:val="20"/>
                <w:szCs w:val="20"/>
                <w:lang w:val="en-US"/>
              </w:rPr>
              <w:t>Single</w:t>
            </w:r>
          </w:p>
          <w:p w14:paraId="6821B9D2" w14:textId="77777777" w:rsidR="00763786" w:rsidRPr="00956141" w:rsidRDefault="00763786" w:rsidP="00C26476">
            <w:pPr>
              <w:jc w:val="center"/>
              <w:rPr>
                <w:sz w:val="20"/>
                <w:szCs w:val="20"/>
                <w:lang w:val="en-US"/>
              </w:rPr>
            </w:pPr>
            <w:r w:rsidRPr="00956141">
              <w:rPr>
                <w:sz w:val="20"/>
                <w:szCs w:val="20"/>
                <w:lang w:val="en-US"/>
              </w:rPr>
              <w:t>(21+)</w:t>
            </w:r>
          </w:p>
        </w:tc>
        <w:tc>
          <w:tcPr>
            <w:tcW w:w="1745" w:type="dxa"/>
            <w:vAlign w:val="center"/>
          </w:tcPr>
          <w:p w14:paraId="70E2A300" w14:textId="77777777" w:rsidR="00763786" w:rsidRPr="00956141" w:rsidRDefault="00763786" w:rsidP="00C26476">
            <w:pPr>
              <w:jc w:val="center"/>
              <w:rPr>
                <w:sz w:val="20"/>
                <w:szCs w:val="20"/>
                <w:lang w:val="en-US"/>
              </w:rPr>
            </w:pPr>
            <w:r w:rsidRPr="00956141">
              <w:rPr>
                <w:sz w:val="20"/>
                <w:szCs w:val="20"/>
                <w:lang w:val="en-US"/>
              </w:rPr>
              <w:t>Disability Support Pension</w:t>
            </w:r>
          </w:p>
        </w:tc>
        <w:tc>
          <w:tcPr>
            <w:tcW w:w="1134" w:type="dxa"/>
            <w:shd w:val="clear" w:color="auto" w:fill="FFFFFF" w:themeFill="background1"/>
            <w:vAlign w:val="center"/>
          </w:tcPr>
          <w:p w14:paraId="6A64E242" w14:textId="77777777" w:rsidR="00763786" w:rsidRPr="00956141" w:rsidRDefault="00763786" w:rsidP="00C26476">
            <w:pPr>
              <w:jc w:val="center"/>
              <w:rPr>
                <w:sz w:val="28"/>
                <w:szCs w:val="28"/>
              </w:rPr>
            </w:pPr>
            <w:r w:rsidRPr="00956141">
              <w:rPr>
                <w:sz w:val="28"/>
                <w:szCs w:val="28"/>
              </w:rPr>
              <w:t>$210</w:t>
            </w:r>
          </w:p>
        </w:tc>
        <w:tc>
          <w:tcPr>
            <w:tcW w:w="1434" w:type="dxa"/>
            <w:shd w:val="clear" w:color="auto" w:fill="FFFFFF" w:themeFill="background1"/>
            <w:vAlign w:val="center"/>
          </w:tcPr>
          <w:p w14:paraId="3B48F26A" w14:textId="77777777" w:rsidR="00763786" w:rsidRPr="00956141" w:rsidRDefault="00763786" w:rsidP="00C26476">
            <w:pPr>
              <w:jc w:val="center"/>
              <w:rPr>
                <w:sz w:val="32"/>
                <w:szCs w:val="32"/>
              </w:rPr>
            </w:pPr>
            <w:r w:rsidRPr="00956141">
              <w:rPr>
                <w:sz w:val="32"/>
                <w:szCs w:val="32"/>
              </w:rPr>
              <w:t>1</w:t>
            </w:r>
          </w:p>
        </w:tc>
        <w:tc>
          <w:tcPr>
            <w:tcW w:w="1475" w:type="dxa"/>
            <w:shd w:val="clear" w:color="auto" w:fill="FFFFFF" w:themeFill="background1"/>
            <w:vAlign w:val="center"/>
          </w:tcPr>
          <w:p w14:paraId="7888B0AF" w14:textId="77777777" w:rsidR="00763786" w:rsidRPr="00956141" w:rsidRDefault="00763786" w:rsidP="00C26476">
            <w:pPr>
              <w:jc w:val="center"/>
              <w:rPr>
                <w:color w:val="FF0000"/>
                <w:sz w:val="32"/>
                <w:szCs w:val="32"/>
              </w:rPr>
            </w:pPr>
            <w:r w:rsidRPr="00956141">
              <w:rPr>
                <w:color w:val="FF0000"/>
                <w:sz w:val="32"/>
                <w:szCs w:val="32"/>
              </w:rPr>
              <w:t>0%</w:t>
            </w:r>
          </w:p>
        </w:tc>
        <w:tc>
          <w:tcPr>
            <w:tcW w:w="1724" w:type="dxa"/>
            <w:shd w:val="clear" w:color="auto" w:fill="FFFFFF" w:themeFill="background1"/>
            <w:vAlign w:val="center"/>
          </w:tcPr>
          <w:p w14:paraId="2EEF2429"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274AF2AB" w14:textId="77777777" w:rsidR="00763786" w:rsidRPr="00956141" w:rsidRDefault="00763786" w:rsidP="00C26476">
            <w:pPr>
              <w:jc w:val="center"/>
              <w:rPr>
                <w:color w:val="FF0000"/>
                <w:sz w:val="20"/>
                <w:szCs w:val="20"/>
              </w:rPr>
            </w:pPr>
            <w:r w:rsidRPr="00956141">
              <w:rPr>
                <w:sz w:val="20"/>
                <w:szCs w:val="20"/>
              </w:rPr>
              <w:t xml:space="preserve">North: </w:t>
            </w:r>
            <w:r w:rsidRPr="00956141">
              <w:rPr>
                <w:color w:val="FF0000"/>
                <w:sz w:val="20"/>
                <w:szCs w:val="20"/>
              </w:rPr>
              <w:t>0</w:t>
            </w:r>
          </w:p>
          <w:p w14:paraId="014C3F53" w14:textId="77777777" w:rsidR="00763786" w:rsidRPr="00956141" w:rsidRDefault="00763786" w:rsidP="00C26476">
            <w:pPr>
              <w:jc w:val="center"/>
              <w:rPr>
                <w:sz w:val="20"/>
                <w:szCs w:val="20"/>
              </w:rPr>
            </w:pPr>
            <w:r w:rsidRPr="00956141">
              <w:rPr>
                <w:sz w:val="20"/>
                <w:szCs w:val="20"/>
              </w:rPr>
              <w:t>North West: 1</w:t>
            </w:r>
          </w:p>
        </w:tc>
      </w:tr>
      <w:tr w:rsidR="00763786" w:rsidRPr="00FD02AE" w14:paraId="2A5B62BE" w14:textId="77777777" w:rsidTr="00C26476">
        <w:trPr>
          <w:trHeight w:val="567"/>
        </w:trPr>
        <w:tc>
          <w:tcPr>
            <w:tcW w:w="1068" w:type="dxa"/>
            <w:vMerge/>
            <w:vAlign w:val="center"/>
          </w:tcPr>
          <w:p w14:paraId="7EA5627C" w14:textId="77777777" w:rsidR="00763786" w:rsidRPr="00956141" w:rsidRDefault="00763786" w:rsidP="00C26476">
            <w:pPr>
              <w:jc w:val="center"/>
              <w:rPr>
                <w:b/>
                <w:sz w:val="20"/>
                <w:szCs w:val="20"/>
                <w:lang w:val="en-US"/>
              </w:rPr>
            </w:pPr>
          </w:p>
        </w:tc>
        <w:tc>
          <w:tcPr>
            <w:tcW w:w="1621" w:type="dxa"/>
            <w:vAlign w:val="center"/>
          </w:tcPr>
          <w:p w14:paraId="29C037B8" w14:textId="77777777" w:rsidR="00763786" w:rsidRPr="00956141" w:rsidRDefault="00763786" w:rsidP="00C26476">
            <w:pPr>
              <w:jc w:val="center"/>
              <w:rPr>
                <w:sz w:val="20"/>
                <w:szCs w:val="20"/>
                <w:lang w:val="en-US"/>
              </w:rPr>
            </w:pPr>
            <w:r w:rsidRPr="00956141">
              <w:rPr>
                <w:sz w:val="20"/>
                <w:szCs w:val="20"/>
                <w:lang w:val="en-US"/>
              </w:rPr>
              <w:t>Single</w:t>
            </w:r>
          </w:p>
        </w:tc>
        <w:tc>
          <w:tcPr>
            <w:tcW w:w="1745" w:type="dxa"/>
            <w:vAlign w:val="center"/>
          </w:tcPr>
          <w:p w14:paraId="4E264D4F" w14:textId="77777777" w:rsidR="00763786" w:rsidRPr="00956141" w:rsidRDefault="00763786" w:rsidP="00C26476">
            <w:pPr>
              <w:jc w:val="center"/>
              <w:rPr>
                <w:sz w:val="20"/>
                <w:szCs w:val="20"/>
                <w:lang w:val="en-US"/>
              </w:rPr>
            </w:pPr>
            <w:r w:rsidRPr="00956141">
              <w:rPr>
                <w:sz w:val="20"/>
                <w:szCs w:val="20"/>
                <w:lang w:val="en-US"/>
              </w:rPr>
              <w:t>Minimum wage</w:t>
            </w:r>
          </w:p>
        </w:tc>
        <w:tc>
          <w:tcPr>
            <w:tcW w:w="1134" w:type="dxa"/>
            <w:shd w:val="clear" w:color="auto" w:fill="FFFFFF" w:themeFill="background1"/>
            <w:vAlign w:val="center"/>
          </w:tcPr>
          <w:p w14:paraId="32478EC4" w14:textId="77777777" w:rsidR="00763786" w:rsidRPr="00956141" w:rsidRDefault="00763786" w:rsidP="00C26476">
            <w:pPr>
              <w:jc w:val="center"/>
              <w:rPr>
                <w:sz w:val="28"/>
                <w:szCs w:val="28"/>
              </w:rPr>
            </w:pPr>
            <w:r w:rsidRPr="00956141">
              <w:rPr>
                <w:sz w:val="28"/>
                <w:szCs w:val="28"/>
              </w:rPr>
              <w:t>$246</w:t>
            </w:r>
          </w:p>
        </w:tc>
        <w:tc>
          <w:tcPr>
            <w:tcW w:w="1434" w:type="dxa"/>
            <w:shd w:val="clear" w:color="auto" w:fill="FFFFFF" w:themeFill="background1"/>
            <w:vAlign w:val="center"/>
          </w:tcPr>
          <w:p w14:paraId="7E3CB2A4" w14:textId="77777777" w:rsidR="00763786" w:rsidRPr="00956141" w:rsidRDefault="00763786" w:rsidP="00C26476">
            <w:pPr>
              <w:jc w:val="center"/>
              <w:rPr>
                <w:sz w:val="32"/>
                <w:szCs w:val="32"/>
              </w:rPr>
            </w:pPr>
            <w:r w:rsidRPr="00956141">
              <w:rPr>
                <w:sz w:val="32"/>
                <w:szCs w:val="32"/>
              </w:rPr>
              <w:t>60</w:t>
            </w:r>
          </w:p>
        </w:tc>
        <w:tc>
          <w:tcPr>
            <w:tcW w:w="1475" w:type="dxa"/>
            <w:shd w:val="clear" w:color="auto" w:fill="FFFFFF" w:themeFill="background1"/>
            <w:vAlign w:val="center"/>
          </w:tcPr>
          <w:p w14:paraId="799E3BAE" w14:textId="77777777" w:rsidR="00763786" w:rsidRPr="00956141" w:rsidRDefault="00763786" w:rsidP="00C26476">
            <w:pPr>
              <w:jc w:val="center"/>
              <w:rPr>
                <w:sz w:val="32"/>
                <w:szCs w:val="32"/>
              </w:rPr>
            </w:pPr>
            <w:r w:rsidRPr="00956141">
              <w:rPr>
                <w:sz w:val="32"/>
                <w:szCs w:val="32"/>
              </w:rPr>
              <w:t>8%</w:t>
            </w:r>
          </w:p>
        </w:tc>
        <w:tc>
          <w:tcPr>
            <w:tcW w:w="1724" w:type="dxa"/>
            <w:shd w:val="clear" w:color="auto" w:fill="FFFFFF" w:themeFill="background1"/>
            <w:vAlign w:val="center"/>
          </w:tcPr>
          <w:p w14:paraId="46647706" w14:textId="77777777" w:rsidR="00763786" w:rsidRPr="00956141" w:rsidRDefault="00763786" w:rsidP="00C26476">
            <w:pPr>
              <w:jc w:val="center"/>
              <w:rPr>
                <w:sz w:val="20"/>
                <w:szCs w:val="20"/>
              </w:rPr>
            </w:pPr>
            <w:r w:rsidRPr="00956141">
              <w:rPr>
                <w:sz w:val="20"/>
                <w:szCs w:val="20"/>
              </w:rPr>
              <w:t>South: 35</w:t>
            </w:r>
          </w:p>
          <w:p w14:paraId="173701EA" w14:textId="77777777" w:rsidR="00763786" w:rsidRPr="00956141" w:rsidRDefault="00763786" w:rsidP="00C26476">
            <w:pPr>
              <w:jc w:val="center"/>
              <w:rPr>
                <w:sz w:val="20"/>
                <w:szCs w:val="20"/>
              </w:rPr>
            </w:pPr>
            <w:r w:rsidRPr="00956141">
              <w:rPr>
                <w:sz w:val="20"/>
                <w:szCs w:val="20"/>
              </w:rPr>
              <w:t>North: 19</w:t>
            </w:r>
          </w:p>
          <w:p w14:paraId="34513497" w14:textId="77777777" w:rsidR="00763786" w:rsidRPr="00956141" w:rsidRDefault="00763786" w:rsidP="00C26476">
            <w:pPr>
              <w:jc w:val="center"/>
              <w:rPr>
                <w:sz w:val="20"/>
                <w:szCs w:val="20"/>
              </w:rPr>
            </w:pPr>
            <w:r w:rsidRPr="00956141">
              <w:rPr>
                <w:sz w:val="20"/>
                <w:szCs w:val="20"/>
              </w:rPr>
              <w:t>North West: 6</w:t>
            </w:r>
          </w:p>
        </w:tc>
      </w:tr>
      <w:tr w:rsidR="00763786" w:rsidRPr="00FD02AE" w14:paraId="15EFC84F" w14:textId="77777777" w:rsidTr="00C26476">
        <w:trPr>
          <w:trHeight w:val="567"/>
        </w:trPr>
        <w:tc>
          <w:tcPr>
            <w:tcW w:w="1068" w:type="dxa"/>
            <w:vMerge w:val="restart"/>
            <w:vAlign w:val="center"/>
          </w:tcPr>
          <w:p w14:paraId="0EE7DD5B" w14:textId="77777777" w:rsidR="00763786" w:rsidRPr="00956141" w:rsidRDefault="00763786" w:rsidP="00C26476">
            <w:pPr>
              <w:jc w:val="center"/>
              <w:rPr>
                <w:b/>
                <w:sz w:val="20"/>
                <w:szCs w:val="20"/>
                <w:lang w:val="en-US"/>
              </w:rPr>
            </w:pPr>
            <w:r w:rsidRPr="00956141">
              <w:rPr>
                <w:b/>
                <w:sz w:val="20"/>
                <w:szCs w:val="20"/>
                <w:lang w:val="en-US"/>
              </w:rPr>
              <w:t>Older people</w:t>
            </w:r>
          </w:p>
        </w:tc>
        <w:tc>
          <w:tcPr>
            <w:tcW w:w="1621" w:type="dxa"/>
            <w:vAlign w:val="center"/>
          </w:tcPr>
          <w:p w14:paraId="7023A6BA" w14:textId="77777777" w:rsidR="00763786" w:rsidRPr="00956141" w:rsidRDefault="00763786" w:rsidP="00C26476">
            <w:pPr>
              <w:jc w:val="center"/>
              <w:rPr>
                <w:sz w:val="20"/>
                <w:szCs w:val="20"/>
                <w:lang w:val="en-US"/>
              </w:rPr>
            </w:pPr>
            <w:r w:rsidRPr="00956141">
              <w:rPr>
                <w:sz w:val="20"/>
                <w:szCs w:val="20"/>
                <w:lang w:val="en-US"/>
              </w:rPr>
              <w:t>Single</w:t>
            </w:r>
          </w:p>
        </w:tc>
        <w:tc>
          <w:tcPr>
            <w:tcW w:w="1745" w:type="dxa"/>
            <w:vAlign w:val="center"/>
          </w:tcPr>
          <w:p w14:paraId="22C01007" w14:textId="77777777" w:rsidR="00763786" w:rsidRPr="00956141" w:rsidRDefault="00763786" w:rsidP="00C26476">
            <w:pPr>
              <w:jc w:val="center"/>
              <w:rPr>
                <w:sz w:val="20"/>
                <w:szCs w:val="20"/>
                <w:lang w:val="en-US"/>
              </w:rPr>
            </w:pPr>
            <w:r w:rsidRPr="00956141">
              <w:rPr>
                <w:sz w:val="20"/>
                <w:szCs w:val="20"/>
                <w:lang w:val="en-US"/>
              </w:rPr>
              <w:t>Age Pension</w:t>
            </w:r>
          </w:p>
        </w:tc>
        <w:tc>
          <w:tcPr>
            <w:tcW w:w="1134" w:type="dxa"/>
            <w:shd w:val="clear" w:color="auto" w:fill="FFFFFF" w:themeFill="background1"/>
            <w:vAlign w:val="center"/>
          </w:tcPr>
          <w:p w14:paraId="0211347D" w14:textId="77777777" w:rsidR="00763786" w:rsidRPr="00956141" w:rsidRDefault="00763786" w:rsidP="00C26476">
            <w:pPr>
              <w:jc w:val="center"/>
              <w:rPr>
                <w:sz w:val="28"/>
                <w:szCs w:val="28"/>
              </w:rPr>
            </w:pPr>
            <w:r w:rsidRPr="00956141">
              <w:rPr>
                <w:sz w:val="28"/>
                <w:szCs w:val="28"/>
              </w:rPr>
              <w:t>$210</w:t>
            </w:r>
          </w:p>
        </w:tc>
        <w:tc>
          <w:tcPr>
            <w:tcW w:w="1434" w:type="dxa"/>
            <w:shd w:val="clear" w:color="auto" w:fill="FFFFFF" w:themeFill="background1"/>
            <w:vAlign w:val="center"/>
          </w:tcPr>
          <w:p w14:paraId="691743C0" w14:textId="77777777" w:rsidR="00763786" w:rsidRPr="00956141" w:rsidRDefault="00763786" w:rsidP="00C26476">
            <w:pPr>
              <w:jc w:val="center"/>
              <w:rPr>
                <w:sz w:val="32"/>
                <w:szCs w:val="32"/>
              </w:rPr>
            </w:pPr>
            <w:r w:rsidRPr="00956141">
              <w:rPr>
                <w:sz w:val="32"/>
                <w:szCs w:val="32"/>
              </w:rPr>
              <w:t>25</w:t>
            </w:r>
          </w:p>
        </w:tc>
        <w:tc>
          <w:tcPr>
            <w:tcW w:w="1475" w:type="dxa"/>
            <w:shd w:val="clear" w:color="auto" w:fill="FFFFFF" w:themeFill="background1"/>
            <w:vAlign w:val="center"/>
          </w:tcPr>
          <w:p w14:paraId="3C8EFA43" w14:textId="77777777" w:rsidR="00763786" w:rsidRPr="00956141" w:rsidRDefault="00763786" w:rsidP="00C26476">
            <w:pPr>
              <w:jc w:val="center"/>
              <w:rPr>
                <w:sz w:val="32"/>
                <w:szCs w:val="32"/>
              </w:rPr>
            </w:pPr>
            <w:r w:rsidRPr="00956141">
              <w:rPr>
                <w:sz w:val="32"/>
                <w:szCs w:val="32"/>
              </w:rPr>
              <w:t>3%</w:t>
            </w:r>
          </w:p>
        </w:tc>
        <w:tc>
          <w:tcPr>
            <w:tcW w:w="1724" w:type="dxa"/>
            <w:shd w:val="clear" w:color="auto" w:fill="FFFFFF" w:themeFill="background1"/>
            <w:vAlign w:val="center"/>
          </w:tcPr>
          <w:p w14:paraId="5423C131" w14:textId="77777777" w:rsidR="00763786" w:rsidRPr="00956141" w:rsidRDefault="00763786" w:rsidP="00C26476">
            <w:pPr>
              <w:jc w:val="center"/>
              <w:rPr>
                <w:sz w:val="20"/>
                <w:szCs w:val="20"/>
              </w:rPr>
            </w:pPr>
            <w:r w:rsidRPr="00956141">
              <w:rPr>
                <w:sz w:val="20"/>
                <w:szCs w:val="20"/>
              </w:rPr>
              <w:t>South: 14</w:t>
            </w:r>
          </w:p>
          <w:p w14:paraId="7AB7615E" w14:textId="77777777" w:rsidR="00763786" w:rsidRPr="00956141" w:rsidRDefault="00763786" w:rsidP="00C26476">
            <w:pPr>
              <w:jc w:val="center"/>
              <w:rPr>
                <w:sz w:val="20"/>
                <w:szCs w:val="20"/>
              </w:rPr>
            </w:pPr>
            <w:r w:rsidRPr="00956141">
              <w:rPr>
                <w:sz w:val="20"/>
                <w:szCs w:val="20"/>
              </w:rPr>
              <w:t>North: 7</w:t>
            </w:r>
          </w:p>
          <w:p w14:paraId="681F5AEB" w14:textId="77777777" w:rsidR="00763786" w:rsidRPr="00956141" w:rsidRDefault="00763786" w:rsidP="00C26476">
            <w:pPr>
              <w:jc w:val="center"/>
              <w:rPr>
                <w:sz w:val="20"/>
                <w:szCs w:val="20"/>
              </w:rPr>
            </w:pPr>
            <w:r w:rsidRPr="00956141">
              <w:rPr>
                <w:sz w:val="20"/>
                <w:szCs w:val="20"/>
              </w:rPr>
              <w:t>North West: 4</w:t>
            </w:r>
          </w:p>
        </w:tc>
      </w:tr>
      <w:tr w:rsidR="00763786" w:rsidRPr="00FD02AE" w14:paraId="71C9E861" w14:textId="77777777" w:rsidTr="00C26476">
        <w:trPr>
          <w:trHeight w:val="567"/>
        </w:trPr>
        <w:tc>
          <w:tcPr>
            <w:tcW w:w="1068" w:type="dxa"/>
            <w:vMerge/>
            <w:vAlign w:val="center"/>
          </w:tcPr>
          <w:p w14:paraId="2AE4377F" w14:textId="77777777" w:rsidR="00763786" w:rsidRPr="00956141" w:rsidRDefault="00763786" w:rsidP="00C26476">
            <w:pPr>
              <w:jc w:val="center"/>
              <w:rPr>
                <w:b/>
                <w:sz w:val="20"/>
                <w:szCs w:val="20"/>
                <w:lang w:val="en-US"/>
              </w:rPr>
            </w:pPr>
          </w:p>
        </w:tc>
        <w:tc>
          <w:tcPr>
            <w:tcW w:w="1621" w:type="dxa"/>
            <w:vAlign w:val="center"/>
          </w:tcPr>
          <w:p w14:paraId="1031D0D7" w14:textId="77777777" w:rsidR="00763786" w:rsidRPr="00956141" w:rsidRDefault="00763786" w:rsidP="00C26476">
            <w:pPr>
              <w:jc w:val="center"/>
              <w:rPr>
                <w:sz w:val="20"/>
                <w:szCs w:val="20"/>
                <w:lang w:val="en-US"/>
              </w:rPr>
            </w:pPr>
            <w:r w:rsidRPr="00956141">
              <w:rPr>
                <w:sz w:val="20"/>
                <w:szCs w:val="20"/>
                <w:lang w:val="en-US"/>
              </w:rPr>
              <w:t>Couple</w:t>
            </w:r>
          </w:p>
          <w:p w14:paraId="62258971" w14:textId="77777777" w:rsidR="00763786" w:rsidRPr="00956141" w:rsidRDefault="00763786" w:rsidP="00C26476">
            <w:pPr>
              <w:jc w:val="center"/>
              <w:rPr>
                <w:sz w:val="20"/>
                <w:szCs w:val="20"/>
                <w:lang w:val="en-US"/>
              </w:rPr>
            </w:pPr>
            <w:r w:rsidRPr="00956141">
              <w:rPr>
                <w:sz w:val="20"/>
                <w:szCs w:val="20"/>
                <w:lang w:val="en-US"/>
              </w:rPr>
              <w:t>(no children)</w:t>
            </w:r>
          </w:p>
        </w:tc>
        <w:tc>
          <w:tcPr>
            <w:tcW w:w="1745" w:type="dxa"/>
            <w:vAlign w:val="center"/>
          </w:tcPr>
          <w:p w14:paraId="55169CE0" w14:textId="77777777" w:rsidR="00763786" w:rsidRPr="00956141" w:rsidRDefault="00763786" w:rsidP="00C26476">
            <w:pPr>
              <w:jc w:val="center"/>
              <w:rPr>
                <w:sz w:val="20"/>
                <w:szCs w:val="20"/>
                <w:lang w:val="en-US"/>
              </w:rPr>
            </w:pPr>
            <w:r w:rsidRPr="00956141">
              <w:rPr>
                <w:sz w:val="20"/>
                <w:szCs w:val="20"/>
                <w:lang w:val="en-US"/>
              </w:rPr>
              <w:t>Age Pension</w:t>
            </w:r>
          </w:p>
        </w:tc>
        <w:tc>
          <w:tcPr>
            <w:tcW w:w="1134" w:type="dxa"/>
            <w:shd w:val="clear" w:color="auto" w:fill="FFFFFF" w:themeFill="background1"/>
            <w:vAlign w:val="center"/>
          </w:tcPr>
          <w:p w14:paraId="436A0306" w14:textId="77777777" w:rsidR="00763786" w:rsidRPr="00956141" w:rsidRDefault="00763786" w:rsidP="00C26476">
            <w:pPr>
              <w:jc w:val="center"/>
              <w:rPr>
                <w:sz w:val="28"/>
                <w:szCs w:val="28"/>
              </w:rPr>
            </w:pPr>
            <w:r w:rsidRPr="00956141">
              <w:rPr>
                <w:sz w:val="28"/>
                <w:szCs w:val="28"/>
              </w:rPr>
              <w:t>$303</w:t>
            </w:r>
          </w:p>
        </w:tc>
        <w:tc>
          <w:tcPr>
            <w:tcW w:w="1434" w:type="dxa"/>
            <w:shd w:val="clear" w:color="auto" w:fill="FFFFFF" w:themeFill="background1"/>
            <w:vAlign w:val="center"/>
          </w:tcPr>
          <w:p w14:paraId="5502C99B" w14:textId="77777777" w:rsidR="00763786" w:rsidRPr="00956141" w:rsidRDefault="00763786" w:rsidP="00C26476">
            <w:pPr>
              <w:jc w:val="center"/>
              <w:rPr>
                <w:sz w:val="32"/>
                <w:szCs w:val="32"/>
              </w:rPr>
            </w:pPr>
            <w:r w:rsidRPr="00956141">
              <w:rPr>
                <w:sz w:val="32"/>
                <w:szCs w:val="32"/>
              </w:rPr>
              <w:t>18</w:t>
            </w:r>
          </w:p>
        </w:tc>
        <w:tc>
          <w:tcPr>
            <w:tcW w:w="1475" w:type="dxa"/>
            <w:shd w:val="clear" w:color="auto" w:fill="FFFFFF" w:themeFill="background1"/>
            <w:vAlign w:val="center"/>
          </w:tcPr>
          <w:p w14:paraId="66FD23A3" w14:textId="77777777" w:rsidR="00763786" w:rsidRPr="00956141" w:rsidRDefault="00763786" w:rsidP="00C26476">
            <w:pPr>
              <w:jc w:val="center"/>
              <w:rPr>
                <w:sz w:val="32"/>
                <w:szCs w:val="32"/>
              </w:rPr>
            </w:pPr>
            <w:r w:rsidRPr="00956141">
              <w:rPr>
                <w:sz w:val="32"/>
                <w:szCs w:val="32"/>
              </w:rPr>
              <w:t>2%</w:t>
            </w:r>
          </w:p>
        </w:tc>
        <w:tc>
          <w:tcPr>
            <w:tcW w:w="1724" w:type="dxa"/>
            <w:shd w:val="clear" w:color="auto" w:fill="FFFFFF" w:themeFill="background1"/>
            <w:vAlign w:val="center"/>
          </w:tcPr>
          <w:p w14:paraId="184D0660"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5DFA4267" w14:textId="77777777" w:rsidR="00763786" w:rsidRPr="00956141" w:rsidRDefault="00763786" w:rsidP="00C26476">
            <w:pPr>
              <w:jc w:val="center"/>
              <w:rPr>
                <w:sz w:val="20"/>
                <w:szCs w:val="20"/>
              </w:rPr>
            </w:pPr>
            <w:r w:rsidRPr="00956141">
              <w:rPr>
                <w:sz w:val="20"/>
                <w:szCs w:val="20"/>
              </w:rPr>
              <w:t>North: 9</w:t>
            </w:r>
          </w:p>
          <w:p w14:paraId="64D245BA" w14:textId="77777777" w:rsidR="00763786" w:rsidRPr="00956141" w:rsidRDefault="00763786" w:rsidP="00C26476">
            <w:pPr>
              <w:jc w:val="center"/>
              <w:rPr>
                <w:sz w:val="20"/>
                <w:szCs w:val="20"/>
              </w:rPr>
            </w:pPr>
            <w:r w:rsidRPr="00956141">
              <w:rPr>
                <w:sz w:val="20"/>
                <w:szCs w:val="20"/>
              </w:rPr>
              <w:t>North West: 9</w:t>
            </w:r>
          </w:p>
        </w:tc>
      </w:tr>
      <w:tr w:rsidR="00763786" w:rsidRPr="00FD02AE" w14:paraId="1B910504" w14:textId="77777777" w:rsidTr="00C26476">
        <w:trPr>
          <w:trHeight w:val="567"/>
        </w:trPr>
        <w:tc>
          <w:tcPr>
            <w:tcW w:w="1068" w:type="dxa"/>
            <w:vMerge w:val="restart"/>
            <w:vAlign w:val="center"/>
          </w:tcPr>
          <w:p w14:paraId="69E4BC15" w14:textId="77777777" w:rsidR="00763786" w:rsidRPr="00956141" w:rsidRDefault="00763786" w:rsidP="00C26476">
            <w:pPr>
              <w:jc w:val="center"/>
              <w:rPr>
                <w:b/>
                <w:sz w:val="20"/>
                <w:szCs w:val="20"/>
                <w:lang w:val="en-US"/>
              </w:rPr>
            </w:pPr>
            <w:r w:rsidRPr="00956141">
              <w:rPr>
                <w:b/>
                <w:sz w:val="20"/>
                <w:szCs w:val="20"/>
                <w:lang w:val="en-US"/>
              </w:rPr>
              <w:t>Single parents</w:t>
            </w:r>
          </w:p>
        </w:tc>
        <w:tc>
          <w:tcPr>
            <w:tcW w:w="1621" w:type="dxa"/>
            <w:vAlign w:val="center"/>
          </w:tcPr>
          <w:p w14:paraId="071072BC" w14:textId="77777777" w:rsidR="00763786" w:rsidRPr="00956141" w:rsidRDefault="00763786" w:rsidP="00C26476">
            <w:pPr>
              <w:jc w:val="center"/>
              <w:rPr>
                <w:sz w:val="20"/>
                <w:szCs w:val="20"/>
                <w:lang w:val="en-US"/>
              </w:rPr>
            </w:pPr>
            <w:r w:rsidRPr="00956141">
              <w:rPr>
                <w:sz w:val="20"/>
                <w:szCs w:val="20"/>
                <w:lang w:val="en-US"/>
              </w:rPr>
              <w:t>Single, one child</w:t>
            </w:r>
          </w:p>
          <w:p w14:paraId="1D0E4880" w14:textId="77777777" w:rsidR="00763786" w:rsidRPr="00956141" w:rsidRDefault="00763786" w:rsidP="00C26476">
            <w:pPr>
              <w:jc w:val="center"/>
              <w:rPr>
                <w:sz w:val="20"/>
                <w:szCs w:val="20"/>
                <w:lang w:val="en-US"/>
              </w:rPr>
            </w:pPr>
            <w:r w:rsidRPr="00956141">
              <w:rPr>
                <w:sz w:val="20"/>
                <w:szCs w:val="20"/>
                <w:lang w:val="en-US"/>
              </w:rPr>
              <w:t>(14+)</w:t>
            </w:r>
          </w:p>
        </w:tc>
        <w:tc>
          <w:tcPr>
            <w:tcW w:w="1745" w:type="dxa"/>
            <w:vAlign w:val="center"/>
          </w:tcPr>
          <w:p w14:paraId="480024CD" w14:textId="77777777" w:rsidR="00763786" w:rsidRPr="00956141" w:rsidRDefault="00763786" w:rsidP="00C26476">
            <w:pPr>
              <w:jc w:val="center"/>
              <w:rPr>
                <w:sz w:val="20"/>
                <w:szCs w:val="20"/>
                <w:lang w:val="en-US"/>
              </w:rPr>
            </w:pPr>
            <w:r w:rsidRPr="00956141">
              <w:rPr>
                <w:sz w:val="20"/>
                <w:szCs w:val="20"/>
                <w:lang w:val="en-US"/>
              </w:rPr>
              <w:t>Jobseeker Payment</w:t>
            </w:r>
          </w:p>
        </w:tc>
        <w:tc>
          <w:tcPr>
            <w:tcW w:w="1134" w:type="dxa"/>
            <w:shd w:val="clear" w:color="auto" w:fill="FFFFFF" w:themeFill="background1"/>
            <w:vAlign w:val="center"/>
          </w:tcPr>
          <w:p w14:paraId="6F380905" w14:textId="77777777" w:rsidR="00763786" w:rsidRPr="00956141" w:rsidRDefault="00763786" w:rsidP="00C26476">
            <w:pPr>
              <w:jc w:val="center"/>
              <w:rPr>
                <w:sz w:val="28"/>
                <w:szCs w:val="28"/>
              </w:rPr>
            </w:pPr>
            <w:r w:rsidRPr="00956141">
              <w:rPr>
                <w:sz w:val="28"/>
                <w:szCs w:val="28"/>
              </w:rPr>
              <w:t>$225</w:t>
            </w:r>
          </w:p>
        </w:tc>
        <w:tc>
          <w:tcPr>
            <w:tcW w:w="1434" w:type="dxa"/>
            <w:shd w:val="clear" w:color="auto" w:fill="FFFFFF" w:themeFill="background1"/>
            <w:vAlign w:val="center"/>
          </w:tcPr>
          <w:p w14:paraId="53BEE613" w14:textId="77777777" w:rsidR="00763786" w:rsidRPr="00956141" w:rsidRDefault="00763786" w:rsidP="00C26476">
            <w:pPr>
              <w:jc w:val="center"/>
              <w:rPr>
                <w:color w:val="FF0000"/>
                <w:sz w:val="32"/>
                <w:szCs w:val="32"/>
              </w:rPr>
            </w:pPr>
            <w:r w:rsidRPr="00956141">
              <w:rPr>
                <w:sz w:val="32"/>
                <w:szCs w:val="32"/>
              </w:rPr>
              <w:t>1</w:t>
            </w:r>
          </w:p>
        </w:tc>
        <w:tc>
          <w:tcPr>
            <w:tcW w:w="1475" w:type="dxa"/>
            <w:shd w:val="clear" w:color="auto" w:fill="FFFFFF" w:themeFill="background1"/>
            <w:vAlign w:val="center"/>
          </w:tcPr>
          <w:p w14:paraId="5D8D380C" w14:textId="77777777" w:rsidR="00763786" w:rsidRPr="00956141" w:rsidRDefault="00763786" w:rsidP="00C26476">
            <w:pPr>
              <w:jc w:val="center"/>
              <w:rPr>
                <w:color w:val="FF0000"/>
                <w:sz w:val="32"/>
                <w:szCs w:val="32"/>
              </w:rPr>
            </w:pPr>
            <w:r w:rsidRPr="00956141">
              <w:rPr>
                <w:color w:val="FF0000"/>
                <w:sz w:val="32"/>
                <w:szCs w:val="32"/>
              </w:rPr>
              <w:t>0%</w:t>
            </w:r>
          </w:p>
        </w:tc>
        <w:tc>
          <w:tcPr>
            <w:tcW w:w="1724" w:type="dxa"/>
            <w:shd w:val="clear" w:color="auto" w:fill="FFFFFF" w:themeFill="background1"/>
            <w:vAlign w:val="center"/>
          </w:tcPr>
          <w:p w14:paraId="0DAC19B3"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1E62ACBD" w14:textId="77777777" w:rsidR="00763786" w:rsidRPr="00956141" w:rsidRDefault="00763786" w:rsidP="00C26476">
            <w:pPr>
              <w:jc w:val="center"/>
              <w:rPr>
                <w:sz w:val="20"/>
                <w:szCs w:val="20"/>
              </w:rPr>
            </w:pPr>
            <w:r w:rsidRPr="00956141">
              <w:rPr>
                <w:sz w:val="20"/>
                <w:szCs w:val="20"/>
              </w:rPr>
              <w:t xml:space="preserve">North: </w:t>
            </w:r>
            <w:r w:rsidRPr="00956141">
              <w:rPr>
                <w:color w:val="FF0000"/>
                <w:sz w:val="20"/>
                <w:szCs w:val="20"/>
              </w:rPr>
              <w:t>0</w:t>
            </w:r>
          </w:p>
          <w:p w14:paraId="4A8997CA" w14:textId="77777777" w:rsidR="00763786" w:rsidRPr="00956141" w:rsidRDefault="00763786" w:rsidP="00C26476">
            <w:pPr>
              <w:jc w:val="center"/>
              <w:rPr>
                <w:sz w:val="20"/>
                <w:szCs w:val="20"/>
              </w:rPr>
            </w:pPr>
            <w:r w:rsidRPr="00956141">
              <w:rPr>
                <w:sz w:val="20"/>
                <w:szCs w:val="20"/>
              </w:rPr>
              <w:t>North West: 1</w:t>
            </w:r>
          </w:p>
        </w:tc>
      </w:tr>
      <w:tr w:rsidR="00763786" w:rsidRPr="00FD02AE" w14:paraId="6D06FADB" w14:textId="77777777" w:rsidTr="00C26476">
        <w:trPr>
          <w:trHeight w:val="567"/>
        </w:trPr>
        <w:tc>
          <w:tcPr>
            <w:tcW w:w="1068" w:type="dxa"/>
            <w:vMerge/>
            <w:vAlign w:val="center"/>
          </w:tcPr>
          <w:p w14:paraId="257A1BC2" w14:textId="77777777" w:rsidR="00763786" w:rsidRPr="00956141" w:rsidRDefault="00763786" w:rsidP="00C26476">
            <w:pPr>
              <w:jc w:val="center"/>
              <w:rPr>
                <w:b/>
                <w:sz w:val="20"/>
                <w:szCs w:val="20"/>
                <w:lang w:val="en-US"/>
              </w:rPr>
            </w:pPr>
          </w:p>
        </w:tc>
        <w:tc>
          <w:tcPr>
            <w:tcW w:w="1621" w:type="dxa"/>
            <w:vAlign w:val="center"/>
          </w:tcPr>
          <w:p w14:paraId="5887A8E2" w14:textId="77777777" w:rsidR="00763786" w:rsidRPr="00956141" w:rsidRDefault="00763786" w:rsidP="00C26476">
            <w:pPr>
              <w:jc w:val="center"/>
              <w:rPr>
                <w:sz w:val="20"/>
                <w:szCs w:val="20"/>
                <w:lang w:val="en-US"/>
              </w:rPr>
            </w:pPr>
            <w:r w:rsidRPr="00956141">
              <w:rPr>
                <w:sz w:val="20"/>
                <w:szCs w:val="20"/>
                <w:lang w:val="en-US"/>
              </w:rPr>
              <w:t>Single, one child</w:t>
            </w:r>
          </w:p>
          <w:p w14:paraId="6766C3E9" w14:textId="77777777" w:rsidR="00763786" w:rsidRPr="00956141" w:rsidRDefault="00763786" w:rsidP="00C26476">
            <w:pPr>
              <w:jc w:val="center"/>
              <w:rPr>
                <w:sz w:val="20"/>
                <w:szCs w:val="20"/>
                <w:lang w:val="en-US"/>
              </w:rPr>
            </w:pPr>
            <w:r w:rsidRPr="00956141">
              <w:rPr>
                <w:sz w:val="20"/>
                <w:szCs w:val="20"/>
                <w:lang w:val="en-US"/>
              </w:rPr>
              <w:t>(&lt;5)</w:t>
            </w:r>
          </w:p>
        </w:tc>
        <w:tc>
          <w:tcPr>
            <w:tcW w:w="1745" w:type="dxa"/>
            <w:vAlign w:val="center"/>
          </w:tcPr>
          <w:p w14:paraId="6C76AB5E" w14:textId="77777777" w:rsidR="00763786" w:rsidRPr="00956141" w:rsidRDefault="00763786" w:rsidP="00C26476">
            <w:pPr>
              <w:jc w:val="center"/>
              <w:rPr>
                <w:sz w:val="20"/>
                <w:szCs w:val="20"/>
                <w:lang w:val="en-US"/>
              </w:rPr>
            </w:pPr>
            <w:r w:rsidRPr="00956141">
              <w:rPr>
                <w:sz w:val="20"/>
                <w:szCs w:val="20"/>
                <w:lang w:val="en-US"/>
              </w:rPr>
              <w:t>Parenting Payment Single</w:t>
            </w:r>
          </w:p>
        </w:tc>
        <w:tc>
          <w:tcPr>
            <w:tcW w:w="1134" w:type="dxa"/>
            <w:shd w:val="clear" w:color="auto" w:fill="FFFFFF" w:themeFill="background1"/>
            <w:vAlign w:val="center"/>
          </w:tcPr>
          <w:p w14:paraId="4F92DE34" w14:textId="77777777" w:rsidR="00763786" w:rsidRPr="00956141" w:rsidRDefault="00763786" w:rsidP="00C26476">
            <w:pPr>
              <w:jc w:val="center"/>
              <w:rPr>
                <w:sz w:val="28"/>
                <w:szCs w:val="28"/>
              </w:rPr>
            </w:pPr>
            <w:r w:rsidRPr="00956141">
              <w:rPr>
                <w:sz w:val="28"/>
                <w:szCs w:val="28"/>
              </w:rPr>
              <w:t>$258</w:t>
            </w:r>
          </w:p>
        </w:tc>
        <w:tc>
          <w:tcPr>
            <w:tcW w:w="1434" w:type="dxa"/>
            <w:shd w:val="clear" w:color="auto" w:fill="FFFFFF" w:themeFill="background1"/>
            <w:vAlign w:val="center"/>
          </w:tcPr>
          <w:p w14:paraId="50634FC0" w14:textId="77777777" w:rsidR="00763786" w:rsidRPr="00956141" w:rsidRDefault="00763786" w:rsidP="00C26476">
            <w:pPr>
              <w:jc w:val="center"/>
              <w:rPr>
                <w:sz w:val="32"/>
                <w:szCs w:val="32"/>
              </w:rPr>
            </w:pPr>
            <w:r w:rsidRPr="00956141">
              <w:rPr>
                <w:sz w:val="32"/>
                <w:szCs w:val="32"/>
              </w:rPr>
              <w:t>2</w:t>
            </w:r>
          </w:p>
        </w:tc>
        <w:tc>
          <w:tcPr>
            <w:tcW w:w="1475" w:type="dxa"/>
            <w:shd w:val="clear" w:color="auto" w:fill="FFFFFF" w:themeFill="background1"/>
            <w:vAlign w:val="center"/>
          </w:tcPr>
          <w:p w14:paraId="0CF750F2" w14:textId="77777777" w:rsidR="00763786" w:rsidRPr="00956141" w:rsidRDefault="00763786" w:rsidP="00C26476">
            <w:pPr>
              <w:jc w:val="center"/>
              <w:rPr>
                <w:sz w:val="32"/>
                <w:szCs w:val="32"/>
              </w:rPr>
            </w:pPr>
            <w:r w:rsidRPr="00956141">
              <w:rPr>
                <w:color w:val="FF0000"/>
                <w:sz w:val="32"/>
                <w:szCs w:val="32"/>
              </w:rPr>
              <w:t>0%</w:t>
            </w:r>
          </w:p>
        </w:tc>
        <w:tc>
          <w:tcPr>
            <w:tcW w:w="1724" w:type="dxa"/>
            <w:shd w:val="clear" w:color="auto" w:fill="FFFFFF" w:themeFill="background1"/>
            <w:vAlign w:val="center"/>
          </w:tcPr>
          <w:p w14:paraId="06E8FF60"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3399C6D7" w14:textId="77777777" w:rsidR="00763786" w:rsidRPr="00956141" w:rsidRDefault="00763786" w:rsidP="00C26476">
            <w:pPr>
              <w:jc w:val="center"/>
              <w:rPr>
                <w:sz w:val="20"/>
                <w:szCs w:val="20"/>
              </w:rPr>
            </w:pPr>
            <w:r w:rsidRPr="00956141">
              <w:rPr>
                <w:sz w:val="20"/>
                <w:szCs w:val="20"/>
              </w:rPr>
              <w:t xml:space="preserve">North: </w:t>
            </w:r>
            <w:r w:rsidRPr="00956141">
              <w:rPr>
                <w:color w:val="FF0000"/>
                <w:sz w:val="20"/>
                <w:szCs w:val="20"/>
              </w:rPr>
              <w:t>0</w:t>
            </w:r>
          </w:p>
          <w:p w14:paraId="2D6DEC17" w14:textId="77777777" w:rsidR="00763786" w:rsidRPr="00956141" w:rsidRDefault="00763786" w:rsidP="00C26476">
            <w:pPr>
              <w:jc w:val="center"/>
              <w:rPr>
                <w:sz w:val="20"/>
                <w:szCs w:val="20"/>
              </w:rPr>
            </w:pPr>
            <w:r w:rsidRPr="00956141">
              <w:rPr>
                <w:sz w:val="20"/>
                <w:szCs w:val="20"/>
              </w:rPr>
              <w:t>North West: 2</w:t>
            </w:r>
          </w:p>
        </w:tc>
      </w:tr>
      <w:tr w:rsidR="00763786" w:rsidRPr="00FD02AE" w14:paraId="634C8E1A" w14:textId="77777777" w:rsidTr="00C26476">
        <w:trPr>
          <w:trHeight w:val="567"/>
        </w:trPr>
        <w:tc>
          <w:tcPr>
            <w:tcW w:w="1068" w:type="dxa"/>
            <w:vMerge/>
            <w:vAlign w:val="center"/>
          </w:tcPr>
          <w:p w14:paraId="3FD28EDB" w14:textId="77777777" w:rsidR="00763786" w:rsidRPr="00956141" w:rsidRDefault="00763786" w:rsidP="00C26476">
            <w:pPr>
              <w:jc w:val="center"/>
              <w:rPr>
                <w:b/>
                <w:sz w:val="20"/>
                <w:szCs w:val="20"/>
                <w:lang w:val="en-US"/>
              </w:rPr>
            </w:pPr>
          </w:p>
        </w:tc>
        <w:tc>
          <w:tcPr>
            <w:tcW w:w="1621" w:type="dxa"/>
            <w:vAlign w:val="center"/>
          </w:tcPr>
          <w:p w14:paraId="0BBF4599" w14:textId="77777777" w:rsidR="00763786" w:rsidRPr="00956141" w:rsidRDefault="00763786" w:rsidP="00C26476">
            <w:pPr>
              <w:jc w:val="center"/>
              <w:rPr>
                <w:sz w:val="20"/>
                <w:szCs w:val="20"/>
                <w:lang w:val="en-US"/>
              </w:rPr>
            </w:pPr>
            <w:r w:rsidRPr="00956141">
              <w:rPr>
                <w:sz w:val="20"/>
                <w:szCs w:val="20"/>
                <w:lang w:val="en-US"/>
              </w:rPr>
              <w:t>Single, two children (one &lt;5, one &lt;10)</w:t>
            </w:r>
          </w:p>
        </w:tc>
        <w:tc>
          <w:tcPr>
            <w:tcW w:w="1745" w:type="dxa"/>
            <w:vAlign w:val="center"/>
          </w:tcPr>
          <w:p w14:paraId="43DDB07C" w14:textId="77777777" w:rsidR="00763786" w:rsidRPr="00956141" w:rsidRDefault="00763786" w:rsidP="00C26476">
            <w:pPr>
              <w:jc w:val="center"/>
              <w:rPr>
                <w:sz w:val="20"/>
                <w:szCs w:val="20"/>
                <w:lang w:val="en-US"/>
              </w:rPr>
            </w:pPr>
            <w:r w:rsidRPr="00956141">
              <w:rPr>
                <w:sz w:val="20"/>
                <w:szCs w:val="20"/>
                <w:lang w:val="en-US"/>
              </w:rPr>
              <w:t>Parenting Payment Single</w:t>
            </w:r>
          </w:p>
        </w:tc>
        <w:tc>
          <w:tcPr>
            <w:tcW w:w="1134" w:type="dxa"/>
            <w:shd w:val="clear" w:color="auto" w:fill="FFFFFF" w:themeFill="background1"/>
            <w:vAlign w:val="center"/>
          </w:tcPr>
          <w:p w14:paraId="63C4BDF2" w14:textId="77777777" w:rsidR="00763786" w:rsidRPr="00956141" w:rsidRDefault="00763786" w:rsidP="00C26476">
            <w:pPr>
              <w:jc w:val="center"/>
              <w:rPr>
                <w:sz w:val="28"/>
                <w:szCs w:val="28"/>
              </w:rPr>
            </w:pPr>
            <w:r w:rsidRPr="00956141">
              <w:rPr>
                <w:sz w:val="28"/>
                <w:szCs w:val="28"/>
              </w:rPr>
              <w:t>$296</w:t>
            </w:r>
          </w:p>
        </w:tc>
        <w:tc>
          <w:tcPr>
            <w:tcW w:w="1434" w:type="dxa"/>
            <w:shd w:val="clear" w:color="auto" w:fill="FFFFFF" w:themeFill="background1"/>
            <w:vAlign w:val="center"/>
          </w:tcPr>
          <w:p w14:paraId="0DB7D9A3" w14:textId="77777777" w:rsidR="00763786" w:rsidRPr="00956141" w:rsidRDefault="00763786" w:rsidP="00C26476">
            <w:pPr>
              <w:jc w:val="center"/>
              <w:rPr>
                <w:sz w:val="32"/>
                <w:szCs w:val="32"/>
              </w:rPr>
            </w:pPr>
            <w:r w:rsidRPr="00956141">
              <w:rPr>
                <w:sz w:val="32"/>
                <w:szCs w:val="32"/>
              </w:rPr>
              <w:t>3</w:t>
            </w:r>
          </w:p>
        </w:tc>
        <w:tc>
          <w:tcPr>
            <w:tcW w:w="1475" w:type="dxa"/>
            <w:shd w:val="clear" w:color="auto" w:fill="FFFFFF" w:themeFill="background1"/>
            <w:vAlign w:val="center"/>
          </w:tcPr>
          <w:p w14:paraId="61250B31" w14:textId="77777777" w:rsidR="00763786" w:rsidRPr="00956141" w:rsidRDefault="00763786" w:rsidP="00C26476">
            <w:pPr>
              <w:jc w:val="center"/>
              <w:rPr>
                <w:sz w:val="32"/>
                <w:szCs w:val="32"/>
              </w:rPr>
            </w:pPr>
            <w:r w:rsidRPr="00956141">
              <w:rPr>
                <w:color w:val="FF0000"/>
                <w:sz w:val="32"/>
                <w:szCs w:val="32"/>
              </w:rPr>
              <w:t>0%</w:t>
            </w:r>
          </w:p>
        </w:tc>
        <w:tc>
          <w:tcPr>
            <w:tcW w:w="1724" w:type="dxa"/>
            <w:shd w:val="clear" w:color="auto" w:fill="FFFFFF" w:themeFill="background1"/>
            <w:vAlign w:val="center"/>
          </w:tcPr>
          <w:p w14:paraId="652B53DB" w14:textId="77777777" w:rsidR="00763786" w:rsidRPr="00956141" w:rsidRDefault="00763786" w:rsidP="00C26476">
            <w:pPr>
              <w:jc w:val="center"/>
              <w:rPr>
                <w:sz w:val="20"/>
                <w:szCs w:val="20"/>
              </w:rPr>
            </w:pPr>
            <w:r w:rsidRPr="00956141">
              <w:rPr>
                <w:sz w:val="20"/>
                <w:szCs w:val="20"/>
              </w:rPr>
              <w:t xml:space="preserve">South: </w:t>
            </w:r>
            <w:r w:rsidRPr="00956141">
              <w:rPr>
                <w:color w:val="FF0000"/>
                <w:sz w:val="20"/>
                <w:szCs w:val="20"/>
              </w:rPr>
              <w:t>0</w:t>
            </w:r>
          </w:p>
          <w:p w14:paraId="4A3CD877" w14:textId="77777777" w:rsidR="00763786" w:rsidRPr="00956141" w:rsidRDefault="00763786" w:rsidP="00C26476">
            <w:pPr>
              <w:jc w:val="center"/>
              <w:rPr>
                <w:color w:val="FF0000"/>
                <w:sz w:val="20"/>
                <w:szCs w:val="20"/>
              </w:rPr>
            </w:pPr>
            <w:r w:rsidRPr="00956141">
              <w:rPr>
                <w:sz w:val="20"/>
                <w:szCs w:val="20"/>
              </w:rPr>
              <w:t xml:space="preserve">North: </w:t>
            </w:r>
            <w:r w:rsidRPr="00956141">
              <w:rPr>
                <w:color w:val="FF0000"/>
                <w:sz w:val="20"/>
                <w:szCs w:val="20"/>
              </w:rPr>
              <w:t>0</w:t>
            </w:r>
          </w:p>
          <w:p w14:paraId="1B493A41" w14:textId="77777777" w:rsidR="00763786" w:rsidRPr="00956141" w:rsidRDefault="00763786" w:rsidP="00C26476">
            <w:pPr>
              <w:jc w:val="center"/>
              <w:rPr>
                <w:sz w:val="20"/>
                <w:szCs w:val="20"/>
              </w:rPr>
            </w:pPr>
            <w:r w:rsidRPr="00956141">
              <w:rPr>
                <w:sz w:val="20"/>
                <w:szCs w:val="20"/>
              </w:rPr>
              <w:t>North West: 3</w:t>
            </w:r>
          </w:p>
        </w:tc>
      </w:tr>
      <w:tr w:rsidR="00763786" w:rsidRPr="00FD02AE" w14:paraId="3ED85018" w14:textId="77777777" w:rsidTr="00C26476">
        <w:trPr>
          <w:trHeight w:val="567"/>
        </w:trPr>
        <w:tc>
          <w:tcPr>
            <w:tcW w:w="1068" w:type="dxa"/>
            <w:vMerge/>
            <w:vAlign w:val="center"/>
          </w:tcPr>
          <w:p w14:paraId="0AF46805" w14:textId="77777777" w:rsidR="00763786" w:rsidRPr="00956141" w:rsidRDefault="00763786" w:rsidP="00C26476">
            <w:pPr>
              <w:jc w:val="center"/>
              <w:rPr>
                <w:b/>
                <w:sz w:val="20"/>
                <w:szCs w:val="20"/>
                <w:lang w:val="en-US"/>
              </w:rPr>
            </w:pPr>
          </w:p>
        </w:tc>
        <w:tc>
          <w:tcPr>
            <w:tcW w:w="1621" w:type="dxa"/>
            <w:vAlign w:val="center"/>
          </w:tcPr>
          <w:p w14:paraId="5D4742DC" w14:textId="77777777" w:rsidR="00763786" w:rsidRPr="00956141" w:rsidRDefault="00763786" w:rsidP="00C26476">
            <w:pPr>
              <w:jc w:val="center"/>
              <w:rPr>
                <w:sz w:val="20"/>
                <w:szCs w:val="20"/>
                <w:lang w:val="en-US"/>
              </w:rPr>
            </w:pPr>
            <w:r w:rsidRPr="00956141">
              <w:rPr>
                <w:sz w:val="20"/>
                <w:szCs w:val="20"/>
                <w:lang w:val="en-US"/>
              </w:rPr>
              <w:t>Single, two children (one &lt;5, one &lt;10)</w:t>
            </w:r>
          </w:p>
        </w:tc>
        <w:tc>
          <w:tcPr>
            <w:tcW w:w="1745" w:type="dxa"/>
            <w:vAlign w:val="center"/>
          </w:tcPr>
          <w:p w14:paraId="11DCD0DC" w14:textId="6F3E5934" w:rsidR="00763786" w:rsidRPr="00956141" w:rsidRDefault="00763786" w:rsidP="00C26476">
            <w:pPr>
              <w:jc w:val="center"/>
              <w:rPr>
                <w:sz w:val="20"/>
                <w:szCs w:val="20"/>
                <w:lang w:val="en-US"/>
              </w:rPr>
            </w:pPr>
            <w:r w:rsidRPr="00956141">
              <w:rPr>
                <w:sz w:val="20"/>
                <w:szCs w:val="20"/>
                <w:lang w:val="en-US"/>
              </w:rPr>
              <w:t>Minimum wage</w:t>
            </w:r>
          </w:p>
        </w:tc>
        <w:tc>
          <w:tcPr>
            <w:tcW w:w="1134" w:type="dxa"/>
            <w:shd w:val="clear" w:color="auto" w:fill="FFFFFF" w:themeFill="background1"/>
            <w:vAlign w:val="center"/>
          </w:tcPr>
          <w:p w14:paraId="7ED0A08A" w14:textId="77777777" w:rsidR="00763786" w:rsidRPr="00956141" w:rsidRDefault="00763786" w:rsidP="00C26476">
            <w:pPr>
              <w:jc w:val="center"/>
              <w:rPr>
                <w:sz w:val="28"/>
                <w:szCs w:val="28"/>
              </w:rPr>
            </w:pPr>
            <w:r w:rsidRPr="00956141">
              <w:rPr>
                <w:sz w:val="28"/>
                <w:szCs w:val="28"/>
              </w:rPr>
              <w:t>$444</w:t>
            </w:r>
          </w:p>
        </w:tc>
        <w:tc>
          <w:tcPr>
            <w:tcW w:w="1434" w:type="dxa"/>
            <w:shd w:val="clear" w:color="auto" w:fill="FFFFFF" w:themeFill="background1"/>
            <w:vAlign w:val="center"/>
          </w:tcPr>
          <w:p w14:paraId="24ABDC33" w14:textId="77777777" w:rsidR="00763786" w:rsidRPr="00956141" w:rsidRDefault="00763786" w:rsidP="00C26476">
            <w:pPr>
              <w:jc w:val="center"/>
              <w:rPr>
                <w:sz w:val="32"/>
                <w:szCs w:val="32"/>
              </w:rPr>
            </w:pPr>
            <w:r w:rsidRPr="00956141">
              <w:rPr>
                <w:sz w:val="32"/>
                <w:szCs w:val="32"/>
              </w:rPr>
              <w:t>42</w:t>
            </w:r>
          </w:p>
        </w:tc>
        <w:tc>
          <w:tcPr>
            <w:tcW w:w="1475" w:type="dxa"/>
            <w:shd w:val="clear" w:color="auto" w:fill="FFFFFF" w:themeFill="background1"/>
            <w:vAlign w:val="center"/>
          </w:tcPr>
          <w:p w14:paraId="702B52FC" w14:textId="77777777" w:rsidR="00763786" w:rsidRPr="00956141" w:rsidRDefault="00763786" w:rsidP="00C26476">
            <w:pPr>
              <w:jc w:val="center"/>
              <w:rPr>
                <w:sz w:val="32"/>
                <w:szCs w:val="32"/>
              </w:rPr>
            </w:pPr>
            <w:r w:rsidRPr="00956141">
              <w:rPr>
                <w:sz w:val="32"/>
                <w:szCs w:val="32"/>
              </w:rPr>
              <w:t>5%</w:t>
            </w:r>
          </w:p>
        </w:tc>
        <w:tc>
          <w:tcPr>
            <w:tcW w:w="1724" w:type="dxa"/>
            <w:shd w:val="clear" w:color="auto" w:fill="FFFFFF" w:themeFill="background1"/>
            <w:vAlign w:val="center"/>
          </w:tcPr>
          <w:p w14:paraId="491B922B" w14:textId="77777777" w:rsidR="00763786" w:rsidRPr="00956141" w:rsidRDefault="00763786" w:rsidP="00C26476">
            <w:pPr>
              <w:jc w:val="center"/>
              <w:rPr>
                <w:sz w:val="20"/>
                <w:szCs w:val="20"/>
              </w:rPr>
            </w:pPr>
            <w:r w:rsidRPr="00956141">
              <w:rPr>
                <w:sz w:val="20"/>
                <w:szCs w:val="20"/>
              </w:rPr>
              <w:t>South: 5</w:t>
            </w:r>
          </w:p>
          <w:p w14:paraId="41C368F1" w14:textId="77777777" w:rsidR="00763786" w:rsidRPr="00956141" w:rsidRDefault="00763786" w:rsidP="00C26476">
            <w:pPr>
              <w:jc w:val="center"/>
              <w:rPr>
                <w:sz w:val="20"/>
                <w:szCs w:val="20"/>
              </w:rPr>
            </w:pPr>
            <w:r w:rsidRPr="00956141">
              <w:rPr>
                <w:sz w:val="20"/>
                <w:szCs w:val="20"/>
              </w:rPr>
              <w:t>North: 14</w:t>
            </w:r>
          </w:p>
          <w:p w14:paraId="009DBFEB" w14:textId="77777777" w:rsidR="00763786" w:rsidRPr="00956141" w:rsidRDefault="00763786" w:rsidP="00C26476">
            <w:pPr>
              <w:jc w:val="center"/>
              <w:rPr>
                <w:sz w:val="20"/>
                <w:szCs w:val="20"/>
              </w:rPr>
            </w:pPr>
            <w:r w:rsidRPr="00956141">
              <w:rPr>
                <w:sz w:val="20"/>
                <w:szCs w:val="20"/>
              </w:rPr>
              <w:t>North West: 23</w:t>
            </w:r>
          </w:p>
        </w:tc>
      </w:tr>
      <w:tr w:rsidR="00763786" w:rsidRPr="00FD02AE" w14:paraId="0705C225" w14:textId="77777777" w:rsidTr="00C26476">
        <w:trPr>
          <w:trHeight w:val="567"/>
        </w:trPr>
        <w:tc>
          <w:tcPr>
            <w:tcW w:w="1068" w:type="dxa"/>
            <w:vMerge w:val="restart"/>
            <w:vAlign w:val="center"/>
          </w:tcPr>
          <w:p w14:paraId="0B858BA1" w14:textId="77777777" w:rsidR="00763786" w:rsidRPr="00956141" w:rsidRDefault="00763786" w:rsidP="00C26476">
            <w:pPr>
              <w:jc w:val="center"/>
              <w:rPr>
                <w:b/>
                <w:sz w:val="20"/>
                <w:szCs w:val="20"/>
                <w:lang w:val="en-US"/>
              </w:rPr>
            </w:pPr>
            <w:r w:rsidRPr="00956141">
              <w:rPr>
                <w:b/>
                <w:sz w:val="20"/>
                <w:szCs w:val="20"/>
                <w:lang w:val="en-US"/>
              </w:rPr>
              <w:t>Couples with children</w:t>
            </w:r>
          </w:p>
        </w:tc>
        <w:tc>
          <w:tcPr>
            <w:tcW w:w="1621" w:type="dxa"/>
            <w:vAlign w:val="center"/>
          </w:tcPr>
          <w:p w14:paraId="1D4A5570" w14:textId="77777777" w:rsidR="00763786" w:rsidRPr="00956141" w:rsidRDefault="00763786" w:rsidP="00C26476">
            <w:pPr>
              <w:jc w:val="center"/>
              <w:rPr>
                <w:sz w:val="20"/>
                <w:szCs w:val="20"/>
                <w:lang w:val="en-US"/>
              </w:rPr>
            </w:pPr>
            <w:r w:rsidRPr="00956141">
              <w:rPr>
                <w:sz w:val="20"/>
                <w:szCs w:val="20"/>
                <w:lang w:val="en-US"/>
              </w:rPr>
              <w:t>Couple, two children (one &lt;5, one &lt;10)</w:t>
            </w:r>
          </w:p>
        </w:tc>
        <w:tc>
          <w:tcPr>
            <w:tcW w:w="1745" w:type="dxa"/>
            <w:vAlign w:val="center"/>
          </w:tcPr>
          <w:p w14:paraId="47BC7B22" w14:textId="77777777" w:rsidR="00763786" w:rsidRPr="00956141" w:rsidRDefault="00763786" w:rsidP="00C26476">
            <w:pPr>
              <w:jc w:val="center"/>
              <w:rPr>
                <w:sz w:val="20"/>
                <w:szCs w:val="20"/>
                <w:lang w:val="en-US"/>
              </w:rPr>
            </w:pPr>
            <w:r w:rsidRPr="00956141">
              <w:rPr>
                <w:sz w:val="20"/>
                <w:szCs w:val="20"/>
                <w:lang w:val="en-US"/>
              </w:rPr>
              <w:t>Jobseeker Payment (both adults)</w:t>
            </w:r>
          </w:p>
        </w:tc>
        <w:tc>
          <w:tcPr>
            <w:tcW w:w="1134" w:type="dxa"/>
            <w:shd w:val="clear" w:color="auto" w:fill="FFFFFF" w:themeFill="background1"/>
            <w:vAlign w:val="center"/>
          </w:tcPr>
          <w:p w14:paraId="5BDD291D" w14:textId="77777777" w:rsidR="00763786" w:rsidRPr="00956141" w:rsidRDefault="00763786" w:rsidP="00C26476">
            <w:pPr>
              <w:jc w:val="center"/>
              <w:rPr>
                <w:sz w:val="28"/>
                <w:szCs w:val="28"/>
              </w:rPr>
            </w:pPr>
            <w:r w:rsidRPr="00956141">
              <w:rPr>
                <w:sz w:val="28"/>
                <w:szCs w:val="28"/>
              </w:rPr>
              <w:t>$346</w:t>
            </w:r>
          </w:p>
        </w:tc>
        <w:tc>
          <w:tcPr>
            <w:tcW w:w="1434" w:type="dxa"/>
            <w:shd w:val="clear" w:color="auto" w:fill="FFFFFF" w:themeFill="background1"/>
            <w:vAlign w:val="center"/>
          </w:tcPr>
          <w:p w14:paraId="4E7F2E87" w14:textId="77777777" w:rsidR="00763786" w:rsidRPr="00956141" w:rsidRDefault="00763786" w:rsidP="00C26476">
            <w:pPr>
              <w:jc w:val="center"/>
              <w:rPr>
                <w:sz w:val="32"/>
                <w:szCs w:val="32"/>
              </w:rPr>
            </w:pPr>
            <w:r w:rsidRPr="00956141">
              <w:rPr>
                <w:sz w:val="32"/>
                <w:szCs w:val="32"/>
              </w:rPr>
              <w:t>7</w:t>
            </w:r>
          </w:p>
        </w:tc>
        <w:tc>
          <w:tcPr>
            <w:tcW w:w="1475" w:type="dxa"/>
            <w:shd w:val="clear" w:color="auto" w:fill="FFFFFF" w:themeFill="background1"/>
            <w:vAlign w:val="center"/>
          </w:tcPr>
          <w:p w14:paraId="0028C797" w14:textId="77777777" w:rsidR="00763786" w:rsidRPr="00956141" w:rsidRDefault="00763786" w:rsidP="00C26476">
            <w:pPr>
              <w:jc w:val="center"/>
              <w:rPr>
                <w:sz w:val="32"/>
                <w:szCs w:val="32"/>
              </w:rPr>
            </w:pPr>
            <w:r w:rsidRPr="00956141">
              <w:rPr>
                <w:sz w:val="32"/>
                <w:szCs w:val="32"/>
              </w:rPr>
              <w:t>1%</w:t>
            </w:r>
          </w:p>
        </w:tc>
        <w:tc>
          <w:tcPr>
            <w:tcW w:w="1724" w:type="dxa"/>
            <w:shd w:val="clear" w:color="auto" w:fill="FFFFFF" w:themeFill="background1"/>
            <w:vAlign w:val="center"/>
          </w:tcPr>
          <w:p w14:paraId="377D9777" w14:textId="0830F311" w:rsidR="00763786" w:rsidRPr="00956141" w:rsidRDefault="00763786" w:rsidP="00C26476">
            <w:pPr>
              <w:jc w:val="center"/>
              <w:rPr>
                <w:sz w:val="20"/>
                <w:szCs w:val="20"/>
              </w:rPr>
            </w:pPr>
            <w:r w:rsidRPr="00956141">
              <w:rPr>
                <w:sz w:val="20"/>
                <w:szCs w:val="20"/>
              </w:rPr>
              <w:t xml:space="preserve">South: </w:t>
            </w:r>
            <w:r w:rsidR="003B48CE" w:rsidRPr="00956141">
              <w:rPr>
                <w:sz w:val="20"/>
                <w:szCs w:val="20"/>
              </w:rPr>
              <w:t>1</w:t>
            </w:r>
          </w:p>
          <w:p w14:paraId="68287F21" w14:textId="77777777" w:rsidR="00763786" w:rsidRPr="00956141" w:rsidRDefault="00763786" w:rsidP="00C26476">
            <w:pPr>
              <w:jc w:val="center"/>
              <w:rPr>
                <w:sz w:val="20"/>
                <w:szCs w:val="20"/>
              </w:rPr>
            </w:pPr>
            <w:r w:rsidRPr="00956141">
              <w:rPr>
                <w:sz w:val="20"/>
                <w:szCs w:val="20"/>
              </w:rPr>
              <w:t>North: 1</w:t>
            </w:r>
          </w:p>
          <w:p w14:paraId="74A2077A" w14:textId="77777777" w:rsidR="00763786" w:rsidRPr="00956141" w:rsidRDefault="00763786" w:rsidP="00C26476">
            <w:pPr>
              <w:jc w:val="center"/>
              <w:rPr>
                <w:sz w:val="20"/>
                <w:szCs w:val="20"/>
              </w:rPr>
            </w:pPr>
            <w:r w:rsidRPr="00956141">
              <w:rPr>
                <w:sz w:val="20"/>
                <w:szCs w:val="20"/>
              </w:rPr>
              <w:t>North West: 5</w:t>
            </w:r>
          </w:p>
        </w:tc>
      </w:tr>
      <w:tr w:rsidR="00763786" w:rsidRPr="00FD02AE" w14:paraId="1EF98453" w14:textId="77777777" w:rsidTr="00C26476">
        <w:trPr>
          <w:trHeight w:val="567"/>
        </w:trPr>
        <w:tc>
          <w:tcPr>
            <w:tcW w:w="1068" w:type="dxa"/>
            <w:vMerge/>
            <w:vAlign w:val="center"/>
          </w:tcPr>
          <w:p w14:paraId="02F5AB6F" w14:textId="77777777" w:rsidR="00763786" w:rsidRPr="00956141" w:rsidRDefault="00763786" w:rsidP="00C26476">
            <w:pPr>
              <w:jc w:val="center"/>
              <w:rPr>
                <w:b/>
                <w:sz w:val="20"/>
                <w:szCs w:val="20"/>
                <w:lang w:val="en-US"/>
              </w:rPr>
            </w:pPr>
          </w:p>
        </w:tc>
        <w:tc>
          <w:tcPr>
            <w:tcW w:w="1621" w:type="dxa"/>
            <w:vAlign w:val="center"/>
          </w:tcPr>
          <w:p w14:paraId="25BE7853" w14:textId="77777777" w:rsidR="00763786" w:rsidRPr="00956141" w:rsidRDefault="00763786" w:rsidP="00C26476">
            <w:pPr>
              <w:jc w:val="center"/>
              <w:rPr>
                <w:sz w:val="20"/>
                <w:szCs w:val="20"/>
                <w:lang w:val="en-US"/>
              </w:rPr>
            </w:pPr>
            <w:r w:rsidRPr="00956141">
              <w:rPr>
                <w:sz w:val="20"/>
                <w:szCs w:val="20"/>
                <w:lang w:val="en-US"/>
              </w:rPr>
              <w:t>Couple, two children (one &lt;5, one &lt;10)</w:t>
            </w:r>
          </w:p>
        </w:tc>
        <w:tc>
          <w:tcPr>
            <w:tcW w:w="1745" w:type="dxa"/>
            <w:vAlign w:val="center"/>
          </w:tcPr>
          <w:p w14:paraId="171AC812" w14:textId="45F1026C" w:rsidR="00763786" w:rsidRPr="00956141" w:rsidRDefault="00763786" w:rsidP="00C26476">
            <w:pPr>
              <w:jc w:val="center"/>
              <w:rPr>
                <w:sz w:val="20"/>
                <w:szCs w:val="20"/>
                <w:lang w:val="en-US"/>
              </w:rPr>
            </w:pPr>
            <w:r w:rsidRPr="00956141">
              <w:rPr>
                <w:sz w:val="20"/>
                <w:szCs w:val="20"/>
                <w:lang w:val="en-US"/>
              </w:rPr>
              <w:t>Minimum wage + Parenting Payment (partnered)</w:t>
            </w:r>
          </w:p>
        </w:tc>
        <w:tc>
          <w:tcPr>
            <w:tcW w:w="1134" w:type="dxa"/>
            <w:shd w:val="clear" w:color="auto" w:fill="FFFFFF" w:themeFill="background1"/>
            <w:vAlign w:val="center"/>
          </w:tcPr>
          <w:p w14:paraId="5D91DD6E" w14:textId="77777777" w:rsidR="00763786" w:rsidRPr="00956141" w:rsidRDefault="00763786" w:rsidP="00C26476">
            <w:pPr>
              <w:jc w:val="center"/>
              <w:rPr>
                <w:sz w:val="28"/>
                <w:szCs w:val="28"/>
              </w:rPr>
            </w:pPr>
            <w:r w:rsidRPr="00956141">
              <w:rPr>
                <w:sz w:val="28"/>
                <w:szCs w:val="28"/>
              </w:rPr>
              <w:t>$446</w:t>
            </w:r>
          </w:p>
        </w:tc>
        <w:tc>
          <w:tcPr>
            <w:tcW w:w="1434" w:type="dxa"/>
            <w:shd w:val="clear" w:color="auto" w:fill="FFFFFF" w:themeFill="background1"/>
            <w:vAlign w:val="center"/>
          </w:tcPr>
          <w:p w14:paraId="3FE8ABFD" w14:textId="77777777" w:rsidR="00763786" w:rsidRPr="00956141" w:rsidRDefault="00763786" w:rsidP="00C26476">
            <w:pPr>
              <w:jc w:val="center"/>
              <w:rPr>
                <w:sz w:val="32"/>
                <w:szCs w:val="32"/>
              </w:rPr>
            </w:pPr>
            <w:r w:rsidRPr="00956141">
              <w:rPr>
                <w:sz w:val="32"/>
                <w:szCs w:val="32"/>
              </w:rPr>
              <w:t>43</w:t>
            </w:r>
          </w:p>
        </w:tc>
        <w:tc>
          <w:tcPr>
            <w:tcW w:w="1475" w:type="dxa"/>
            <w:shd w:val="clear" w:color="auto" w:fill="FFFFFF" w:themeFill="background1"/>
            <w:vAlign w:val="center"/>
          </w:tcPr>
          <w:p w14:paraId="5C1AD962" w14:textId="77777777" w:rsidR="00763786" w:rsidRPr="00956141" w:rsidRDefault="00763786" w:rsidP="00C26476">
            <w:pPr>
              <w:jc w:val="center"/>
              <w:rPr>
                <w:sz w:val="32"/>
                <w:szCs w:val="32"/>
              </w:rPr>
            </w:pPr>
            <w:r w:rsidRPr="00956141">
              <w:rPr>
                <w:sz w:val="32"/>
                <w:szCs w:val="32"/>
              </w:rPr>
              <w:t>6%</w:t>
            </w:r>
          </w:p>
        </w:tc>
        <w:tc>
          <w:tcPr>
            <w:tcW w:w="1724" w:type="dxa"/>
            <w:shd w:val="clear" w:color="auto" w:fill="FFFFFF" w:themeFill="background1"/>
            <w:vAlign w:val="center"/>
          </w:tcPr>
          <w:p w14:paraId="0D126197" w14:textId="77777777" w:rsidR="00763786" w:rsidRPr="00956141" w:rsidRDefault="00763786" w:rsidP="00C26476">
            <w:pPr>
              <w:jc w:val="center"/>
              <w:rPr>
                <w:sz w:val="20"/>
                <w:szCs w:val="20"/>
              </w:rPr>
            </w:pPr>
            <w:r w:rsidRPr="00956141">
              <w:rPr>
                <w:sz w:val="20"/>
                <w:szCs w:val="20"/>
              </w:rPr>
              <w:t>South: 6</w:t>
            </w:r>
          </w:p>
          <w:p w14:paraId="1536A14B" w14:textId="77777777" w:rsidR="00763786" w:rsidRPr="00956141" w:rsidRDefault="00763786" w:rsidP="00C26476">
            <w:pPr>
              <w:jc w:val="center"/>
              <w:rPr>
                <w:sz w:val="20"/>
                <w:szCs w:val="20"/>
              </w:rPr>
            </w:pPr>
            <w:r w:rsidRPr="00956141">
              <w:rPr>
                <w:sz w:val="20"/>
                <w:szCs w:val="20"/>
              </w:rPr>
              <w:t>North: 14</w:t>
            </w:r>
          </w:p>
          <w:p w14:paraId="6BD68001" w14:textId="77777777" w:rsidR="00763786" w:rsidRPr="00956141" w:rsidRDefault="00763786" w:rsidP="00C26476">
            <w:pPr>
              <w:jc w:val="center"/>
              <w:rPr>
                <w:sz w:val="20"/>
                <w:szCs w:val="20"/>
              </w:rPr>
            </w:pPr>
            <w:r w:rsidRPr="00956141">
              <w:rPr>
                <w:sz w:val="20"/>
                <w:szCs w:val="20"/>
              </w:rPr>
              <w:t>North West: 23</w:t>
            </w:r>
          </w:p>
        </w:tc>
      </w:tr>
      <w:tr w:rsidR="00763786" w:rsidRPr="00FD02AE" w14:paraId="07803189" w14:textId="77777777" w:rsidTr="00C26476">
        <w:trPr>
          <w:trHeight w:val="567"/>
        </w:trPr>
        <w:tc>
          <w:tcPr>
            <w:tcW w:w="1068" w:type="dxa"/>
            <w:vMerge/>
            <w:vAlign w:val="center"/>
          </w:tcPr>
          <w:p w14:paraId="65563599" w14:textId="77777777" w:rsidR="00763786" w:rsidRPr="00956141" w:rsidRDefault="00763786" w:rsidP="00C26476">
            <w:pPr>
              <w:jc w:val="center"/>
              <w:rPr>
                <w:b/>
                <w:sz w:val="20"/>
                <w:szCs w:val="20"/>
                <w:lang w:val="en-US"/>
              </w:rPr>
            </w:pPr>
          </w:p>
        </w:tc>
        <w:tc>
          <w:tcPr>
            <w:tcW w:w="1621" w:type="dxa"/>
            <w:vAlign w:val="center"/>
          </w:tcPr>
          <w:p w14:paraId="3753196E" w14:textId="77777777" w:rsidR="00763786" w:rsidRPr="00956141" w:rsidRDefault="00763786" w:rsidP="00C26476">
            <w:pPr>
              <w:jc w:val="center"/>
              <w:rPr>
                <w:sz w:val="20"/>
                <w:szCs w:val="20"/>
                <w:lang w:val="en-US"/>
              </w:rPr>
            </w:pPr>
            <w:r w:rsidRPr="00956141">
              <w:rPr>
                <w:sz w:val="20"/>
                <w:szCs w:val="20"/>
                <w:lang w:val="en-US"/>
              </w:rPr>
              <w:t>Couple, two children (one &lt;5, one &lt;10)</w:t>
            </w:r>
          </w:p>
        </w:tc>
        <w:tc>
          <w:tcPr>
            <w:tcW w:w="1745" w:type="dxa"/>
            <w:vAlign w:val="center"/>
          </w:tcPr>
          <w:p w14:paraId="0A036B8E" w14:textId="49F6BDAE" w:rsidR="00763786" w:rsidRPr="00956141" w:rsidRDefault="00763786" w:rsidP="00C26476">
            <w:pPr>
              <w:jc w:val="center"/>
              <w:rPr>
                <w:sz w:val="20"/>
                <w:szCs w:val="20"/>
                <w:lang w:val="en-US"/>
              </w:rPr>
            </w:pPr>
            <w:r w:rsidRPr="00956141">
              <w:rPr>
                <w:sz w:val="20"/>
                <w:szCs w:val="20"/>
                <w:lang w:val="en-US"/>
              </w:rPr>
              <w:t>Minimum wage</w:t>
            </w:r>
          </w:p>
        </w:tc>
        <w:tc>
          <w:tcPr>
            <w:tcW w:w="1134" w:type="dxa"/>
            <w:shd w:val="clear" w:color="auto" w:fill="FFFFFF" w:themeFill="background1"/>
            <w:vAlign w:val="center"/>
          </w:tcPr>
          <w:p w14:paraId="370FE3BD" w14:textId="77777777" w:rsidR="00763786" w:rsidRPr="00956141" w:rsidRDefault="00763786" w:rsidP="00C26476">
            <w:pPr>
              <w:jc w:val="center"/>
              <w:rPr>
                <w:sz w:val="28"/>
                <w:szCs w:val="28"/>
              </w:rPr>
            </w:pPr>
            <w:r w:rsidRPr="00956141">
              <w:rPr>
                <w:sz w:val="28"/>
                <w:szCs w:val="28"/>
              </w:rPr>
              <w:t>$563</w:t>
            </w:r>
          </w:p>
        </w:tc>
        <w:tc>
          <w:tcPr>
            <w:tcW w:w="1434" w:type="dxa"/>
            <w:shd w:val="clear" w:color="auto" w:fill="FFFFFF" w:themeFill="background1"/>
            <w:vAlign w:val="center"/>
          </w:tcPr>
          <w:p w14:paraId="77A09BA1" w14:textId="77777777" w:rsidR="00763786" w:rsidRPr="00956141" w:rsidRDefault="00763786" w:rsidP="00C26476">
            <w:pPr>
              <w:jc w:val="center"/>
              <w:rPr>
                <w:sz w:val="32"/>
                <w:szCs w:val="32"/>
              </w:rPr>
            </w:pPr>
            <w:r w:rsidRPr="00956141">
              <w:rPr>
                <w:sz w:val="32"/>
                <w:szCs w:val="32"/>
              </w:rPr>
              <w:t>194</w:t>
            </w:r>
          </w:p>
        </w:tc>
        <w:tc>
          <w:tcPr>
            <w:tcW w:w="1475" w:type="dxa"/>
            <w:shd w:val="clear" w:color="auto" w:fill="FFFFFF" w:themeFill="background1"/>
            <w:vAlign w:val="center"/>
          </w:tcPr>
          <w:p w14:paraId="677F64C0" w14:textId="77777777" w:rsidR="00763786" w:rsidRPr="00956141" w:rsidRDefault="00763786" w:rsidP="00C26476">
            <w:pPr>
              <w:jc w:val="center"/>
              <w:rPr>
                <w:sz w:val="32"/>
                <w:szCs w:val="32"/>
              </w:rPr>
            </w:pPr>
            <w:r w:rsidRPr="00956141">
              <w:rPr>
                <w:sz w:val="32"/>
                <w:szCs w:val="32"/>
              </w:rPr>
              <w:t>25%</w:t>
            </w:r>
          </w:p>
        </w:tc>
        <w:tc>
          <w:tcPr>
            <w:tcW w:w="1724" w:type="dxa"/>
            <w:shd w:val="clear" w:color="auto" w:fill="FFFFFF" w:themeFill="background1"/>
            <w:vAlign w:val="center"/>
          </w:tcPr>
          <w:p w14:paraId="1D48FDEE" w14:textId="77777777" w:rsidR="00763786" w:rsidRPr="00956141" w:rsidRDefault="00763786" w:rsidP="00C26476">
            <w:pPr>
              <w:jc w:val="center"/>
              <w:rPr>
                <w:sz w:val="20"/>
                <w:szCs w:val="20"/>
              </w:rPr>
            </w:pPr>
            <w:r w:rsidRPr="00956141">
              <w:rPr>
                <w:sz w:val="20"/>
                <w:szCs w:val="20"/>
              </w:rPr>
              <w:t>South: 52</w:t>
            </w:r>
          </w:p>
          <w:p w14:paraId="144267AF" w14:textId="77777777" w:rsidR="00763786" w:rsidRPr="00956141" w:rsidRDefault="00763786" w:rsidP="00C26476">
            <w:pPr>
              <w:jc w:val="center"/>
              <w:rPr>
                <w:sz w:val="20"/>
                <w:szCs w:val="20"/>
              </w:rPr>
            </w:pPr>
            <w:r w:rsidRPr="00956141">
              <w:rPr>
                <w:sz w:val="20"/>
                <w:szCs w:val="20"/>
              </w:rPr>
              <w:t>North: 77</w:t>
            </w:r>
          </w:p>
          <w:p w14:paraId="52905E58" w14:textId="77777777" w:rsidR="00763786" w:rsidRPr="00956141" w:rsidRDefault="00763786" w:rsidP="00C26476">
            <w:pPr>
              <w:jc w:val="center"/>
              <w:rPr>
                <w:sz w:val="20"/>
                <w:szCs w:val="20"/>
              </w:rPr>
            </w:pPr>
            <w:r w:rsidRPr="00956141">
              <w:rPr>
                <w:sz w:val="20"/>
                <w:szCs w:val="20"/>
              </w:rPr>
              <w:t>North West: 65</w:t>
            </w:r>
          </w:p>
        </w:tc>
      </w:tr>
    </w:tbl>
    <w:p w14:paraId="5F081D15" w14:textId="34CE5E1D" w:rsidR="00763786" w:rsidRPr="00425028" w:rsidRDefault="00763786" w:rsidP="00B71E6B">
      <w:pPr>
        <w:sectPr w:rsidR="00763786" w:rsidRPr="00425028" w:rsidSect="006E29EB">
          <w:pgSz w:w="11906" w:h="16838"/>
          <w:pgMar w:top="567" w:right="284" w:bottom="567" w:left="567" w:header="709" w:footer="709" w:gutter="0"/>
          <w:cols w:space="708"/>
          <w:docGrid w:linePitch="360"/>
        </w:sectPr>
      </w:pPr>
    </w:p>
    <w:p w14:paraId="35F63023" w14:textId="08255F01" w:rsidR="004761D8" w:rsidRPr="00C119AC" w:rsidRDefault="004761D8" w:rsidP="004761D8">
      <w:pPr>
        <w:pStyle w:val="Heading1"/>
        <w:rPr>
          <w:rFonts w:ascii="Avenir Next LT Pro" w:hAnsi="Avenir Next LT Pro"/>
        </w:rPr>
      </w:pPr>
      <w:bookmarkStart w:id="7" w:name="_Toc227843597"/>
      <w:bookmarkStart w:id="8" w:name="_Toc195101858"/>
      <w:r w:rsidRPr="00C119AC">
        <w:rPr>
          <w:rFonts w:ascii="Avenir Next LT Pro" w:hAnsi="Avenir Next LT Pro"/>
        </w:rPr>
        <w:lastRenderedPageBreak/>
        <w:t xml:space="preserve">Vacancy rates have </w:t>
      </w:r>
      <w:r w:rsidR="00C119AC" w:rsidRPr="00C119AC">
        <w:rPr>
          <w:rFonts w:ascii="Avenir Next LT Pro" w:hAnsi="Avenir Next LT Pro"/>
        </w:rPr>
        <w:t>staye</w:t>
      </w:r>
      <w:r w:rsidRPr="00C119AC">
        <w:rPr>
          <w:rFonts w:ascii="Avenir Next LT Pro" w:hAnsi="Avenir Next LT Pro"/>
        </w:rPr>
        <w:t>d at unprecedented lows</w:t>
      </w:r>
      <w:bookmarkEnd w:id="7"/>
    </w:p>
    <w:p w14:paraId="0C406C75" w14:textId="7D41C8F3" w:rsidR="004761D8" w:rsidRDefault="004761D8" w:rsidP="004761D8">
      <w:r w:rsidRPr="00AB676E">
        <w:t>The vacancy rate is the percentage of all rental properties that are vacant and available to rent. When the vacancy rate falls below 3%, there are generally more people looking for rentals than there are properties available</w:t>
      </w:r>
      <w:r w:rsidR="00C119AC">
        <w:t xml:space="preserve">, and </w:t>
      </w:r>
      <w:r w:rsidRPr="00AB676E">
        <w:t xml:space="preserve">rents tend to rise. The further the rate falls below 3%, the tighter the market becomes and the faster rents </w:t>
      </w:r>
      <w:r w:rsidR="00C119AC">
        <w:t>increase</w:t>
      </w:r>
      <w:r w:rsidRPr="00AB676E">
        <w:t xml:space="preserve">. </w:t>
      </w:r>
      <w:r w:rsidR="001F49F9">
        <w:t>After dropping below 1% in every region in 2024,</w:t>
      </w:r>
      <w:r w:rsidRPr="14193444">
        <w:rPr>
          <w:rStyle w:val="FootnoteReference"/>
        </w:rPr>
        <w:footnoteReference w:id="3"/>
      </w:r>
      <w:r w:rsidR="006356CF">
        <w:t xml:space="preserve"> </w:t>
      </w:r>
      <w:r w:rsidR="001F49F9">
        <w:t>v</w:t>
      </w:r>
      <w:r w:rsidRPr="00581F88">
        <w:t xml:space="preserve">acancy rates have remained at unprecedented lows throughout the </w:t>
      </w:r>
      <w:r w:rsidR="001F49F9">
        <w:t>past 12 months</w:t>
      </w:r>
      <w:r>
        <w:t xml:space="preserve">, </w:t>
      </w:r>
      <w:r w:rsidR="42C550E2">
        <w:t xml:space="preserve">staying </w:t>
      </w:r>
      <w:r w:rsidRPr="00581F88">
        <w:t>below 1% in every region of Tasmania.</w:t>
      </w:r>
      <w:r>
        <w:rPr>
          <w:rStyle w:val="FootnoteReference"/>
        </w:rPr>
        <w:footnoteReference w:id="4"/>
      </w:r>
    </w:p>
    <w:p w14:paraId="337D32A7" w14:textId="41AAF71A" w:rsidR="004761D8" w:rsidRPr="001F49F9" w:rsidRDefault="004761D8" w:rsidP="004761D8">
      <w:bookmarkStart w:id="9" w:name="_Toc227843598"/>
      <w:r w:rsidRPr="006356CF">
        <w:rPr>
          <w:rStyle w:val="Heading3Char"/>
        </w:rPr>
        <w:t xml:space="preserve">Figure </w:t>
      </w:r>
      <w:r w:rsidR="00EE476E" w:rsidRPr="006356CF">
        <w:rPr>
          <w:rStyle w:val="Heading3Char"/>
        </w:rPr>
        <w:t>2</w:t>
      </w:r>
      <w:r w:rsidRPr="006356CF">
        <w:rPr>
          <w:rStyle w:val="Heading3Char"/>
        </w:rPr>
        <w:t>:</w:t>
      </w:r>
      <w:r w:rsidRPr="002E04A0">
        <w:rPr>
          <w:rStyle w:val="Heading3Char"/>
        </w:rPr>
        <w:t xml:space="preserve"> </w:t>
      </w:r>
      <w:r w:rsidR="001F49F9">
        <w:rPr>
          <w:rStyle w:val="Heading3Char"/>
        </w:rPr>
        <w:t>Residential rental vacancy rates</w:t>
      </w:r>
      <w:bookmarkEnd w:id="9"/>
      <w:r w:rsidRPr="001F49F9">
        <w:rPr>
          <w:rStyle w:val="FootnoteReference"/>
        </w:rPr>
        <w:footnoteReference w:id="5"/>
      </w:r>
    </w:p>
    <w:p w14:paraId="650CEF62" w14:textId="117ADF48" w:rsidR="004761D8" w:rsidRDefault="4D3E457F" w:rsidP="004761D8">
      <w:r>
        <w:rPr>
          <w:noProof/>
        </w:rPr>
        <w:drawing>
          <wp:inline distT="0" distB="0" distL="0" distR="0" wp14:anchorId="3D94E340" wp14:editId="098C14D5">
            <wp:extent cx="4584589" cy="2755631"/>
            <wp:effectExtent l="0" t="0" r="0" b="0"/>
            <wp:docPr id="1538531189" name="drawing" descr="Line graph.&#10;The target vacancy rate, 3%, is at the top and the rates for Hobart, Burnie and Launceston are clustered together under it around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31189" name="drawing" descr="Line graph.&#10;The target vacancy rate, 3%, is at the top and the rates for Hobart, Burnie and Launceston are clustered together under it around 0.5%"/>
                    <pic:cNvPicPr/>
                  </pic:nvPicPr>
                  <pic:blipFill>
                    <a:blip r:embed="rId16">
                      <a:extLst>
                        <a:ext uri="{28A0092B-C50C-407E-A947-70E740481C1C}">
                          <a14:useLocalDpi xmlns:a14="http://schemas.microsoft.com/office/drawing/2010/main"/>
                        </a:ext>
                      </a:extLst>
                    </a:blip>
                    <a:stretch>
                      <a:fillRect/>
                    </a:stretch>
                  </pic:blipFill>
                  <pic:spPr>
                    <a:xfrm>
                      <a:off x="0" y="0"/>
                      <a:ext cx="4584589" cy="2755631"/>
                    </a:xfrm>
                    <a:prstGeom prst="rect">
                      <a:avLst/>
                    </a:prstGeom>
                  </pic:spPr>
                </pic:pic>
              </a:graphicData>
            </a:graphic>
          </wp:inline>
        </w:drawing>
      </w:r>
    </w:p>
    <w:p w14:paraId="3F400A86" w14:textId="4845FA83" w:rsidR="004761D8" w:rsidRDefault="004761D8" w:rsidP="004761D8">
      <w:r w:rsidRPr="00581F88">
        <w:t>Under these conditions it is difficult for anyone to find a rental at any price. For people on</w:t>
      </w:r>
      <w:r w:rsidR="00A05D6F">
        <w:t xml:space="preserve"> the</w:t>
      </w:r>
      <w:r w:rsidRPr="00581F88">
        <w:t xml:space="preserve"> low</w:t>
      </w:r>
      <w:r w:rsidR="00045A16">
        <w:t>est</w:t>
      </w:r>
      <w:r w:rsidRPr="00581F88">
        <w:t xml:space="preserve"> incomes, even the </w:t>
      </w:r>
      <w:r w:rsidR="00045A16">
        <w:t>cheapest</w:t>
      </w:r>
      <w:r w:rsidRPr="00581F88">
        <w:t xml:space="preserve"> rentals are not affordable, and they are often outcompeted for these properties by people on higher incomes. </w:t>
      </w:r>
    </w:p>
    <w:p w14:paraId="4103A541" w14:textId="2288EB4B" w:rsidR="004761D8" w:rsidRDefault="004761D8" w:rsidP="004761D8">
      <w:r>
        <w:t xml:space="preserve">The number of people who are priced out of the rental market grows as the gap </w:t>
      </w:r>
      <w:r w:rsidR="17177443">
        <w:t>increases</w:t>
      </w:r>
      <w:r w:rsidR="7245C626">
        <w:t xml:space="preserve"> </w:t>
      </w:r>
      <w:r>
        <w:t xml:space="preserve">between advertised rents and what people can afford. This </w:t>
      </w:r>
      <w:r w:rsidR="5D3C9FA5">
        <w:t xml:space="preserve">results in </w:t>
      </w:r>
      <w:r>
        <w:t xml:space="preserve">more people applying for social housing, and more people experiencing various forms of homelessness. </w:t>
      </w:r>
      <w:r w:rsidRPr="00425028">
        <w:t xml:space="preserve"> </w:t>
      </w:r>
    </w:p>
    <w:p w14:paraId="587B4214" w14:textId="77777777" w:rsidR="00F643D3" w:rsidRPr="00425028" w:rsidRDefault="00F643D3" w:rsidP="00B71E6B">
      <w:pPr>
        <w:pStyle w:val="Heading1"/>
        <w:rPr>
          <w:rFonts w:ascii="Avenir Next LT Pro" w:hAnsi="Avenir Next LT Pro"/>
        </w:rPr>
      </w:pPr>
      <w:bookmarkStart w:id="10" w:name="_Toc227843599"/>
      <w:r w:rsidRPr="00425028">
        <w:rPr>
          <w:rFonts w:ascii="Avenir Next LT Pro" w:hAnsi="Avenir Next LT Pro"/>
        </w:rPr>
        <w:lastRenderedPageBreak/>
        <w:t>Regional analysis</w:t>
      </w:r>
      <w:bookmarkEnd w:id="8"/>
      <w:bookmarkEnd w:id="10"/>
    </w:p>
    <w:p w14:paraId="61BDC9F0" w14:textId="77777777" w:rsidR="002A720B" w:rsidRPr="002A720B" w:rsidRDefault="002A720B" w:rsidP="002A720B">
      <w:pPr>
        <w:pStyle w:val="Heading2"/>
        <w:rPr>
          <w:rFonts w:ascii="Avenir Next LT Pro" w:hAnsi="Avenir Next LT Pro"/>
        </w:rPr>
      </w:pPr>
      <w:bookmarkStart w:id="11" w:name="_Toc227843600"/>
      <w:r w:rsidRPr="002A720B">
        <w:rPr>
          <w:rFonts w:ascii="Avenir Next LT Pro" w:hAnsi="Avenir Next LT Pro"/>
        </w:rPr>
        <w:t>South</w:t>
      </w:r>
      <w:bookmarkEnd w:id="11"/>
    </w:p>
    <w:p w14:paraId="48F8F858" w14:textId="77777777" w:rsidR="002A720B" w:rsidRDefault="002A720B" w:rsidP="006356CF">
      <w:pPr>
        <w:pStyle w:val="Heading3"/>
      </w:pPr>
      <w:bookmarkStart w:id="12" w:name="_Toc227843601"/>
      <w:r>
        <w:t>Availability</w:t>
      </w:r>
      <w:bookmarkEnd w:id="12"/>
    </w:p>
    <w:p w14:paraId="125C20FD" w14:textId="37CC14FF" w:rsidR="002A720B" w:rsidRDefault="0CD5D828" w:rsidP="002A720B">
      <w:r>
        <w:t xml:space="preserve">The </w:t>
      </w:r>
      <w:r w:rsidR="6B74477C">
        <w:t>overall</w:t>
      </w:r>
      <w:r w:rsidR="002A720B">
        <w:t xml:space="preserve"> reduced number of properties in this year’s Snapshot is due to </w:t>
      </w:r>
      <w:r w:rsidR="2593C09B">
        <w:t xml:space="preserve">a </w:t>
      </w:r>
      <w:r w:rsidR="008772AF">
        <w:t xml:space="preserve">significant </w:t>
      </w:r>
      <w:r w:rsidR="64C32F99">
        <w:t xml:space="preserve">drop </w:t>
      </w:r>
      <w:r w:rsidR="002A720B">
        <w:t xml:space="preserve">in the South of the state. There </w:t>
      </w:r>
      <w:r w:rsidR="004E3663">
        <w:t>we</w:t>
      </w:r>
      <w:r w:rsidR="002A720B">
        <w:t xml:space="preserve">re only 370 properties advertised in the South this year, a reduction of 18%. This </w:t>
      </w:r>
      <w:r w:rsidR="008772AF">
        <w:t xml:space="preserve">follows </w:t>
      </w:r>
      <w:r w:rsidR="002A720B">
        <w:t xml:space="preserve">a drop of 32% the year before. </w:t>
      </w:r>
    </w:p>
    <w:p w14:paraId="3716CDD8" w14:textId="7A99FEF8" w:rsidR="003E44E4" w:rsidRDefault="003E44E4" w:rsidP="002A720B">
      <w:r>
        <w:t>Figure 3: Number of properties advertised, South</w:t>
      </w:r>
    </w:p>
    <w:p w14:paraId="736A354A" w14:textId="77777777" w:rsidR="002A720B" w:rsidRDefault="002A720B" w:rsidP="002A720B">
      <w:r>
        <w:rPr>
          <w:noProof/>
          <w:lang w:val="en-US"/>
        </w:rPr>
        <w:drawing>
          <wp:inline distT="0" distB="0" distL="0" distR="0" wp14:anchorId="14F23642" wp14:editId="713A6A59">
            <wp:extent cx="5972175" cy="3838575"/>
            <wp:effectExtent l="0" t="0" r="9525" b="9525"/>
            <wp:docPr id="2037592222" name="Chart 2037592222" descr="Column graph.&#10;in 2013, 1,304&#10;in 2014, 941&#10;in 2015, 856&#10;in 2016, 632&#10;in 2017, 512&#10;in 2018, 562&#10;in 2019, 434&#10;in 2020, 755&#10;in 2021, 433&#10;in 2022, 323&#10;in 2023, 637&#10;in 2024, 659&#10;in 2025, 449&#10;in 2026, 3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CCFDD4" w14:textId="77777777" w:rsidR="004E3663" w:rsidRDefault="004E3663">
      <w:pPr>
        <w:rPr>
          <w:rFonts w:eastAsiaTheme="majorEastAsia" w:cstheme="majorBidi"/>
          <w:color w:val="595959" w:themeColor="text1" w:themeTint="A6"/>
          <w:spacing w:val="15"/>
          <w:sz w:val="28"/>
          <w:szCs w:val="28"/>
        </w:rPr>
      </w:pPr>
      <w:r>
        <w:br w:type="page"/>
      </w:r>
    </w:p>
    <w:p w14:paraId="4C8B5E9A" w14:textId="3EC20880" w:rsidR="002A720B" w:rsidRDefault="002A720B" w:rsidP="006356CF">
      <w:pPr>
        <w:pStyle w:val="Heading3"/>
      </w:pPr>
      <w:bookmarkStart w:id="13" w:name="_Toc227843602"/>
      <w:r>
        <w:lastRenderedPageBreak/>
        <w:t>Affordability</w:t>
      </w:r>
      <w:bookmarkEnd w:id="13"/>
    </w:p>
    <w:p w14:paraId="19B92A91" w14:textId="77777777" w:rsidR="002A720B" w:rsidRDefault="002A720B" w:rsidP="006356CF">
      <w:pPr>
        <w:pStyle w:val="Heading4"/>
      </w:pPr>
      <w:r>
        <w:t>Singles</w:t>
      </w:r>
    </w:p>
    <w:p w14:paraId="6FA2B060" w14:textId="4291B612" w:rsidR="002A720B" w:rsidRPr="00F114A0" w:rsidRDefault="002A720B" w:rsidP="002A720B">
      <w:r>
        <w:t>The cheapest unshared property in the South is a studio for $310, outside the price range of even a</w:t>
      </w:r>
      <w:r w:rsidR="00E878F6">
        <w:t xml:space="preserve"> person working</w:t>
      </w:r>
      <w:r>
        <w:t xml:space="preserve"> full</w:t>
      </w:r>
      <w:r w:rsidR="004A6BD3">
        <w:t>-</w:t>
      </w:r>
      <w:r>
        <w:t xml:space="preserve">time </w:t>
      </w:r>
      <w:r w:rsidR="00E878F6">
        <w:t>for</w:t>
      </w:r>
      <w:r>
        <w:t xml:space="preserve"> the minimum wage. </w:t>
      </w:r>
      <w:r w:rsidR="003E44E4">
        <w:t xml:space="preserve">If that person </w:t>
      </w:r>
      <w:r>
        <w:t>want</w:t>
      </w:r>
      <w:r w:rsidR="003E44E4">
        <w:t>s</w:t>
      </w:r>
      <w:r>
        <w:t xml:space="preserve"> </w:t>
      </w:r>
      <w:r w:rsidR="00E45EC1">
        <w:t xml:space="preserve">or needs </w:t>
      </w:r>
      <w:r>
        <w:t xml:space="preserve">to live alone </w:t>
      </w:r>
      <w:r w:rsidR="00E878F6">
        <w:t xml:space="preserve">they </w:t>
      </w:r>
      <w:r>
        <w:t>must go into rental stress, paying over 50% of their income for the average one-bedroom unit.</w:t>
      </w:r>
      <w:r w:rsidRPr="006356CF">
        <w:rPr>
          <w:b/>
          <w:bCs/>
        </w:rPr>
        <w:t xml:space="preserve"> Even the average sharehouse is unaffordable for a </w:t>
      </w:r>
      <w:r w:rsidR="00E878F6">
        <w:rPr>
          <w:b/>
          <w:bCs/>
        </w:rPr>
        <w:t xml:space="preserve">minimum </w:t>
      </w:r>
      <w:r w:rsidRPr="006356CF">
        <w:rPr>
          <w:b/>
          <w:bCs/>
        </w:rPr>
        <w:t>wage-earner at $</w:t>
      </w:r>
      <w:r w:rsidR="17947A25" w:rsidRPr="3AD7D649">
        <w:rPr>
          <w:b/>
          <w:bCs/>
        </w:rPr>
        <w:t>2</w:t>
      </w:r>
      <w:r w:rsidR="35E0F9D3" w:rsidRPr="3AD7D649">
        <w:rPr>
          <w:b/>
          <w:bCs/>
        </w:rPr>
        <w:t>57</w:t>
      </w:r>
      <w:r w:rsidRPr="006356CF">
        <w:rPr>
          <w:b/>
          <w:bCs/>
        </w:rPr>
        <w:t xml:space="preserve"> a week, </w:t>
      </w:r>
      <w:r w:rsidRPr="004E3663">
        <w:t xml:space="preserve">though </w:t>
      </w:r>
      <w:r w:rsidR="003E44E4">
        <w:t xml:space="preserve">there are </w:t>
      </w:r>
      <w:r w:rsidRPr="004E3663">
        <w:t xml:space="preserve">35 cheaper ones within budget. </w:t>
      </w:r>
      <w:r>
        <w:t xml:space="preserve">A person relying on </w:t>
      </w:r>
      <w:r w:rsidR="008772AF">
        <w:t>an Age or Disability</w:t>
      </w:r>
      <w:r>
        <w:t xml:space="preserve"> Pension will find less than 20% of sharehouses affordable, and those receiving the lower JobSeeker or Youth Allowance payments have no chance of securing a</w:t>
      </w:r>
      <w:r w:rsidR="008772AF">
        <w:t>n affordable</w:t>
      </w:r>
      <w:r>
        <w:t xml:space="preserve"> place to live</w:t>
      </w:r>
      <w:r w:rsidR="008772AF">
        <w:t>.</w:t>
      </w:r>
    </w:p>
    <w:p w14:paraId="4F553974" w14:textId="77777777" w:rsidR="002A720B" w:rsidRDefault="002A720B" w:rsidP="006356CF">
      <w:pPr>
        <w:pStyle w:val="Heading4"/>
      </w:pPr>
      <w:r>
        <w:t>Older people</w:t>
      </w:r>
    </w:p>
    <w:p w14:paraId="1389E43F" w14:textId="3667DD91" w:rsidR="002A720B" w:rsidRPr="003441AA" w:rsidRDefault="002A720B" w:rsidP="002A720B">
      <w:r>
        <w:t>The Age Pension is not high enough for an older person to secure an unshared rental property in the South, and less than 20% of sharehouses will be affordable for them. A couple</w:t>
      </w:r>
      <w:r w:rsidR="00E878F6">
        <w:t xml:space="preserve"> on the Age Pension</w:t>
      </w:r>
      <w:r>
        <w:t xml:space="preserve"> are a little better off. They have a joint income of just over $1,000 a week, meaning a small one-bedroom or studio unit will be, at best, just over 30% of their income, but more likely about 40% of their income. </w:t>
      </w:r>
    </w:p>
    <w:p w14:paraId="2C05F4D8" w14:textId="77777777" w:rsidR="002A720B" w:rsidRDefault="002A720B" w:rsidP="006356CF">
      <w:pPr>
        <w:pStyle w:val="Heading4"/>
      </w:pPr>
      <w:r>
        <w:t>Single parent families</w:t>
      </w:r>
    </w:p>
    <w:p w14:paraId="7B8EBF88" w14:textId="761A18FB" w:rsidR="002A720B" w:rsidRPr="004B15E8" w:rsidRDefault="002A720B" w:rsidP="002A720B">
      <w:r>
        <w:t xml:space="preserve">A person receiving Single Parenting Payment cannot afford to rent in the South. </w:t>
      </w:r>
      <w:r w:rsidR="3044CC7C">
        <w:t>To secure a</w:t>
      </w:r>
      <w:r w:rsidR="0EB041B2">
        <w:t>n appropriate</w:t>
      </w:r>
      <w:r w:rsidR="3044CC7C">
        <w:t xml:space="preserve"> </w:t>
      </w:r>
      <w:r w:rsidR="3D996EE9">
        <w:t>private rental</w:t>
      </w:r>
      <w:r w:rsidR="3DFF1E49">
        <w:t xml:space="preserve"> for their family</w:t>
      </w:r>
      <w:r w:rsidR="3044CC7C">
        <w:t xml:space="preserve"> </w:t>
      </w:r>
      <w:r w:rsidR="2AF01AF8">
        <w:t>will require</w:t>
      </w:r>
      <w:r>
        <w:t xml:space="preserve"> up to 60% of their income. Even the cheapest </w:t>
      </w:r>
      <w:r w:rsidR="0E9D072E">
        <w:t>three</w:t>
      </w:r>
      <w:r>
        <w:t>-bedroom home, located in Liawenee, is not affordable</w:t>
      </w:r>
      <w:r w:rsidR="6AB55141">
        <w:t>.</w:t>
      </w:r>
      <w:r>
        <w:t xml:space="preserve"> For these </w:t>
      </w:r>
      <w:r w:rsidR="006B4DE9">
        <w:t>families</w:t>
      </w:r>
      <w:r>
        <w:t xml:space="preserve">, social housing is a must. </w:t>
      </w:r>
      <w:r w:rsidR="1BB4263D">
        <w:t>F</w:t>
      </w:r>
      <w:r w:rsidR="0CD5D828">
        <w:t>or</w:t>
      </w:r>
      <w:r>
        <w:t xml:space="preserve"> a single parent</w:t>
      </w:r>
      <w:r w:rsidR="00E878F6">
        <w:t xml:space="preserve"> working for the minimum wage</w:t>
      </w:r>
      <w:r>
        <w:t>, affordable properties are few and are in remote and rural areas out of commuting range of Hobart.</w:t>
      </w:r>
    </w:p>
    <w:p w14:paraId="2E56C609" w14:textId="77777777" w:rsidR="002A720B" w:rsidRDefault="002A720B" w:rsidP="006356CF">
      <w:pPr>
        <w:pStyle w:val="Heading4"/>
      </w:pPr>
      <w:r>
        <w:t>Couple families</w:t>
      </w:r>
    </w:p>
    <w:p w14:paraId="51F80409" w14:textId="421D8EB2" w:rsidR="002A720B" w:rsidRDefault="002A720B" w:rsidP="002A720B">
      <w:r>
        <w:t>A couple</w:t>
      </w:r>
      <w:r w:rsidR="00E878F6">
        <w:t xml:space="preserve"> with both adults</w:t>
      </w:r>
      <w:r>
        <w:t xml:space="preserve"> earning minimum wage will find 52 out of 184 larger properties affordable for their family </w:t>
      </w:r>
      <w:r w:rsidR="21686E32">
        <w:t>(</w:t>
      </w:r>
      <w:r>
        <w:t>28</w:t>
      </w:r>
      <w:r w:rsidR="0CD5D828">
        <w:t>%</w:t>
      </w:r>
      <w:r w:rsidR="4A974004">
        <w:t>)</w:t>
      </w:r>
      <w:r w:rsidR="0CD5D828">
        <w:t>.</w:t>
      </w:r>
      <w:r>
        <w:t xml:space="preserve"> However</w:t>
      </w:r>
      <w:r w:rsidR="00875363">
        <w:t>,</w:t>
      </w:r>
      <w:r>
        <w:t xml:space="preserve"> they are vulnerable if anything happens such as job loss or illness. </w:t>
      </w:r>
      <w:r w:rsidR="00875363">
        <w:t xml:space="preserve">If only </w:t>
      </w:r>
      <w:r w:rsidR="001F49F9">
        <w:t xml:space="preserve">one </w:t>
      </w:r>
      <w:r w:rsidR="00D54D5C">
        <w:t xml:space="preserve">adult </w:t>
      </w:r>
      <w:r w:rsidR="00875363">
        <w:t>is earning</w:t>
      </w:r>
      <w:r w:rsidR="006B4DE9">
        <w:t xml:space="preserve"> a wage</w:t>
      </w:r>
      <w:r w:rsidR="00875363">
        <w:t xml:space="preserve">, they </w:t>
      </w:r>
      <w:r>
        <w:t xml:space="preserve">cannot </w:t>
      </w:r>
      <w:r w:rsidR="00875363">
        <w:t>rent a family</w:t>
      </w:r>
      <w:r w:rsidR="003E44E4">
        <w:t>-</w:t>
      </w:r>
      <w:r w:rsidR="00875363">
        <w:t>sized home</w:t>
      </w:r>
      <w:r>
        <w:t xml:space="preserve"> without stress and hardship, as there are only 6 three-bedroom properties advertised in the South they can afford. If both parents become unemployed, the only affordable house </w:t>
      </w:r>
      <w:r w:rsidR="006B4DE9">
        <w:t>is in</w:t>
      </w:r>
      <w:r>
        <w:t xml:space="preserve"> the </w:t>
      </w:r>
      <w:r w:rsidR="7B1AA8F1">
        <w:t>Central Highlands</w:t>
      </w:r>
      <w:r>
        <w:t xml:space="preserve"> far from schools and services.</w:t>
      </w:r>
    </w:p>
    <w:p w14:paraId="32BFB306" w14:textId="77777777" w:rsidR="002A720B" w:rsidRDefault="002A720B" w:rsidP="002A720B">
      <w:pPr>
        <w:rPr>
          <w:rFonts w:asciiTheme="majorHAnsi" w:eastAsiaTheme="majorEastAsia" w:hAnsiTheme="majorHAnsi" w:cstheme="majorBidi"/>
          <w:color w:val="0F4761" w:themeColor="accent1" w:themeShade="BF"/>
          <w:sz w:val="26"/>
          <w:szCs w:val="26"/>
        </w:rPr>
      </w:pPr>
      <w:r>
        <w:br w:type="page"/>
      </w:r>
    </w:p>
    <w:p w14:paraId="7F43BA47" w14:textId="59EA05EC" w:rsidR="002A720B" w:rsidRPr="008C6D51" w:rsidRDefault="002A720B" w:rsidP="003E44E4">
      <w:pPr>
        <w:pStyle w:val="Heading2"/>
        <w:rPr>
          <w:rFonts w:ascii="Avenir Next LT Pro" w:eastAsia="Avenir Next LT Pro" w:hAnsi="Avenir Next LT Pro" w:cs="Avenir Next LT Pro"/>
        </w:rPr>
      </w:pPr>
      <w:bookmarkStart w:id="14" w:name="_Toc227843603"/>
      <w:r w:rsidRPr="3AD7D649">
        <w:rPr>
          <w:rFonts w:ascii="Avenir Next LT Pro" w:eastAsia="Avenir Next LT Pro" w:hAnsi="Avenir Next LT Pro" w:cs="Avenir Next LT Pro"/>
        </w:rPr>
        <w:lastRenderedPageBreak/>
        <w:t>North</w:t>
      </w:r>
      <w:bookmarkEnd w:id="14"/>
    </w:p>
    <w:p w14:paraId="644E3279" w14:textId="42E6AF83" w:rsidR="002A720B" w:rsidRDefault="002A720B" w:rsidP="006356CF">
      <w:pPr>
        <w:pStyle w:val="Heading3"/>
      </w:pPr>
      <w:bookmarkStart w:id="15" w:name="_Toc227843604"/>
      <w:r>
        <w:t>Availability</w:t>
      </w:r>
      <w:bookmarkEnd w:id="15"/>
    </w:p>
    <w:p w14:paraId="26F32F64" w14:textId="22C57A38" w:rsidR="002A720B" w:rsidRDefault="002A720B" w:rsidP="002A720B">
      <w:r>
        <w:t xml:space="preserve">In the North, rental supply seems to have flatlined since recovering </w:t>
      </w:r>
      <w:r w:rsidR="55F83537">
        <w:t>post-</w:t>
      </w:r>
      <w:r>
        <w:t>pandemic</w:t>
      </w:r>
      <w:r w:rsidR="00E331D6">
        <w:t>, while the South has seen greater volatility</w:t>
      </w:r>
      <w:r>
        <w:t xml:space="preserve">. The number of properties advertised has scarcely changed since last year, from </w:t>
      </w:r>
      <w:r w:rsidR="17947A25">
        <w:t>27</w:t>
      </w:r>
      <w:r w:rsidR="2227AA47">
        <w:t>1</w:t>
      </w:r>
      <w:r>
        <w:t xml:space="preserve"> to 275. </w:t>
      </w:r>
    </w:p>
    <w:p w14:paraId="00285FBC" w14:textId="6B9B00CA" w:rsidR="003E44E4" w:rsidRPr="00866C1D" w:rsidRDefault="003E44E4" w:rsidP="002A720B">
      <w:r>
        <w:t>Figure 4: Number of properties advertised, North</w:t>
      </w:r>
    </w:p>
    <w:p w14:paraId="5A6DC43A" w14:textId="47F97DEB" w:rsidR="002A720B" w:rsidRDefault="002A720B" w:rsidP="002A720B">
      <w:r>
        <w:rPr>
          <w:noProof/>
          <w:lang w:val="en-US"/>
        </w:rPr>
        <w:drawing>
          <wp:inline distT="0" distB="0" distL="0" distR="0" wp14:anchorId="5CEF5BFB" wp14:editId="75967F8E">
            <wp:extent cx="5486400" cy="3200400"/>
            <wp:effectExtent l="0" t="0" r="0" b="0"/>
            <wp:docPr id="2" name="Chart 2" descr="Column graph &#10;in 2013, 809&#10;in 2014, 649&#10;in 2015, 593&#10;in 2016, 490&#10;in 2017, 413&#10;in 2018, 440&#10;in 2019, 354&#10;in 2020, 395&#10;in 2021, 209&#10;in 2022, 277&#10;in 2023, 277&#10;in 2024, 297&#10;in 2025, 271&#10;in 2026, 2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0DC80D" w14:textId="71376609" w:rsidR="002A720B" w:rsidRDefault="002A720B" w:rsidP="006356CF">
      <w:pPr>
        <w:pStyle w:val="Heading3"/>
      </w:pPr>
      <w:bookmarkStart w:id="16" w:name="_Toc227843605"/>
      <w:r>
        <w:t>Affordability</w:t>
      </w:r>
      <w:bookmarkEnd w:id="16"/>
    </w:p>
    <w:p w14:paraId="6BC07289" w14:textId="75525C9B" w:rsidR="002A720B" w:rsidRDefault="002A720B" w:rsidP="006356CF">
      <w:pPr>
        <w:pStyle w:val="Heading4"/>
      </w:pPr>
      <w:r>
        <w:t>Singles</w:t>
      </w:r>
    </w:p>
    <w:p w14:paraId="50F6ED7A" w14:textId="05B49C6B" w:rsidR="002A720B" w:rsidRPr="00741D06" w:rsidRDefault="002A720B" w:rsidP="002A720B">
      <w:r>
        <w:t xml:space="preserve">There were 48 sharehouse rooms advertised in the North on Snapshot weekend, at an average price of $266 a week. This is unaffordable for single people on Centrelink </w:t>
      </w:r>
      <w:r w:rsidR="00585A51">
        <w:t>income support payments</w:t>
      </w:r>
      <w:r>
        <w:t>. A person receiving Youth Allowance or JobSeeker cannot afford any of these sharehouses. A person receiving Age or Disability Support Pension can afford 15% of the sharehouses, but even the cheapest unshared properties are out of their budget. Even a person earning a full</w:t>
      </w:r>
      <w:r w:rsidR="00585A51">
        <w:t>-</w:t>
      </w:r>
      <w:r>
        <w:t>time equivalent minimum wage can only afford 19 of the advertised properties, only 2 of them unshared</w:t>
      </w:r>
      <w:r w:rsidR="00585A51">
        <w:t>.</w:t>
      </w:r>
      <w:r>
        <w:t xml:space="preserve"> </w:t>
      </w:r>
    </w:p>
    <w:p w14:paraId="2C0136F7" w14:textId="7CE16220" w:rsidR="002A720B" w:rsidRDefault="002A720B" w:rsidP="006356CF">
      <w:pPr>
        <w:pStyle w:val="Heading4"/>
      </w:pPr>
      <w:r>
        <w:t>Older people</w:t>
      </w:r>
    </w:p>
    <w:p w14:paraId="45A66CCF" w14:textId="51F19A4B" w:rsidR="002A720B" w:rsidRPr="00230193" w:rsidRDefault="002A720B" w:rsidP="002A720B">
      <w:r>
        <w:t>An older couple</w:t>
      </w:r>
      <w:r w:rsidR="00585A51">
        <w:t xml:space="preserve"> on the Age Pension</w:t>
      </w:r>
      <w:r>
        <w:t xml:space="preserve"> in </w:t>
      </w:r>
      <w:r w:rsidR="00585A51">
        <w:t xml:space="preserve">the North </w:t>
      </w:r>
      <w:r>
        <w:t xml:space="preserve">will find 9 affordable properties, located in areas such as George Town or the East Coast. A one-bedroom unit in a Launceston suburb starts at $320 a week, which </w:t>
      </w:r>
      <w:r w:rsidR="004E3922">
        <w:t>would put</w:t>
      </w:r>
      <w:r>
        <w:t xml:space="preserve"> them in rental stress. Such properties are also rare, with less than 10 advertised on </w:t>
      </w:r>
      <w:r w:rsidR="5754B813">
        <w:t xml:space="preserve">the </w:t>
      </w:r>
      <w:r>
        <w:t>Snapshot weekend. An older person alone can afford $210 a week in rent, which is only enough for the cheaper sharehouses.</w:t>
      </w:r>
    </w:p>
    <w:p w14:paraId="1CA91B31" w14:textId="4290BCB4" w:rsidR="002A720B" w:rsidRDefault="002A720B" w:rsidP="006356CF">
      <w:pPr>
        <w:pStyle w:val="Heading4"/>
      </w:pPr>
      <w:r>
        <w:lastRenderedPageBreak/>
        <w:t>Single parent families</w:t>
      </w:r>
    </w:p>
    <w:p w14:paraId="1E84E00C" w14:textId="04C900C2" w:rsidR="002A720B" w:rsidRPr="00E95E0B" w:rsidRDefault="002A720B" w:rsidP="002A720B">
      <w:r>
        <w:t xml:space="preserve">A single parent looking for a two-bedroom unit will probably need to pay over $400 a week to live in Launceston. This is </w:t>
      </w:r>
      <w:r w:rsidR="00AD5C32">
        <w:t xml:space="preserve">around </w:t>
      </w:r>
      <w:r>
        <w:t xml:space="preserve">50% of weekly income for someone receiving </w:t>
      </w:r>
      <w:r w:rsidR="00585A51">
        <w:t xml:space="preserve">Single </w:t>
      </w:r>
      <w:r>
        <w:t xml:space="preserve">Parenting Payment and over 50% for a person with an older child receiving JobSeeker. There </w:t>
      </w:r>
      <w:r w:rsidR="00585A51">
        <w:t>we</w:t>
      </w:r>
      <w:r>
        <w:t>re 122 three-bedroom properties across the North, starting at $340 a week for rural Weldborough, and averaging $564. A</w:t>
      </w:r>
      <w:r w:rsidR="003E44E4">
        <w:t xml:space="preserve"> </w:t>
      </w:r>
      <w:r>
        <w:t xml:space="preserve">single parent </w:t>
      </w:r>
      <w:r w:rsidR="00585A51">
        <w:t xml:space="preserve">working for the minimum wage </w:t>
      </w:r>
      <w:r>
        <w:t xml:space="preserve">will find just 14 of </w:t>
      </w:r>
      <w:r w:rsidR="299ADDC9">
        <w:t>the</w:t>
      </w:r>
      <w:r w:rsidR="0CD5D828">
        <w:t xml:space="preserve"> </w:t>
      </w:r>
      <w:r w:rsidR="50431DD4">
        <w:t xml:space="preserve">properties </w:t>
      </w:r>
      <w:r>
        <w:t>affordable.</w:t>
      </w:r>
    </w:p>
    <w:p w14:paraId="6A93FD81" w14:textId="2E2EBBD7" w:rsidR="002A720B" w:rsidRDefault="002A720B" w:rsidP="006356CF">
      <w:pPr>
        <w:pStyle w:val="Heading4"/>
      </w:pPr>
      <w:r>
        <w:t>Couple families</w:t>
      </w:r>
    </w:p>
    <w:p w14:paraId="4A713333" w14:textId="58A0BA3E" w:rsidR="002A720B" w:rsidRPr="007C041A" w:rsidRDefault="002A720B" w:rsidP="002A720B">
      <w:r>
        <w:t xml:space="preserve">Couples with two children can afford $563 a week if both </w:t>
      </w:r>
      <w:r w:rsidR="004E3922">
        <w:t>adults</w:t>
      </w:r>
      <w:r>
        <w:t xml:space="preserve"> earn a minimum wage, which puts them in a good position </w:t>
      </w:r>
      <w:r w:rsidR="00D17D48">
        <w:t>to afford</w:t>
      </w:r>
      <w:r>
        <w:t xml:space="preserve"> the average three-bedroom property in the North. With their income, they will find 77 affordable and appropriate properties. However</w:t>
      </w:r>
      <w:r w:rsidR="00585A51">
        <w:t>,</w:t>
      </w:r>
      <w:r>
        <w:t xml:space="preserve"> if they have only one </w:t>
      </w:r>
      <w:r w:rsidR="00585A51">
        <w:t>employment</w:t>
      </w:r>
      <w:r>
        <w:t xml:space="preserve"> income, their options are reduced to the bottom 11% of the three-bedroom properties, where they will also be competing with those who have a higher income</w:t>
      </w:r>
      <w:r w:rsidR="4ABD1623">
        <w:t xml:space="preserve">. </w:t>
      </w:r>
      <w:r>
        <w:t xml:space="preserve">Couples who are not in paid employment will either search for a rare cheap property in a rural area, or spend more than they can afford, </w:t>
      </w:r>
      <w:r w:rsidR="00E331D6">
        <w:t>resulting in</w:t>
      </w:r>
      <w:r w:rsidR="003E44E4">
        <w:t xml:space="preserve"> </w:t>
      </w:r>
      <w:r>
        <w:t>financial hardship for their growing children.</w:t>
      </w:r>
    </w:p>
    <w:p w14:paraId="73C61699" w14:textId="390BA740" w:rsidR="002A720B" w:rsidRDefault="002A720B" w:rsidP="002A720B">
      <w:pPr>
        <w:rPr>
          <w:rFonts w:asciiTheme="majorHAnsi" w:eastAsiaTheme="majorEastAsia" w:hAnsiTheme="majorHAnsi" w:cstheme="majorBidi"/>
          <w:color w:val="0F4761" w:themeColor="accent1" w:themeShade="BF"/>
          <w:sz w:val="26"/>
          <w:szCs w:val="26"/>
        </w:rPr>
      </w:pPr>
      <w:r>
        <w:br w:type="page"/>
      </w:r>
    </w:p>
    <w:p w14:paraId="115DDB14" w14:textId="77777777" w:rsidR="002A720B" w:rsidRPr="002A720B" w:rsidRDefault="002A720B" w:rsidP="002A720B">
      <w:pPr>
        <w:pStyle w:val="Heading2"/>
        <w:rPr>
          <w:rFonts w:ascii="Avenir Next LT Pro" w:hAnsi="Avenir Next LT Pro"/>
        </w:rPr>
      </w:pPr>
      <w:bookmarkStart w:id="17" w:name="_Toc227843606"/>
      <w:r w:rsidRPr="002A720B">
        <w:rPr>
          <w:rFonts w:ascii="Avenir Next LT Pro" w:hAnsi="Avenir Next LT Pro"/>
        </w:rPr>
        <w:lastRenderedPageBreak/>
        <w:t>North West</w:t>
      </w:r>
      <w:bookmarkEnd w:id="17"/>
    </w:p>
    <w:p w14:paraId="58AA4C88" w14:textId="77777777" w:rsidR="002A720B" w:rsidRDefault="002A720B" w:rsidP="006356CF">
      <w:pPr>
        <w:pStyle w:val="Heading3"/>
      </w:pPr>
      <w:bookmarkStart w:id="18" w:name="_Toc227843607"/>
      <w:r>
        <w:t>Availability</w:t>
      </w:r>
      <w:bookmarkEnd w:id="18"/>
    </w:p>
    <w:p w14:paraId="1846D513" w14:textId="4D464D48" w:rsidR="002A720B" w:rsidRDefault="4B3CF96B" w:rsidP="002A720B">
      <w:r>
        <w:t xml:space="preserve">The number of available properties </w:t>
      </w:r>
      <w:r w:rsidR="004E3922">
        <w:t xml:space="preserve">in the North West </w:t>
      </w:r>
      <w:r>
        <w:t>has not</w:t>
      </w:r>
      <w:r w:rsidR="002A720B">
        <w:t xml:space="preserve"> changed since last year. Apart from a spike in 2024, the number of properties advertised has remained </w:t>
      </w:r>
      <w:r w:rsidR="00E331D6">
        <w:t>similar</w:t>
      </w:r>
      <w:r w:rsidR="003E44E4">
        <w:t xml:space="preserve"> </w:t>
      </w:r>
      <w:r w:rsidR="002A720B">
        <w:t xml:space="preserve">since the pandemic. </w:t>
      </w:r>
      <w:r w:rsidR="00E331D6">
        <w:t>Under current conditions, t</w:t>
      </w:r>
      <w:r w:rsidR="002A720B">
        <w:t>here is little hope that the market might return to the relative plenty of ten years ago.</w:t>
      </w:r>
    </w:p>
    <w:p w14:paraId="1B2AC4BB" w14:textId="22BF9511" w:rsidR="003E44E4" w:rsidRDefault="003E44E4" w:rsidP="002A720B">
      <w:r>
        <w:t>Figure 5: Number of properties advertised, North West</w:t>
      </w:r>
    </w:p>
    <w:p w14:paraId="7069014E" w14:textId="77777777" w:rsidR="002A720B" w:rsidRDefault="002A720B" w:rsidP="002A720B">
      <w:r>
        <w:rPr>
          <w:noProof/>
          <w:lang w:val="en-US"/>
        </w:rPr>
        <w:drawing>
          <wp:inline distT="0" distB="0" distL="0" distR="0" wp14:anchorId="0F410DCD" wp14:editId="39B46022">
            <wp:extent cx="5486400" cy="3200400"/>
            <wp:effectExtent l="0" t="0" r="0" b="0"/>
            <wp:docPr id="3" name="Chart 3" descr="Column graph &#10;in 2013, 563&#10;in 2014, 420&#10;in 2015, 393&#10;in 2016, 481&#10;in 2017, 438&#10;in 2018, 243&#10;in 2019, 262&#10;in 2020, 141&#10;in 2021, 87&#10;in 2022, 121&#10;in 2023, 123&#10;in 2024, 171&#10;in 2026, 125&#10;in 2026,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641183" w14:textId="77777777" w:rsidR="002A720B" w:rsidRDefault="002A720B" w:rsidP="006356CF">
      <w:pPr>
        <w:pStyle w:val="Heading3"/>
      </w:pPr>
      <w:bookmarkStart w:id="19" w:name="_Toc227843608"/>
      <w:r>
        <w:t>Affordability</w:t>
      </w:r>
      <w:bookmarkEnd w:id="19"/>
    </w:p>
    <w:p w14:paraId="250091F4" w14:textId="77777777" w:rsidR="002A720B" w:rsidRDefault="002A720B" w:rsidP="006356CF">
      <w:pPr>
        <w:pStyle w:val="Heading4"/>
      </w:pPr>
      <w:r>
        <w:t>Singles</w:t>
      </w:r>
    </w:p>
    <w:p w14:paraId="21EBFC6F" w14:textId="71328348" w:rsidR="002A720B" w:rsidRPr="00CA25BE" w:rsidRDefault="002A720B" w:rsidP="002A720B">
      <w:r>
        <w:t xml:space="preserve">The North West has very few properties available for anyone, and single households are worst off. </w:t>
      </w:r>
      <w:r w:rsidR="2283F72C">
        <w:t xml:space="preserve">Even a </w:t>
      </w:r>
      <w:r w:rsidR="00D31CAB">
        <w:t xml:space="preserve">person earning a full-time minimum wage </w:t>
      </w:r>
      <w:r w:rsidR="02D31513">
        <w:t>can</w:t>
      </w:r>
      <w:r w:rsidR="00D17D48">
        <w:t xml:space="preserve"> </w:t>
      </w:r>
      <w:r w:rsidR="3E52DD10">
        <w:t>only</w:t>
      </w:r>
      <w:r w:rsidR="00D31CAB">
        <w:t xml:space="preserve"> afford 6</w:t>
      </w:r>
      <w:r w:rsidR="00045A16">
        <w:t xml:space="preserve"> of the advertised properties, and a person relying on Centrelink payments can afford just 4</w:t>
      </w:r>
      <w:r>
        <w:t>. One-bedroom units in Burnie or Devonport tend to be priced around $300, which is over 35% of income</w:t>
      </w:r>
      <w:r w:rsidR="004E3922">
        <w:t xml:space="preserve"> for a person on the minimum wage</w:t>
      </w:r>
      <w:r>
        <w:t xml:space="preserve">. Those on lower Centrelink payments, such as JobSeeker or Youth Allowance, will not be able to afford any properties advertised, and if they apply for a more expensive place, will find their income uncompetitive </w:t>
      </w:r>
      <w:r w:rsidR="00321684">
        <w:t xml:space="preserve">compared to </w:t>
      </w:r>
      <w:r>
        <w:t>other applicants.</w:t>
      </w:r>
    </w:p>
    <w:p w14:paraId="753FEA0A" w14:textId="77777777" w:rsidR="002A720B" w:rsidRDefault="002A720B" w:rsidP="006356CF">
      <w:pPr>
        <w:pStyle w:val="Heading4"/>
      </w:pPr>
      <w:r>
        <w:t>Older people</w:t>
      </w:r>
    </w:p>
    <w:p w14:paraId="300278EC" w14:textId="1484B370" w:rsidR="002A720B" w:rsidRPr="001E4444" w:rsidRDefault="002A720B" w:rsidP="002A720B">
      <w:r>
        <w:t xml:space="preserve">Most properties in the North West are larger homes with three or more bedrooms. An older couple who </w:t>
      </w:r>
      <w:r w:rsidR="6C49B153">
        <w:t>ha</w:t>
      </w:r>
      <w:r w:rsidR="00A05D6F">
        <w:t>ve</w:t>
      </w:r>
      <w:r>
        <w:t xml:space="preserve"> downsized, and cannot afford a big house in any case, will find only 20% of properties are smaller</w:t>
      </w:r>
      <w:r w:rsidR="17947A25">
        <w:t>.</w:t>
      </w:r>
      <w:r>
        <w:t xml:space="preserve"> At an average of $363 a week, most of these properties will leave </w:t>
      </w:r>
      <w:r w:rsidR="009E4EEA">
        <w:t>an</w:t>
      </w:r>
      <w:r>
        <w:t xml:space="preserve"> older couple</w:t>
      </w:r>
      <w:r w:rsidR="009E4EEA">
        <w:t xml:space="preserve"> on the Age Pension</w:t>
      </w:r>
      <w:r>
        <w:t xml:space="preserve"> in rental stress. An </w:t>
      </w:r>
      <w:r>
        <w:lastRenderedPageBreak/>
        <w:t>older person alone, perhaps widowed or divorced, will find the average small unit costs around 50% of their Age Pension, and even</w:t>
      </w:r>
      <w:r w:rsidR="009E4EEA">
        <w:t xml:space="preserve"> affordable</w:t>
      </w:r>
      <w:r>
        <w:t xml:space="preserve"> sharehouses are rare.</w:t>
      </w:r>
    </w:p>
    <w:p w14:paraId="69E5AFCD" w14:textId="77777777" w:rsidR="002A720B" w:rsidRDefault="002A720B" w:rsidP="006356CF">
      <w:pPr>
        <w:pStyle w:val="Heading4"/>
      </w:pPr>
      <w:r>
        <w:t>Single parent families</w:t>
      </w:r>
    </w:p>
    <w:p w14:paraId="2B9642E9" w14:textId="0215AD52" w:rsidR="002A720B" w:rsidRPr="000C03CE" w:rsidRDefault="002A720B" w:rsidP="002A720B">
      <w:r>
        <w:t xml:space="preserve">The North West is the only region where a person receiving Single Parenting Payment has a chance of finding an affordable property, but these few </w:t>
      </w:r>
      <w:r w:rsidR="004C3926">
        <w:t>are</w:t>
      </w:r>
      <w:r>
        <w:t xml:space="preserve"> exclusively located on the West Coast. A single parent looking to live in Burnie or Devonport, close to schools and services, is no better off than their counterpart in the South. A</w:t>
      </w:r>
      <w:r w:rsidR="004C3926">
        <w:t>n employed</w:t>
      </w:r>
      <w:r>
        <w:t xml:space="preserve"> single parent </w:t>
      </w:r>
      <w:r w:rsidR="004C3926">
        <w:t xml:space="preserve">working for the minimum wage </w:t>
      </w:r>
      <w:r>
        <w:t xml:space="preserve">has a budget of $444 a week, which falls short of the average three-bedroom property, but still gives them 23 to choose </w:t>
      </w:r>
      <w:r w:rsidR="2854A019">
        <w:t xml:space="preserve">from </w:t>
      </w:r>
      <w:r>
        <w:t>across the region.</w:t>
      </w:r>
    </w:p>
    <w:p w14:paraId="3E91ACA7" w14:textId="77777777" w:rsidR="002A720B" w:rsidRDefault="002A720B" w:rsidP="006356CF">
      <w:pPr>
        <w:pStyle w:val="Heading4"/>
      </w:pPr>
      <w:r>
        <w:t>Couple families</w:t>
      </w:r>
    </w:p>
    <w:p w14:paraId="387605A1" w14:textId="35B2FA88" w:rsidR="00905068" w:rsidRDefault="002A720B">
      <w:r>
        <w:t xml:space="preserve">There were 81 properties with three or more bedrooms advertised in the North West on Snapshot weekend, suitable for families. The average price for these larger properties was $491, comfortably within budget for a family with two </w:t>
      </w:r>
      <w:r w:rsidR="004C3926">
        <w:t xml:space="preserve">minimum </w:t>
      </w:r>
      <w:r>
        <w:t xml:space="preserve">wage-earners. For these families, availability </w:t>
      </w:r>
      <w:r w:rsidR="004C3926">
        <w:t>may</w:t>
      </w:r>
      <w:r>
        <w:t xml:space="preserve"> be more of a problem than affordability. Households who do not have two full</w:t>
      </w:r>
      <w:r w:rsidR="004C3926">
        <w:t>-</w:t>
      </w:r>
      <w:r>
        <w:t xml:space="preserve">time </w:t>
      </w:r>
      <w:r w:rsidR="004C3926">
        <w:t>employed adults</w:t>
      </w:r>
      <w:r>
        <w:t xml:space="preserve"> cannot afford the average family</w:t>
      </w:r>
      <w:r w:rsidR="2E9087D6">
        <w:t>-sized</w:t>
      </w:r>
      <w:r>
        <w:t xml:space="preserve"> home and must look for cheaper options, often outside the main population centres. A family </w:t>
      </w:r>
      <w:r w:rsidR="004C3926">
        <w:t xml:space="preserve">receiving only </w:t>
      </w:r>
      <w:r>
        <w:t>Centrelink</w:t>
      </w:r>
      <w:r w:rsidR="004C3926">
        <w:t xml:space="preserve"> payments</w:t>
      </w:r>
      <w:r>
        <w:t xml:space="preserve"> </w:t>
      </w:r>
      <w:r w:rsidR="004C3926">
        <w:t>will</w:t>
      </w:r>
      <w:r>
        <w:t xml:space="preserve"> </w:t>
      </w:r>
      <w:r w:rsidR="004C3926">
        <w:t>struggle</w:t>
      </w:r>
      <w:r>
        <w:t xml:space="preserve">, with the average property costing over 40% of their </w:t>
      </w:r>
      <w:r w:rsidR="68BB9DE2">
        <w:t>income</w:t>
      </w:r>
      <w:r w:rsidR="17947A25">
        <w:t>.</w:t>
      </w:r>
      <w:r>
        <w:t xml:space="preserve"> </w:t>
      </w:r>
      <w:r w:rsidR="004C3926">
        <w:t xml:space="preserve">They are likely to be at a disadvantage when applying for properties, </w:t>
      </w:r>
      <w:r w:rsidR="00DC72B9">
        <w:t xml:space="preserve">compared to employed applicants with higher incomes. </w:t>
      </w:r>
      <w:r w:rsidR="004C3926">
        <w:t xml:space="preserve"> </w:t>
      </w:r>
      <w:r w:rsidR="00905068">
        <w:br w:type="page"/>
      </w:r>
    </w:p>
    <w:p w14:paraId="3B8E917D" w14:textId="1C4259A6" w:rsidR="00905068" w:rsidRPr="00905068" w:rsidRDefault="00905068" w:rsidP="00905068">
      <w:pPr>
        <w:pStyle w:val="Heading1"/>
        <w:rPr>
          <w:rFonts w:ascii="Avenir Next LT Pro" w:hAnsi="Avenir Next LT Pro"/>
        </w:rPr>
      </w:pPr>
      <w:bookmarkStart w:id="20" w:name="_Toc227843609"/>
      <w:r w:rsidRPr="00905068">
        <w:rPr>
          <w:rFonts w:ascii="Avenir Next LT Pro" w:hAnsi="Avenir Next LT Pro"/>
        </w:rPr>
        <w:lastRenderedPageBreak/>
        <w:t>Rising rents are outstripping incomes</w:t>
      </w:r>
      <w:bookmarkEnd w:id="20"/>
    </w:p>
    <w:p w14:paraId="208D425F" w14:textId="715095C5" w:rsidR="00E43368" w:rsidRDefault="000E6D63" w:rsidP="00351BE4">
      <w:r w:rsidRPr="0037676D">
        <w:t>Analysis of Rental Affordability Snapshot data from 2013 to 2026 shows that median rents</w:t>
      </w:r>
      <w:r w:rsidR="00EA7926">
        <w:t xml:space="preserve"> </w:t>
      </w:r>
      <w:r w:rsidR="342DF3F3">
        <w:t>are rising</w:t>
      </w:r>
      <w:r w:rsidR="00EA7926">
        <w:t xml:space="preserve"> risen faster than </w:t>
      </w:r>
      <w:r w:rsidR="00B55DED">
        <w:t>income</w:t>
      </w:r>
      <w:r w:rsidR="00EA7926">
        <w:t>s</w:t>
      </w:r>
      <w:r w:rsidR="00321684">
        <w:t>,</w:t>
      </w:r>
      <w:r w:rsidR="00EA7926">
        <w:t xml:space="preserve"> and this trend has </w:t>
      </w:r>
      <w:r w:rsidR="4ACDDB0C">
        <w:t>largely</w:t>
      </w:r>
      <w:r w:rsidR="00EA7926">
        <w:t xml:space="preserve"> intensified since 2020</w:t>
      </w:r>
      <w:r w:rsidRPr="0037676D">
        <w:t>.</w:t>
      </w:r>
      <w:r>
        <w:rPr>
          <w:rStyle w:val="FootnoteReference"/>
        </w:rPr>
        <w:footnoteReference w:id="6"/>
      </w:r>
      <w:r w:rsidRPr="0037676D">
        <w:t xml:space="preserve"> </w:t>
      </w:r>
    </w:p>
    <w:p w14:paraId="63186B8E" w14:textId="33420A85" w:rsidR="00E43368" w:rsidRDefault="00351BE4" w:rsidP="00E43368">
      <w:r>
        <w:t>Limited r</w:t>
      </w:r>
      <w:r w:rsidRPr="00425028">
        <w:t>ental affordability</w:t>
      </w:r>
      <w:r>
        <w:t xml:space="preserve"> and availability</w:t>
      </w:r>
      <w:r w:rsidRPr="00425028">
        <w:t xml:space="preserve"> </w:t>
      </w:r>
      <w:r w:rsidR="3103B8FD">
        <w:t>have</w:t>
      </w:r>
      <w:r w:rsidRPr="00425028">
        <w:t xml:space="preserve"> broad impacts in the community</w:t>
      </w:r>
      <w:r>
        <w:t xml:space="preserve"> and the economy. </w:t>
      </w:r>
      <w:r w:rsidR="00E43368">
        <w:t>Housing insecurity impacts people’s mental health and wellbeing, financial security, ability to parent, and ability to engage in paid work and the community.</w:t>
      </w:r>
      <w:r w:rsidR="00E43368" w:rsidRPr="004B77BD">
        <w:t xml:space="preserve"> </w:t>
      </w:r>
    </w:p>
    <w:p w14:paraId="7BA21167" w14:textId="3AE30BE4" w:rsidR="00351BE4" w:rsidRPr="00A82E73" w:rsidRDefault="00351BE4" w:rsidP="00351BE4">
      <w:pPr>
        <w:rPr>
          <w:rFonts w:eastAsiaTheme="majorEastAsia" w:cstheme="majorBidi"/>
          <w:color w:val="595959" w:themeColor="text1" w:themeTint="A6"/>
          <w:spacing w:val="15"/>
          <w:sz w:val="28"/>
          <w:szCs w:val="28"/>
        </w:rPr>
      </w:pPr>
      <w:r>
        <w:t>Those most affected are</w:t>
      </w:r>
      <w:r w:rsidRPr="00425028">
        <w:t xml:space="preserve"> people on low incomes, young people, people seeking employment, older people, and people with a disability. </w:t>
      </w:r>
    </w:p>
    <w:p w14:paraId="7F563DDC" w14:textId="3D7F6D53" w:rsidR="00EA7926" w:rsidRDefault="00C63A2B" w:rsidP="000E6D63">
      <w:r>
        <w:t>In this section we explore how rising rents for different property types are impacting Tasmanians on low incomes who are looking for housing.</w:t>
      </w:r>
    </w:p>
    <w:p w14:paraId="35FB829A" w14:textId="012E9B7B" w:rsidR="00EA7926" w:rsidRPr="00C82823" w:rsidRDefault="00C63A2B" w:rsidP="00C82823">
      <w:pPr>
        <w:pStyle w:val="Heading2"/>
        <w:rPr>
          <w:rFonts w:ascii="Avenir Next LT Pro" w:hAnsi="Avenir Next LT Pro"/>
          <w:sz w:val="40"/>
          <w:szCs w:val="40"/>
        </w:rPr>
      </w:pPr>
      <w:bookmarkStart w:id="21" w:name="_Toc227843610"/>
      <w:r w:rsidRPr="00C82823">
        <w:rPr>
          <w:rFonts w:ascii="Avenir Next LT Pro" w:hAnsi="Avenir Next LT Pro"/>
        </w:rPr>
        <w:t>People seeking one-bedroom rentals</w:t>
      </w:r>
      <w:bookmarkEnd w:id="21"/>
    </w:p>
    <w:p w14:paraId="0E2C6F9A" w14:textId="77777777" w:rsidR="00854DFE" w:rsidRDefault="000E6D63" w:rsidP="000E6D63">
      <w:r w:rsidRPr="006356CF">
        <w:t xml:space="preserve">Figure </w:t>
      </w:r>
      <w:r w:rsidR="00321684" w:rsidRPr="00321684">
        <w:t>6</w:t>
      </w:r>
      <w:r w:rsidRPr="00321684">
        <w:t xml:space="preserve"> below shows that</w:t>
      </w:r>
      <w:r w:rsidR="00187536" w:rsidRPr="00321684">
        <w:t xml:space="preserve"> </w:t>
      </w:r>
      <w:r w:rsidR="00187536" w:rsidRPr="00321684">
        <w:rPr>
          <w:b/>
          <w:bCs/>
        </w:rPr>
        <w:t>for the first time</w:t>
      </w:r>
      <w:r w:rsidRPr="00321684">
        <w:t xml:space="preserve"> </w:t>
      </w:r>
      <w:r w:rsidRPr="00321684">
        <w:rPr>
          <w:b/>
          <w:bCs/>
        </w:rPr>
        <w:t>the median rent of a sharehouse is now unaffordable for</w:t>
      </w:r>
      <w:r w:rsidR="00EA7926" w:rsidRPr="00321684">
        <w:rPr>
          <w:b/>
          <w:bCs/>
        </w:rPr>
        <w:t xml:space="preserve"> </w:t>
      </w:r>
      <w:r w:rsidRPr="00321684">
        <w:rPr>
          <w:b/>
          <w:bCs/>
        </w:rPr>
        <w:t>low-income single households, including those on the minimum wage.</w:t>
      </w:r>
      <w:r w:rsidRPr="00321684">
        <w:t xml:space="preserve"> </w:t>
      </w:r>
      <w:r w:rsidR="00187536" w:rsidRPr="00321684">
        <w:t>There is</w:t>
      </w:r>
      <w:r w:rsidR="106682B5">
        <w:t xml:space="preserve"> </w:t>
      </w:r>
      <w:r w:rsidR="03E4B5BE">
        <w:t>generally</w:t>
      </w:r>
      <w:r w:rsidR="00187536" w:rsidRPr="00321684">
        <w:t xml:space="preserve"> no </w:t>
      </w:r>
      <w:r w:rsidR="00B95A09" w:rsidRPr="00321684">
        <w:t>cheaper</w:t>
      </w:r>
      <w:r w:rsidR="00187536" w:rsidRPr="00321684">
        <w:t xml:space="preserve"> category </w:t>
      </w:r>
      <w:r w:rsidR="529E06AD">
        <w:t>of housing</w:t>
      </w:r>
      <w:r w:rsidR="106682B5">
        <w:t xml:space="preserve"> </w:t>
      </w:r>
      <w:r w:rsidR="00187536" w:rsidRPr="00321684">
        <w:t xml:space="preserve">in the private rental market than a sharehouse room. </w:t>
      </w:r>
    </w:p>
    <w:p w14:paraId="2E39A22D" w14:textId="3440AA53" w:rsidR="000E6D63" w:rsidRPr="006356CF" w:rsidRDefault="000E6D63" w:rsidP="000E6D63">
      <w:r w:rsidRPr="006356CF">
        <w:t xml:space="preserve">Figure </w:t>
      </w:r>
      <w:r w:rsidR="00321684" w:rsidRPr="006356CF">
        <w:t>6</w:t>
      </w:r>
      <w:r w:rsidRPr="006356CF">
        <w:t xml:space="preserve">: </w:t>
      </w:r>
      <w:r w:rsidR="00321684">
        <w:t xml:space="preserve">Median rents for sharehouse rooms </w:t>
      </w:r>
      <w:r w:rsidR="55DB913C">
        <w:t xml:space="preserve">in Snapshot week </w:t>
      </w:r>
      <w:r w:rsidR="00321684">
        <w:t xml:space="preserve">compared to </w:t>
      </w:r>
      <w:r w:rsidR="00570580">
        <w:t xml:space="preserve">maximum </w:t>
      </w:r>
      <w:r w:rsidR="00321684">
        <w:t>affordable rental price for various households</w:t>
      </w:r>
      <w:r w:rsidR="3FF3741F">
        <w:t>, 2013-2026</w:t>
      </w:r>
      <w:r w:rsidR="005B321F">
        <w:rPr>
          <w:noProof/>
        </w:rPr>
        <w:drawing>
          <wp:inline distT="0" distB="0" distL="0" distR="0" wp14:anchorId="2FD2FDFB" wp14:editId="7F2A5233">
            <wp:extent cx="5086350" cy="3409950"/>
            <wp:effectExtent l="0" t="0" r="0" b="0"/>
            <wp:docPr id="2079096436" name="Chart 1" descr="Line graph &#10;For most of the time period, the affordable rent for a single person on minimum wage is above the median rental price, except 2026 when the median leaps sharply upwards.&#10;The affordable rent for a single person on Age Pension starts off under the median, but is soon outpaced.&#10;The lines for people on JobSeeker or Youth Allowance are both well under the median line.">
              <a:extLst xmlns:a="http://schemas.openxmlformats.org/drawingml/2006/main">
                <a:ext uri="{FF2B5EF4-FFF2-40B4-BE49-F238E27FC236}">
                  <a16:creationId xmlns:a16="http://schemas.microsoft.com/office/drawing/2014/main" id="{4853B2CB-9576-13AF-7E19-BC218B5AC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41DB70" w14:textId="3F7BFAC7" w:rsidR="00F03B4E" w:rsidRDefault="00F03B4E" w:rsidP="00F03B4E">
      <w:r>
        <w:br w:type="page"/>
      </w:r>
      <w:r w:rsidR="00FE243F">
        <w:lastRenderedPageBreak/>
        <w:t>Anglicare Tasmania’s frontline workers support people experiencing housing instability and homelessness</w:t>
      </w:r>
      <w:r w:rsidR="45343DB0">
        <w:t>.</w:t>
      </w:r>
      <w:r w:rsidR="00E47217">
        <w:t xml:space="preserve"> </w:t>
      </w:r>
      <w:r w:rsidR="011C6786">
        <w:t>Anglicare</w:t>
      </w:r>
      <w:r w:rsidR="2A20FCD4">
        <w:t>’s</w:t>
      </w:r>
      <w:r>
        <w:t xml:space="preserve"> </w:t>
      </w:r>
      <w:hyperlink r:id="rId21" w:history="1">
        <w:r w:rsidRPr="003A6BC8">
          <w:rPr>
            <w:rStyle w:val="Hyperlink"/>
          </w:rPr>
          <w:t xml:space="preserve">December 2025 Housing Connect Front Door </w:t>
        </w:r>
        <w:r w:rsidR="00321684" w:rsidRPr="003A6BC8">
          <w:rPr>
            <w:rStyle w:val="Hyperlink"/>
          </w:rPr>
          <w:t>S</w:t>
        </w:r>
        <w:r w:rsidRPr="003A6BC8">
          <w:rPr>
            <w:rStyle w:val="Hyperlink"/>
          </w:rPr>
          <w:t xml:space="preserve">ervice </w:t>
        </w:r>
        <w:r w:rsidR="00321684" w:rsidRPr="003A6BC8">
          <w:rPr>
            <w:rStyle w:val="Hyperlink"/>
          </w:rPr>
          <w:t>S</w:t>
        </w:r>
        <w:r w:rsidRPr="003A6BC8">
          <w:rPr>
            <w:rStyle w:val="Hyperlink"/>
          </w:rPr>
          <w:t>napshot</w:t>
        </w:r>
      </w:hyperlink>
      <w:r>
        <w:t xml:space="preserve"> found an increase of 41% </w:t>
      </w:r>
      <w:r w:rsidR="00321684">
        <w:t>in the</w:t>
      </w:r>
      <w:r>
        <w:t xml:space="preserve"> number of Tasmanians seeking housing support through the service since the same time last year.</w:t>
      </w:r>
      <w:r>
        <w:rPr>
          <w:rStyle w:val="FootnoteReference"/>
        </w:rPr>
        <w:footnoteReference w:id="7"/>
      </w:r>
    </w:p>
    <w:p w14:paraId="5BB5D28A" w14:textId="30019750" w:rsidR="0022350C" w:rsidRPr="00FE243F" w:rsidRDefault="00F03B4E">
      <w:r>
        <w:t xml:space="preserve">People like Andy, who have not previously had difficulty finding a rental, are struggling in this market. </w:t>
      </w:r>
    </w:p>
    <w:tbl>
      <w:tblPr>
        <w:tblStyle w:val="TableGrid"/>
        <w:tblW w:w="0" w:type="auto"/>
        <w:tblLook w:val="06A0" w:firstRow="1" w:lastRow="0" w:firstColumn="1" w:lastColumn="0" w:noHBand="1" w:noVBand="1"/>
      </w:tblPr>
      <w:tblGrid>
        <w:gridCol w:w="9015"/>
      </w:tblGrid>
      <w:tr w:rsidR="62322F90" w14:paraId="0BEF77DC" w14:textId="77777777" w:rsidTr="62322F90">
        <w:trPr>
          <w:trHeight w:val="300"/>
        </w:trPr>
        <w:tc>
          <w:tcPr>
            <w:tcW w:w="9015" w:type="dxa"/>
          </w:tcPr>
          <w:p w14:paraId="3691F227" w14:textId="0A68882C" w:rsidR="009D3D8C" w:rsidRDefault="009D3D8C" w:rsidP="3AD7D649">
            <w:pPr>
              <w:pStyle w:val="Subtitle"/>
              <w:spacing w:line="257" w:lineRule="auto"/>
              <w:rPr>
                <w:rFonts w:eastAsia="Avenir Next LT Pro" w:cs="Avenir Next LT Pro"/>
              </w:rPr>
            </w:pPr>
            <w:r w:rsidRPr="14A1437A">
              <w:rPr>
                <w:rFonts w:eastAsia="Avenir Next LT Pro" w:cs="Avenir Next LT Pro"/>
              </w:rPr>
              <w:t>Andy</w:t>
            </w:r>
          </w:p>
          <w:p w14:paraId="55ACA57A" w14:textId="12507D76" w:rsidR="009D3D8C" w:rsidRDefault="009D3D8C" w:rsidP="3AD7D649">
            <w:pPr>
              <w:spacing w:after="160" w:line="257" w:lineRule="auto"/>
              <w:rPr>
                <w:rFonts w:eastAsia="Avenir Next LT Pro" w:cs="Avenir Next LT Pro"/>
              </w:rPr>
            </w:pPr>
            <w:r w:rsidRPr="3AD7D649">
              <w:rPr>
                <w:rFonts w:eastAsia="Avenir Next LT Pro" w:cs="Avenir Next LT Pro"/>
              </w:rPr>
              <w:t xml:space="preserve">Andy had moved before and thought </w:t>
            </w:r>
            <w:r w:rsidR="337C317E" w:rsidRPr="3AD7D649">
              <w:rPr>
                <w:rFonts w:eastAsia="Avenir Next LT Pro" w:cs="Avenir Next LT Pro"/>
              </w:rPr>
              <w:t xml:space="preserve">finding a new rental property </w:t>
            </w:r>
            <w:r w:rsidR="00070CC6" w:rsidRPr="3AD7D649">
              <w:rPr>
                <w:rFonts w:eastAsia="Avenir Next LT Pro" w:cs="Avenir Next LT Pro"/>
              </w:rPr>
              <w:t>would be</w:t>
            </w:r>
            <w:r w:rsidRPr="3AD7D649">
              <w:rPr>
                <w:rFonts w:eastAsia="Avenir Next LT Pro" w:cs="Avenir Next LT Pro"/>
              </w:rPr>
              <w:t xml:space="preserve"> routine. They were a good tenant – neat and tidy, quiet, always paying their rent on time. It was true that they hadn’t moved since the pandemic and the rental market had changed, but they were willing to be flexible about location and would even consider a sharehouse, although not all sharehouse situations would be suitable for their disability.</w:t>
            </w:r>
          </w:p>
          <w:p w14:paraId="2DEE5FF6" w14:textId="283479C2" w:rsidR="009D3D8C" w:rsidRDefault="009D3D8C" w:rsidP="3AD7D649">
            <w:pPr>
              <w:spacing w:after="160" w:line="257" w:lineRule="auto"/>
              <w:rPr>
                <w:rFonts w:eastAsia="Avenir Next LT Pro" w:cs="Avenir Next LT Pro"/>
              </w:rPr>
            </w:pPr>
            <w:r w:rsidRPr="3AD7D649">
              <w:rPr>
                <w:rFonts w:eastAsia="Avenir Next LT Pro" w:cs="Avenir Next LT Pro"/>
              </w:rPr>
              <w:t>A month later, and Andy doesn’t know what to do. The lease end date is fast approaching and they’ve applied for everything, even properties they can’t really afford. They’ve been unsuccessful every time. Ten years ago, they would search for affordable units in the North West and find dozens. Now they’re lucky to find more than one or two. They’ve attended property viewings that attracted crowds of people, each with their own story to tell.</w:t>
            </w:r>
          </w:p>
          <w:p w14:paraId="0C604F96" w14:textId="7C711F8C" w:rsidR="009D3D8C" w:rsidRDefault="009D3D8C" w:rsidP="3AD7D649">
            <w:pPr>
              <w:spacing w:after="160" w:line="257" w:lineRule="auto"/>
              <w:rPr>
                <w:rFonts w:eastAsia="Avenir Next LT Pro" w:cs="Avenir Next LT Pro"/>
              </w:rPr>
            </w:pPr>
            <w:r w:rsidRPr="3AD7D649">
              <w:rPr>
                <w:rFonts w:eastAsia="Avenir Next LT Pro" w:cs="Avenir Next LT Pro"/>
              </w:rPr>
              <w:t xml:space="preserve">A one-bedroom unit in Devonport is likely to cost around $350 a week. Even with Commonwealth Rent Assistance factored in, that would be about half of Andy’s income. A sharehouse would be cheaper, but Andy has not yet found one they feel they can live in, given their ongoing health needs. </w:t>
            </w:r>
          </w:p>
          <w:p w14:paraId="60ECEAA8" w14:textId="3AB1EEA2" w:rsidR="009D3D8C" w:rsidRDefault="009D3D8C" w:rsidP="3AD7D649">
            <w:pPr>
              <w:spacing w:after="160" w:line="257" w:lineRule="auto"/>
              <w:rPr>
                <w:rFonts w:eastAsia="Avenir Next LT Pro" w:cs="Avenir Next LT Pro"/>
              </w:rPr>
            </w:pPr>
            <w:r w:rsidRPr="3AD7D649">
              <w:rPr>
                <w:rFonts w:eastAsia="Avenir Next LT Pro" w:cs="Avenir Next LT Pro"/>
              </w:rPr>
              <w:t>Affordable budget: $210</w:t>
            </w:r>
          </w:p>
          <w:p w14:paraId="67C72123" w14:textId="3759A622" w:rsidR="009D3D8C" w:rsidRDefault="009D3D8C" w:rsidP="3AD7D649">
            <w:pPr>
              <w:spacing w:after="160" w:line="257" w:lineRule="auto"/>
              <w:rPr>
                <w:rFonts w:eastAsia="Avenir Next LT Pro" w:cs="Avenir Next LT Pro"/>
              </w:rPr>
            </w:pPr>
            <w:r w:rsidRPr="3AD7D649">
              <w:rPr>
                <w:rFonts w:eastAsia="Avenir Next LT Pro" w:cs="Avenir Next LT Pro"/>
              </w:rPr>
              <w:t>Suitable properties within budget: 0 unshared; 2 sharehouses</w:t>
            </w:r>
          </w:p>
          <w:p w14:paraId="1E86CE68" w14:textId="3813012C" w:rsidR="009D3D8C" w:rsidRDefault="009D3D8C" w:rsidP="3AD7D649">
            <w:pPr>
              <w:spacing w:after="160" w:line="257" w:lineRule="auto"/>
              <w:rPr>
                <w:rFonts w:eastAsia="Avenir Next LT Pro" w:cs="Avenir Next LT Pro"/>
              </w:rPr>
            </w:pPr>
            <w:r w:rsidRPr="3AD7D649">
              <w:rPr>
                <w:rFonts w:eastAsia="Avenir Next LT Pro" w:cs="Avenir Next LT Pro"/>
              </w:rPr>
              <w:t>Cheapest suitable property: $280 (unshared); $200 (sharehouse)</w:t>
            </w:r>
          </w:p>
          <w:p w14:paraId="18522D3E" w14:textId="7DA8BAD7" w:rsidR="62322F90" w:rsidRDefault="62322F90" w:rsidP="62322F90"/>
        </w:tc>
      </w:tr>
    </w:tbl>
    <w:p w14:paraId="617D4FEA" w14:textId="10E7A7C8" w:rsidR="004D66A2" w:rsidRDefault="004D66A2" w:rsidP="14193444"/>
    <w:p w14:paraId="44FBF063" w14:textId="57108083" w:rsidR="004D66A2" w:rsidRDefault="004D66A2" w:rsidP="14193444">
      <w:r>
        <w:br w:type="page"/>
      </w:r>
    </w:p>
    <w:p w14:paraId="3C8EE39D" w14:textId="0C15BE73" w:rsidR="004D66A2" w:rsidRDefault="004D66A2" w:rsidP="00A85481">
      <w:pPr>
        <w:pStyle w:val="Heading3"/>
      </w:pPr>
      <w:bookmarkStart w:id="22" w:name="_Toc227843611"/>
      <w:r w:rsidRPr="00EF55FA">
        <w:lastRenderedPageBreak/>
        <w:t xml:space="preserve">Young people need </w:t>
      </w:r>
      <w:r>
        <w:t xml:space="preserve">a home </w:t>
      </w:r>
      <w:r w:rsidRPr="00EF55FA">
        <w:t xml:space="preserve">to </w:t>
      </w:r>
      <w:r>
        <w:t>build a future</w:t>
      </w:r>
      <w:bookmarkEnd w:id="22"/>
    </w:p>
    <w:p w14:paraId="464F6852" w14:textId="7797B097" w:rsidR="004D66A2" w:rsidRPr="004D66A2" w:rsidRDefault="004D66A2" w:rsidP="004D66A2">
      <w:r w:rsidRPr="004D66A2">
        <w:t xml:space="preserve">For young people, the challenge </w:t>
      </w:r>
      <w:r w:rsidR="5CBD02C2">
        <w:t xml:space="preserve">of securing a suitable home in the current private rental market </w:t>
      </w:r>
      <w:r w:rsidR="20907197">
        <w:t>is even greater.</w:t>
      </w:r>
      <w:r w:rsidRPr="004D66A2">
        <w:t xml:space="preserve"> Finishing education, finding a home near employment and building a rental history is now </w:t>
      </w:r>
      <w:r w:rsidR="00070CC6" w:rsidRPr="004D66A2">
        <w:t>near impossible</w:t>
      </w:r>
      <w:r w:rsidRPr="004D66A2">
        <w:t xml:space="preserve"> for someone on Youth Allowance, like Sienna.</w:t>
      </w:r>
    </w:p>
    <w:tbl>
      <w:tblPr>
        <w:tblStyle w:val="TableGrid"/>
        <w:tblW w:w="0" w:type="auto"/>
        <w:tblLook w:val="06A0" w:firstRow="1" w:lastRow="0" w:firstColumn="1" w:lastColumn="0" w:noHBand="1" w:noVBand="1"/>
      </w:tblPr>
      <w:tblGrid>
        <w:gridCol w:w="9015"/>
      </w:tblGrid>
      <w:tr w:rsidR="7FB29342" w14:paraId="00315172" w14:textId="77777777" w:rsidTr="7FB29342">
        <w:trPr>
          <w:trHeight w:val="300"/>
        </w:trPr>
        <w:tc>
          <w:tcPr>
            <w:tcW w:w="9015" w:type="dxa"/>
          </w:tcPr>
          <w:p w14:paraId="72EB81E5" w14:textId="11FB2EB3" w:rsidR="5681AFFE" w:rsidRDefault="5681AFFE" w:rsidP="3AD7D649">
            <w:pPr>
              <w:pStyle w:val="Subtitle"/>
              <w:spacing w:line="257" w:lineRule="auto"/>
              <w:rPr>
                <w:rFonts w:eastAsia="Avenir Next LT Pro" w:cs="Avenir Next LT Pro"/>
              </w:rPr>
            </w:pPr>
            <w:r w:rsidRPr="5B2EBA60">
              <w:rPr>
                <w:rFonts w:eastAsia="Avenir Next LT Pro" w:cs="Avenir Next LT Pro"/>
              </w:rPr>
              <w:t>Sienna</w:t>
            </w:r>
          </w:p>
          <w:p w14:paraId="1791E118" w14:textId="090AF68F" w:rsidR="5681AFFE" w:rsidRDefault="5681AFFE" w:rsidP="3AD7D649">
            <w:pPr>
              <w:spacing w:after="160" w:line="257" w:lineRule="auto"/>
              <w:rPr>
                <w:rFonts w:eastAsia="Avenir Next LT Pro" w:cs="Avenir Next LT Pro"/>
              </w:rPr>
            </w:pPr>
            <w:r w:rsidRPr="3AD7D649">
              <w:rPr>
                <w:rFonts w:eastAsia="Avenir Next LT Pro" w:cs="Avenir Next LT Pro"/>
              </w:rPr>
              <w:t>It’s been years since Sienna last had a home. She’s only 16 and preparing for her Year 10 Leavers Dinner. Just getting this far has been an achievement – lots of young people in her situation don’t stay connected with school</w:t>
            </w:r>
            <w:r w:rsidR="6A848A4F" w:rsidRPr="3AD7D649">
              <w:rPr>
                <w:rFonts w:eastAsia="Avenir Next LT Pro" w:cs="Avenir Next LT Pro"/>
              </w:rPr>
              <w:t>.</w:t>
            </w:r>
            <w:r w:rsidRPr="3AD7D649">
              <w:rPr>
                <w:rFonts w:eastAsia="Avenir Next LT Pro" w:cs="Avenir Next LT Pro"/>
              </w:rPr>
              <w:t xml:space="preserve"> </w:t>
            </w:r>
          </w:p>
          <w:p w14:paraId="108669F2" w14:textId="04A17071" w:rsidR="5681AFFE" w:rsidRDefault="5681AFFE" w:rsidP="3AD7D649">
            <w:pPr>
              <w:spacing w:after="160" w:line="257" w:lineRule="auto"/>
              <w:rPr>
                <w:rFonts w:eastAsia="Avenir Next LT Pro" w:cs="Avenir Next LT Pro"/>
              </w:rPr>
            </w:pPr>
            <w:r w:rsidRPr="3AD7D649">
              <w:rPr>
                <w:rFonts w:eastAsia="Avenir Next LT Pro" w:cs="Avenir Next LT Pro"/>
              </w:rPr>
              <w:t xml:space="preserve">Her family of origin long ago ceased to be an option. Family members are unavailable or unsafe to be around. Sienna </w:t>
            </w:r>
            <w:r w:rsidR="65B9385B" w:rsidRPr="3AD7D649">
              <w:rPr>
                <w:rFonts w:eastAsia="Avenir Next LT Pro" w:cs="Avenir Next LT Pro"/>
              </w:rPr>
              <w:t>feels</w:t>
            </w:r>
            <w:r w:rsidRPr="3AD7D649">
              <w:rPr>
                <w:rFonts w:eastAsia="Avenir Next LT Pro" w:cs="Avenir Next LT Pro"/>
              </w:rPr>
              <w:t xml:space="preserve"> she can only rely on herself. She’s working on improving her independence, by saving money and learning to cook, clean and manage a home. The staff at Sienna’s youth crisis shelter are supporting her with this, but there’s a limit to how long she can stay at the shelter. </w:t>
            </w:r>
          </w:p>
          <w:p w14:paraId="7E9B2D04" w14:textId="045EC096" w:rsidR="5681AFFE" w:rsidRDefault="5681AFFE" w:rsidP="3AD7D649">
            <w:pPr>
              <w:spacing w:after="160" w:line="257" w:lineRule="auto"/>
              <w:rPr>
                <w:rFonts w:eastAsia="Avenir Next LT Pro" w:cs="Avenir Next LT Pro"/>
              </w:rPr>
            </w:pPr>
            <w:r w:rsidRPr="3AD7D649">
              <w:rPr>
                <w:rFonts w:eastAsia="Avenir Next LT Pro" w:cs="Avenir Next LT Pro"/>
              </w:rPr>
              <w:t xml:space="preserve">Private rental is not a good option for Sienna. The only income support available to her is Youth Allowance, which </w:t>
            </w:r>
            <w:r w:rsidR="2B1F4875" w:rsidRPr="3AD7D649">
              <w:rPr>
                <w:rFonts w:eastAsia="Avenir Next LT Pro" w:cs="Avenir Next LT Pro"/>
              </w:rPr>
              <w:t>give</w:t>
            </w:r>
            <w:r w:rsidR="454D95A0" w:rsidRPr="3AD7D649">
              <w:rPr>
                <w:rFonts w:eastAsia="Avenir Next LT Pro" w:cs="Avenir Next LT Pro"/>
              </w:rPr>
              <w:t>s</w:t>
            </w:r>
            <w:r w:rsidRPr="3AD7D649">
              <w:rPr>
                <w:rFonts w:eastAsia="Avenir Next LT Pro" w:cs="Avenir Next LT Pro"/>
              </w:rPr>
              <w:t xml:space="preserve"> her </w:t>
            </w:r>
            <w:r w:rsidR="2B1F4875" w:rsidRPr="3AD7D649">
              <w:rPr>
                <w:rFonts w:eastAsia="Avenir Next LT Pro" w:cs="Avenir Next LT Pro"/>
              </w:rPr>
              <w:t>a</w:t>
            </w:r>
            <w:r w:rsidR="454D95A0" w:rsidRPr="3AD7D649">
              <w:rPr>
                <w:rFonts w:eastAsia="Avenir Next LT Pro" w:cs="Avenir Next LT Pro"/>
              </w:rPr>
              <w:t xml:space="preserve"> very low</w:t>
            </w:r>
            <w:r w:rsidRPr="3AD7D649">
              <w:rPr>
                <w:rFonts w:eastAsia="Avenir Next LT Pro" w:cs="Avenir Next LT Pro"/>
              </w:rPr>
              <w:t xml:space="preserve"> income</w:t>
            </w:r>
            <w:r w:rsidR="2B1F4875" w:rsidRPr="3AD7D649">
              <w:rPr>
                <w:rFonts w:eastAsia="Avenir Next LT Pro" w:cs="Avenir Next LT Pro"/>
              </w:rPr>
              <w:t>.</w:t>
            </w:r>
            <w:r w:rsidRPr="3AD7D649">
              <w:rPr>
                <w:rFonts w:eastAsia="Avenir Next LT Pro" w:cs="Avenir Next LT Pro"/>
              </w:rPr>
              <w:t xml:space="preserve"> A cheap sharehouse in Launceston is likely to cost around $200 a week</w:t>
            </w:r>
            <w:r w:rsidR="34A80CAF" w:rsidRPr="3AD7D649">
              <w:rPr>
                <w:rFonts w:eastAsia="Avenir Next LT Pro" w:cs="Avenir Next LT Pro"/>
              </w:rPr>
              <w:t>.</w:t>
            </w:r>
            <w:r w:rsidR="2B1F4875" w:rsidRPr="3AD7D649">
              <w:rPr>
                <w:rFonts w:eastAsia="Avenir Next LT Pro" w:cs="Avenir Next LT Pro"/>
              </w:rPr>
              <w:t xml:space="preserve"> </w:t>
            </w:r>
            <w:r w:rsidR="0045370D" w:rsidRPr="3AD7D649">
              <w:rPr>
                <w:rFonts w:eastAsia="Avenir Next LT Pro" w:cs="Avenir Next LT Pro"/>
              </w:rPr>
              <w:t>Although</w:t>
            </w:r>
            <w:r w:rsidR="1809CFFF" w:rsidRPr="3AD7D649">
              <w:rPr>
                <w:rFonts w:eastAsia="Avenir Next LT Pro" w:cs="Avenir Next LT Pro"/>
              </w:rPr>
              <w:t xml:space="preserve"> this would qualify her</w:t>
            </w:r>
            <w:r w:rsidR="0045370D" w:rsidRPr="3AD7D649">
              <w:rPr>
                <w:rFonts w:eastAsia="Avenir Next LT Pro" w:cs="Avenir Next LT Pro"/>
              </w:rPr>
              <w:t xml:space="preserve"> for the highest rate of </w:t>
            </w:r>
            <w:r w:rsidR="7A209D8E" w:rsidRPr="3AD7D649">
              <w:rPr>
                <w:rFonts w:eastAsia="Avenir Next LT Pro" w:cs="Avenir Next LT Pro"/>
              </w:rPr>
              <w:t xml:space="preserve">Commonwealth Rent Assistance, </w:t>
            </w:r>
            <w:r w:rsidR="5EBBA367" w:rsidRPr="3AD7D649">
              <w:rPr>
                <w:rFonts w:eastAsia="Avenir Next LT Pro" w:cs="Avenir Next LT Pro"/>
              </w:rPr>
              <w:t xml:space="preserve">paying this much </w:t>
            </w:r>
            <w:r w:rsidR="0045370D" w:rsidRPr="3AD7D649">
              <w:rPr>
                <w:rFonts w:eastAsia="Avenir Next LT Pro" w:cs="Avenir Next LT Pro"/>
              </w:rPr>
              <w:t xml:space="preserve">would only </w:t>
            </w:r>
            <w:r w:rsidR="7A209D8E" w:rsidRPr="3AD7D649">
              <w:rPr>
                <w:rFonts w:eastAsia="Avenir Next LT Pro" w:cs="Avenir Next LT Pro"/>
              </w:rPr>
              <w:t xml:space="preserve">leave </w:t>
            </w:r>
            <w:r w:rsidR="2B1F4875" w:rsidRPr="3AD7D649">
              <w:rPr>
                <w:rFonts w:eastAsia="Avenir Next LT Pro" w:cs="Avenir Next LT Pro"/>
              </w:rPr>
              <w:t>$</w:t>
            </w:r>
            <w:r w:rsidR="62FF2685" w:rsidRPr="3AD7D649">
              <w:rPr>
                <w:rFonts w:eastAsia="Avenir Next LT Pro" w:cs="Avenir Next LT Pro"/>
              </w:rPr>
              <w:t>215</w:t>
            </w:r>
            <w:r w:rsidR="2B1F4875" w:rsidRPr="3AD7D649">
              <w:rPr>
                <w:rFonts w:eastAsia="Avenir Next LT Pro" w:cs="Avenir Next LT Pro"/>
              </w:rPr>
              <w:t xml:space="preserve"> a week for bills, food, transport, and other essentials. </w:t>
            </w:r>
            <w:r w:rsidRPr="3AD7D649">
              <w:rPr>
                <w:rFonts w:eastAsia="Avenir Next LT Pro" w:cs="Avenir Next LT Pro"/>
              </w:rPr>
              <w:t>That’s not enough to live on and will leave her in extreme rental stress and poverty.</w:t>
            </w:r>
          </w:p>
          <w:p w14:paraId="44E301DC" w14:textId="6AB4EEFE" w:rsidR="5681AFFE" w:rsidRDefault="5681AFFE" w:rsidP="3AD7D649">
            <w:pPr>
              <w:spacing w:after="160" w:line="257" w:lineRule="auto"/>
              <w:rPr>
                <w:rFonts w:eastAsia="Avenir Next LT Pro" w:cs="Avenir Next LT Pro"/>
              </w:rPr>
            </w:pPr>
            <w:r w:rsidRPr="3AD7D649">
              <w:rPr>
                <w:rFonts w:eastAsia="Avenir Next LT Pro" w:cs="Avenir Next LT Pro"/>
              </w:rPr>
              <w:t xml:space="preserve">Sienna’s options to escape homelessness are to hope she can find an unusually cheap sharehouse that will be safe for her, or to apply for supported youth accommodation. There are many young people in Launceston like Sienna, applying for the same sharehouses and the same supported accommodation programs. </w:t>
            </w:r>
          </w:p>
          <w:p w14:paraId="2D8035D7" w14:textId="672272EC" w:rsidR="5681AFFE" w:rsidRDefault="5681AFFE" w:rsidP="3AD7D649">
            <w:pPr>
              <w:spacing w:after="160" w:line="257" w:lineRule="auto"/>
              <w:rPr>
                <w:rFonts w:eastAsia="Avenir Next LT Pro" w:cs="Avenir Next LT Pro"/>
              </w:rPr>
            </w:pPr>
            <w:r w:rsidRPr="3AD7D649">
              <w:rPr>
                <w:rFonts w:eastAsia="Avenir Next LT Pro" w:cs="Avenir Next LT Pro"/>
              </w:rPr>
              <w:t>Affordable budget: $110</w:t>
            </w:r>
          </w:p>
          <w:p w14:paraId="5E8D2C68" w14:textId="754E0094" w:rsidR="5681AFFE" w:rsidRDefault="5681AFFE" w:rsidP="3AD7D649">
            <w:pPr>
              <w:spacing w:after="160" w:line="257" w:lineRule="auto"/>
              <w:rPr>
                <w:rFonts w:eastAsia="Avenir Next LT Pro" w:cs="Avenir Next LT Pro"/>
              </w:rPr>
            </w:pPr>
            <w:r w:rsidRPr="3AD7D649">
              <w:rPr>
                <w:rFonts w:eastAsia="Avenir Next LT Pro" w:cs="Avenir Next LT Pro"/>
              </w:rPr>
              <w:t>Suitable properties within budget: 0</w:t>
            </w:r>
          </w:p>
          <w:p w14:paraId="0FBD5630" w14:textId="76E4D82B" w:rsidR="5681AFFE" w:rsidRDefault="5681AFFE" w:rsidP="3AD7D649">
            <w:pPr>
              <w:spacing w:after="160" w:line="257" w:lineRule="auto"/>
              <w:rPr>
                <w:rFonts w:eastAsia="Avenir Next LT Pro" w:cs="Avenir Next LT Pro"/>
              </w:rPr>
            </w:pPr>
            <w:r w:rsidRPr="3AD7D649">
              <w:rPr>
                <w:rFonts w:eastAsia="Avenir Next LT Pro" w:cs="Avenir Next LT Pro"/>
              </w:rPr>
              <w:t>Cheapest suitable property: $150</w:t>
            </w:r>
          </w:p>
          <w:p w14:paraId="720FB439" w14:textId="2652F00B" w:rsidR="7FB29342" w:rsidRDefault="7FB29342" w:rsidP="7FB29342"/>
        </w:tc>
      </w:tr>
    </w:tbl>
    <w:p w14:paraId="19B65D69" w14:textId="0291BE42" w:rsidR="2B978563" w:rsidRDefault="2B978563" w:rsidP="14193444"/>
    <w:p w14:paraId="6F61E961" w14:textId="77777777" w:rsidR="004D66A2" w:rsidRDefault="004D66A2" w:rsidP="004D66A2">
      <w:pPr>
        <w:rPr>
          <w:rFonts w:asciiTheme="majorHAnsi" w:eastAsiaTheme="majorEastAsia" w:hAnsiTheme="majorHAnsi" w:cstheme="majorBidi"/>
          <w:color w:val="0F4761" w:themeColor="accent1" w:themeShade="BF"/>
          <w:sz w:val="32"/>
          <w:szCs w:val="32"/>
        </w:rPr>
      </w:pPr>
      <w:r>
        <w:br w:type="page"/>
      </w:r>
    </w:p>
    <w:p w14:paraId="65C488C7" w14:textId="205A0C26" w:rsidR="00C63A2B" w:rsidRPr="00B95A09" w:rsidRDefault="0080462B" w:rsidP="00A85481">
      <w:pPr>
        <w:pStyle w:val="Heading3"/>
      </w:pPr>
      <w:bookmarkStart w:id="23" w:name="_Toc227843612"/>
      <w:r>
        <w:lastRenderedPageBreak/>
        <w:t>The situation for older people has continued to worsen</w:t>
      </w:r>
      <w:bookmarkEnd w:id="23"/>
    </w:p>
    <w:p w14:paraId="26BFCE45" w14:textId="3E7D9502" w:rsidR="001F49F9" w:rsidRDefault="0080462B" w:rsidP="00C63A2B">
      <w:r>
        <w:t xml:space="preserve">The </w:t>
      </w:r>
      <w:r w:rsidR="001F49F9">
        <w:t>number of affordable properties</w:t>
      </w:r>
      <w:r>
        <w:t xml:space="preserve"> has</w:t>
      </w:r>
      <w:r w:rsidR="001F49F9">
        <w:t xml:space="preserve"> declin</w:t>
      </w:r>
      <w:r>
        <w:t>ed</w:t>
      </w:r>
      <w:r w:rsidR="001F49F9">
        <w:t xml:space="preserve"> by 55% for singles on the </w:t>
      </w:r>
      <w:r>
        <w:t>A</w:t>
      </w:r>
      <w:r w:rsidR="001F49F9">
        <w:t xml:space="preserve">ge </w:t>
      </w:r>
      <w:r>
        <w:t>P</w:t>
      </w:r>
      <w:r w:rsidR="001F49F9">
        <w:t xml:space="preserve">ension and 5% for couples on the </w:t>
      </w:r>
      <w:r w:rsidR="00CD3305">
        <w:t>A</w:t>
      </w:r>
      <w:r w:rsidR="001F49F9">
        <w:t>ge</w:t>
      </w:r>
      <w:r w:rsidR="00CD3305">
        <w:t xml:space="preserve"> P</w:t>
      </w:r>
      <w:r w:rsidR="001F49F9">
        <w:t>ension</w:t>
      </w:r>
      <w:r w:rsidR="00321684">
        <w:t>,</w:t>
      </w:r>
      <w:r w:rsidR="001F49F9">
        <w:t xml:space="preserve"> compared to last year. </w:t>
      </w:r>
      <w:r w:rsidR="00FE243F">
        <w:t>For people like Joan</w:t>
      </w:r>
      <w:r w:rsidR="005B321F">
        <w:t xml:space="preserve"> (page 22)</w:t>
      </w:r>
      <w:r w:rsidR="00FE243F">
        <w:t xml:space="preserve">, there are very few </w:t>
      </w:r>
      <w:r w:rsidR="005B321F">
        <w:t xml:space="preserve">affordable </w:t>
      </w:r>
      <w:r w:rsidR="00FE243F">
        <w:t>properties.</w:t>
      </w:r>
    </w:p>
    <w:p w14:paraId="48C277A6" w14:textId="6FBAAA19" w:rsidR="00C63A2B" w:rsidRDefault="00C63A2B" w:rsidP="00C63A2B">
      <w:r>
        <w:t xml:space="preserve">Older people are largely unable to afford private housing on the Age Pension unless they are homeowners. </w:t>
      </w:r>
      <w:r w:rsidR="00321684" w:rsidRPr="004761D8">
        <w:t>Anglicare Tasmania</w:t>
      </w:r>
      <w:r w:rsidR="00321684">
        <w:t>,</w:t>
      </w:r>
      <w:r w:rsidR="00321684" w:rsidRPr="004761D8">
        <w:t xml:space="preserve"> </w:t>
      </w:r>
      <w:r w:rsidR="00321684">
        <w:t>t</w:t>
      </w:r>
      <w:r w:rsidRPr="004761D8">
        <w:t xml:space="preserve">ogether with </w:t>
      </w:r>
      <w:r w:rsidR="004C745D">
        <w:t xml:space="preserve">other </w:t>
      </w:r>
      <w:r w:rsidRPr="004761D8">
        <w:t xml:space="preserve">stakeholders, flagged this in its 2024 policy brief </w:t>
      </w:r>
      <w:hyperlink r:id="rId22">
        <w:r w:rsidRPr="14193444">
          <w:rPr>
            <w:rStyle w:val="Hyperlink"/>
          </w:rPr>
          <w:t>Housing Security for Older Tasmanians</w:t>
        </w:r>
      </w:hyperlink>
      <w:r>
        <w:t>. It also found that moving has a significant negative impact on older people that is not seen in younger people.</w:t>
      </w:r>
      <w:r>
        <w:rPr>
          <w:rStyle w:val="FootnoteReference"/>
        </w:rPr>
        <w:footnoteReference w:id="8"/>
      </w:r>
      <w:r w:rsidR="004C745D">
        <w:t xml:space="preserve"> </w:t>
      </w:r>
    </w:p>
    <w:p w14:paraId="3C2A224B" w14:textId="77777777" w:rsidR="0090270D" w:rsidRPr="00B95A09" w:rsidRDefault="0090270D" w:rsidP="0090270D">
      <w:r w:rsidRPr="00B95A09">
        <w:t>For many older people, a sharehouse is not an option.</w:t>
      </w:r>
    </w:p>
    <w:p w14:paraId="37726F5D" w14:textId="77777777" w:rsidR="0090270D" w:rsidRPr="00321684" w:rsidRDefault="0090270D" w:rsidP="0090270D">
      <w:r w:rsidRPr="006356CF">
        <w:t xml:space="preserve">Figure </w:t>
      </w:r>
      <w:r w:rsidRPr="00321684">
        <w:t xml:space="preserve">7 below shows how median rent prices of </w:t>
      </w:r>
      <w:r>
        <w:t>one</w:t>
      </w:r>
      <w:r w:rsidRPr="00321684">
        <w:t xml:space="preserve">-bedroom unshared properties are continuing to rise at much faster rates than the incomes of households </w:t>
      </w:r>
      <w:r>
        <w:t xml:space="preserve">who may be </w:t>
      </w:r>
      <w:r w:rsidRPr="00321684">
        <w:t xml:space="preserve">seeking those properties. </w:t>
      </w:r>
    </w:p>
    <w:p w14:paraId="3C270DA4" w14:textId="3F8BF629" w:rsidR="0090270D" w:rsidRPr="0037676D" w:rsidRDefault="0090270D" w:rsidP="0090270D">
      <w:r w:rsidRPr="006356CF">
        <w:t xml:space="preserve">Figure </w:t>
      </w:r>
      <w:r>
        <w:t>7</w:t>
      </w:r>
      <w:r w:rsidRPr="006356CF">
        <w:t>:</w:t>
      </w:r>
      <w:r w:rsidRPr="009056C6">
        <w:t xml:space="preserve"> </w:t>
      </w:r>
      <w:r>
        <w:t xml:space="preserve">Median rents for unshared one-bedroom properties in Snapshot week compared to </w:t>
      </w:r>
      <w:r w:rsidR="007053F2">
        <w:t xml:space="preserve">maximum </w:t>
      </w:r>
      <w:r>
        <w:t>affordable rental price for various households, 2013-2026</w:t>
      </w:r>
      <w:r w:rsidRPr="69196E69">
        <w:rPr>
          <w:rStyle w:val="FootnoteReference"/>
        </w:rPr>
        <w:footnoteReference w:id="9"/>
      </w:r>
    </w:p>
    <w:p w14:paraId="45096C5E" w14:textId="78082D64" w:rsidR="0090270D" w:rsidRDefault="005B321F" w:rsidP="0090270D">
      <w:pPr>
        <w:rPr>
          <w:rFonts w:eastAsiaTheme="majorEastAsia" w:cstheme="majorBidi"/>
          <w:color w:val="0F4761" w:themeColor="accent1" w:themeShade="BF"/>
          <w:sz w:val="32"/>
          <w:szCs w:val="32"/>
        </w:rPr>
      </w:pPr>
      <w:r>
        <w:rPr>
          <w:noProof/>
        </w:rPr>
        <w:drawing>
          <wp:inline distT="0" distB="0" distL="0" distR="0" wp14:anchorId="6CC24B43" wp14:editId="6942591C">
            <wp:extent cx="5129213" cy="3405188"/>
            <wp:effectExtent l="0" t="0" r="14605" b="5080"/>
            <wp:docPr id="793396667" name="Chart 1" descr="Line graph. &#10;The median rent price starts just under the line for a couple on the Age Pension, and briefly dips as low as the line for a single person on minimum wage, but after that quickly rises well above all the other lines.&#10;The lines for people on Disability and JobSeeker are consistently well under the median line.">
              <a:extLst xmlns:a="http://schemas.openxmlformats.org/drawingml/2006/main">
                <a:ext uri="{FF2B5EF4-FFF2-40B4-BE49-F238E27FC236}">
                  <a16:creationId xmlns:a16="http://schemas.microsoft.com/office/drawing/2014/main" id="{266D77B4-9842-33BF-04A3-0EA7B39A3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B316F7" w14:textId="77777777" w:rsidR="0090270D" w:rsidRDefault="0090270D" w:rsidP="00C63A2B"/>
    <w:p w14:paraId="081065D6" w14:textId="77777777" w:rsidR="00FA04F0" w:rsidRPr="004761D8" w:rsidRDefault="00FA04F0" w:rsidP="00C63A2B"/>
    <w:tbl>
      <w:tblPr>
        <w:tblStyle w:val="TableGrid"/>
        <w:tblW w:w="0" w:type="auto"/>
        <w:tblLook w:val="06A0" w:firstRow="1" w:lastRow="0" w:firstColumn="1" w:lastColumn="0" w:noHBand="1" w:noVBand="1"/>
      </w:tblPr>
      <w:tblGrid>
        <w:gridCol w:w="9015"/>
      </w:tblGrid>
      <w:tr w:rsidR="5B2EBA60" w14:paraId="1E933421" w14:textId="77777777" w:rsidTr="5B2EBA60">
        <w:trPr>
          <w:trHeight w:val="300"/>
        </w:trPr>
        <w:tc>
          <w:tcPr>
            <w:tcW w:w="9015" w:type="dxa"/>
          </w:tcPr>
          <w:p w14:paraId="3AE122E1" w14:textId="44695F17" w:rsidR="345031E5" w:rsidRDefault="345031E5" w:rsidP="518C7B77">
            <w:pPr>
              <w:pStyle w:val="Subtitle"/>
              <w:spacing w:line="257" w:lineRule="auto"/>
              <w:rPr>
                <w:rFonts w:eastAsia="Avenir Next LT Pro" w:cs="Avenir Next LT Pro"/>
              </w:rPr>
            </w:pPr>
            <w:r w:rsidRPr="5B2EBA60">
              <w:rPr>
                <w:rFonts w:eastAsia="Avenir Next LT Pro" w:cs="Avenir Next LT Pro"/>
              </w:rPr>
              <w:lastRenderedPageBreak/>
              <w:t>Joan (and Ian)</w:t>
            </w:r>
          </w:p>
          <w:p w14:paraId="711AFD14" w14:textId="0EA59B67" w:rsidR="345031E5" w:rsidRDefault="345031E5" w:rsidP="3AF4C672">
            <w:pPr>
              <w:spacing w:after="160" w:line="257" w:lineRule="auto"/>
              <w:rPr>
                <w:rFonts w:eastAsia="Avenir Next LT Pro" w:cs="Avenir Next LT Pro"/>
              </w:rPr>
            </w:pPr>
            <w:r w:rsidRPr="3AD7D649">
              <w:rPr>
                <w:rFonts w:eastAsia="Avenir Next LT Pro" w:cs="Avenir Next LT Pro"/>
              </w:rPr>
              <w:t xml:space="preserve">Ian </w:t>
            </w:r>
            <w:r w:rsidR="00FA4002" w:rsidRPr="3AD7D649">
              <w:rPr>
                <w:rFonts w:eastAsia="Avenir Next LT Pro" w:cs="Avenir Next LT Pro"/>
              </w:rPr>
              <w:t>died</w:t>
            </w:r>
            <w:r w:rsidR="08980BD0" w:rsidRPr="3AD7D649">
              <w:rPr>
                <w:rFonts w:eastAsia="Avenir Next LT Pro" w:cs="Avenir Next LT Pro"/>
              </w:rPr>
              <w:t xml:space="preserve"> </w:t>
            </w:r>
            <w:r w:rsidRPr="3AD7D649">
              <w:rPr>
                <w:rFonts w:eastAsia="Avenir Next LT Pro" w:cs="Avenir Next LT Pro"/>
              </w:rPr>
              <w:t xml:space="preserve">three years </w:t>
            </w:r>
            <w:r w:rsidR="00FA4002">
              <w:rPr>
                <w:rFonts w:eastAsia="Avenir Next LT Pro" w:cs="Avenir Next LT Pro"/>
              </w:rPr>
              <w:t>ago</w:t>
            </w:r>
            <w:r w:rsidRPr="3AD7D649">
              <w:rPr>
                <w:rFonts w:eastAsia="Avenir Next LT Pro" w:cs="Avenir Next LT Pro"/>
              </w:rPr>
              <w:t xml:space="preserve">, but Joan still feels his presence around the house. They lived </w:t>
            </w:r>
            <w:r w:rsidR="369324CE" w:rsidRPr="3AD7D649">
              <w:rPr>
                <w:rFonts w:eastAsia="Avenir Next LT Pro" w:cs="Avenir Next LT Pro"/>
              </w:rPr>
              <w:t>together</w:t>
            </w:r>
            <w:r w:rsidR="09BCFCC3" w:rsidRPr="3AD7D649">
              <w:rPr>
                <w:rFonts w:eastAsia="Avenir Next LT Pro" w:cs="Avenir Next LT Pro"/>
              </w:rPr>
              <w:t xml:space="preserve"> </w:t>
            </w:r>
            <w:r w:rsidRPr="3AD7D649">
              <w:rPr>
                <w:rFonts w:eastAsia="Avenir Next LT Pro" w:cs="Avenir Next LT Pro"/>
              </w:rPr>
              <w:t xml:space="preserve">in the same rental property for three decades, turning it from just another rental into a home. Unfortunately </w:t>
            </w:r>
            <w:r w:rsidR="4976A816" w:rsidRPr="3AD7D649">
              <w:rPr>
                <w:rFonts w:eastAsia="Avenir Next LT Pro" w:cs="Avenir Next LT Pro"/>
              </w:rPr>
              <w:t xml:space="preserve">Joan’s </w:t>
            </w:r>
            <w:r w:rsidRPr="3AD7D649">
              <w:rPr>
                <w:rFonts w:eastAsia="Avenir Next LT Pro" w:cs="Avenir Next LT Pro"/>
              </w:rPr>
              <w:t xml:space="preserve">landlord </w:t>
            </w:r>
            <w:r w:rsidR="0672FCC0" w:rsidRPr="3AD7D649">
              <w:rPr>
                <w:rFonts w:eastAsia="Avenir Next LT Pro" w:cs="Avenir Next LT Pro"/>
              </w:rPr>
              <w:t xml:space="preserve">recently </w:t>
            </w:r>
            <w:r w:rsidRPr="3AD7D649">
              <w:rPr>
                <w:rFonts w:eastAsia="Avenir Next LT Pro" w:cs="Avenir Next LT Pro"/>
              </w:rPr>
              <w:t xml:space="preserve">passed away. The property is to be sold and Joan will have to move on. Joan and Ian had no children, and her siblings have health problems that limit the support they can offer. </w:t>
            </w:r>
          </w:p>
          <w:p w14:paraId="3BFFC463" w14:textId="242FFD1B" w:rsidR="345031E5" w:rsidRDefault="345031E5" w:rsidP="3AF4C672">
            <w:pPr>
              <w:spacing w:after="160" w:line="257" w:lineRule="auto"/>
              <w:rPr>
                <w:rFonts w:eastAsia="Avenir Next LT Pro" w:cs="Avenir Next LT Pro"/>
              </w:rPr>
            </w:pPr>
            <w:r w:rsidRPr="3AD7D649">
              <w:rPr>
                <w:rFonts w:eastAsia="Avenir Next LT Pro" w:cs="Avenir Next LT Pro"/>
              </w:rPr>
              <w:t xml:space="preserve">Caring for Ian through his final years took a toll on Joan’s own health. She has developed chronic pain that also impacts her mental wellbeing. The stress of losing her home has led to some teary sessions with her supportive GP. </w:t>
            </w:r>
          </w:p>
          <w:p w14:paraId="1D94A8F4" w14:textId="05BBCC86" w:rsidR="345031E5" w:rsidRDefault="345031E5" w:rsidP="3AF4C672">
            <w:pPr>
              <w:spacing w:after="160" w:line="257" w:lineRule="auto"/>
              <w:rPr>
                <w:rFonts w:eastAsia="Avenir Next LT Pro" w:cs="Avenir Next LT Pro"/>
              </w:rPr>
            </w:pPr>
            <w:r w:rsidRPr="3AD7D649">
              <w:rPr>
                <w:rFonts w:eastAsia="Avenir Next LT Pro" w:cs="Avenir Next LT Pro"/>
              </w:rPr>
              <w:t xml:space="preserve">At the local library, she learned how to search for rental properties online. Fortunately her landlord’s executors have given her several months to vacate the property, but </w:t>
            </w:r>
            <w:r w:rsidR="00E47217">
              <w:rPr>
                <w:rFonts w:eastAsia="Avenir Next LT Pro" w:cs="Avenir Next LT Pro"/>
              </w:rPr>
              <w:t xml:space="preserve">that </w:t>
            </w:r>
            <w:r w:rsidRPr="3AD7D649">
              <w:rPr>
                <w:rFonts w:eastAsia="Avenir Next LT Pro" w:cs="Avenir Next LT Pro"/>
              </w:rPr>
              <w:t xml:space="preserve">time is ticking away and she still hasn’t found anywhere to </w:t>
            </w:r>
            <w:r w:rsidR="24DE37FA" w:rsidRPr="3AD7D649">
              <w:rPr>
                <w:rFonts w:eastAsia="Avenir Next LT Pro" w:cs="Avenir Next LT Pro"/>
              </w:rPr>
              <w:t>live</w:t>
            </w:r>
            <w:r w:rsidRPr="3AD7D649">
              <w:rPr>
                <w:rFonts w:eastAsia="Avenir Next LT Pro" w:cs="Avenir Next LT Pro"/>
              </w:rPr>
              <w:t>.</w:t>
            </w:r>
          </w:p>
          <w:p w14:paraId="4EA04304" w14:textId="734A8641" w:rsidR="345031E5" w:rsidRDefault="345031E5" w:rsidP="3AF4C672">
            <w:pPr>
              <w:spacing w:after="160" w:line="257" w:lineRule="auto"/>
              <w:rPr>
                <w:rFonts w:eastAsia="Avenir Next LT Pro" w:cs="Avenir Next LT Pro"/>
              </w:rPr>
            </w:pPr>
            <w:r w:rsidRPr="3AD7D649">
              <w:rPr>
                <w:rFonts w:eastAsia="Avenir Next LT Pro" w:cs="Avenir Next LT Pro"/>
              </w:rPr>
              <w:t>Joan’s hoping she can stay in the same area, preferably the same suburb, where she and Ian were very much part of the community. But she knows that to get a roof over her head, she might have to relocate to an unfamiliar place. The future for Joan looks uncertain.</w:t>
            </w:r>
          </w:p>
          <w:p w14:paraId="1EB7E9F4" w14:textId="7ECA9692" w:rsidR="345031E5" w:rsidRDefault="345031E5" w:rsidP="3AF4C672">
            <w:pPr>
              <w:spacing w:after="160" w:line="257" w:lineRule="auto"/>
              <w:rPr>
                <w:rFonts w:eastAsia="Avenir Next LT Pro" w:cs="Avenir Next LT Pro"/>
              </w:rPr>
            </w:pPr>
            <w:r w:rsidRPr="3AF4C672">
              <w:rPr>
                <w:rFonts w:eastAsia="Avenir Next LT Pro" w:cs="Avenir Next LT Pro"/>
              </w:rPr>
              <w:t>Affordable budget: $210</w:t>
            </w:r>
          </w:p>
          <w:p w14:paraId="2B3F90B1" w14:textId="1D888BA0" w:rsidR="345031E5" w:rsidRDefault="345031E5" w:rsidP="3AF4C672">
            <w:pPr>
              <w:spacing w:after="160" w:line="257" w:lineRule="auto"/>
              <w:rPr>
                <w:rFonts w:eastAsia="Avenir Next LT Pro" w:cs="Avenir Next LT Pro"/>
              </w:rPr>
            </w:pPr>
            <w:r w:rsidRPr="3AF4C672">
              <w:rPr>
                <w:rFonts w:eastAsia="Avenir Next LT Pro" w:cs="Avenir Next LT Pro"/>
              </w:rPr>
              <w:t>Suitable properties within budget:</w:t>
            </w:r>
            <w:r w:rsidR="00CC7519">
              <w:rPr>
                <w:rFonts w:eastAsia="Avenir Next LT Pro" w:cs="Avenir Next LT Pro"/>
              </w:rPr>
              <w:t xml:space="preserve"> 1 (unshared);</w:t>
            </w:r>
            <w:r w:rsidRPr="3AF4C672">
              <w:rPr>
                <w:rFonts w:eastAsia="Avenir Next LT Pro" w:cs="Avenir Next LT Pro"/>
              </w:rPr>
              <w:t xml:space="preserve"> </w:t>
            </w:r>
            <w:r w:rsidR="316A5099" w:rsidRPr="3AF4C672">
              <w:rPr>
                <w:rFonts w:eastAsia="Avenir Next LT Pro" w:cs="Avenir Next LT Pro"/>
              </w:rPr>
              <w:t>2</w:t>
            </w:r>
            <w:r w:rsidR="7F97577C" w:rsidRPr="3AF4C672">
              <w:rPr>
                <w:rFonts w:eastAsia="Avenir Next LT Pro" w:cs="Avenir Next LT Pro"/>
              </w:rPr>
              <w:t>5</w:t>
            </w:r>
            <w:r w:rsidRPr="3AF4C672">
              <w:rPr>
                <w:rFonts w:eastAsia="Avenir Next LT Pro" w:cs="Avenir Next LT Pro"/>
              </w:rPr>
              <w:t xml:space="preserve"> (statewide, including sharehouses)</w:t>
            </w:r>
          </w:p>
          <w:p w14:paraId="5A7E7CAF" w14:textId="51F51260" w:rsidR="5B2EBA60" w:rsidRDefault="5B2EBA60" w:rsidP="5B2EBA60"/>
        </w:tc>
      </w:tr>
    </w:tbl>
    <w:p w14:paraId="3760DC57" w14:textId="2505AFEB" w:rsidR="00351BE4" w:rsidRPr="00B95A09" w:rsidRDefault="00351BE4" w:rsidP="2438111C"/>
    <w:p w14:paraId="2164E603" w14:textId="61335D5D" w:rsidR="00351BE4" w:rsidRDefault="00351BE4" w:rsidP="0090270D">
      <w:pPr>
        <w:rPr>
          <w:rFonts w:eastAsiaTheme="majorEastAsia" w:cstheme="majorBidi"/>
          <w:color w:val="0F4761" w:themeColor="accent1" w:themeShade="BF"/>
          <w:sz w:val="32"/>
          <w:szCs w:val="32"/>
        </w:rPr>
      </w:pPr>
      <w:r w:rsidDel="00BE0377">
        <w:br w:type="page"/>
      </w:r>
    </w:p>
    <w:p w14:paraId="0B25F64F" w14:textId="04F76683" w:rsidR="004C745D" w:rsidRPr="00FE243F" w:rsidRDefault="004C745D" w:rsidP="00A85481">
      <w:pPr>
        <w:pStyle w:val="Heading3"/>
      </w:pPr>
      <w:bookmarkStart w:id="24" w:name="_Toc227843613"/>
      <w:r>
        <w:lastRenderedPageBreak/>
        <w:t>Stable housing is key to mental health and recovery</w:t>
      </w:r>
      <w:bookmarkEnd w:id="24"/>
    </w:p>
    <w:p w14:paraId="4A66DC56" w14:textId="424ADE82" w:rsidR="004C745D" w:rsidRDefault="2860FB87" w:rsidP="004C745D">
      <w:r>
        <w:t xml:space="preserve">Anglicare’s </w:t>
      </w:r>
      <w:hyperlink r:id="rId24">
        <w:r w:rsidR="004C745D" w:rsidRPr="14193444">
          <w:rPr>
            <w:rStyle w:val="Hyperlink"/>
          </w:rPr>
          <w:t>Mind the Gap</w:t>
        </w:r>
      </w:hyperlink>
      <w:r w:rsidR="004C745D" w:rsidRPr="00916E68">
        <w:t xml:space="preserve"> </w:t>
      </w:r>
      <w:r w:rsidR="77A99C27" w:rsidRPr="00916E68">
        <w:t xml:space="preserve">report </w:t>
      </w:r>
      <w:r w:rsidR="004C745D" w:rsidRPr="00916E68">
        <w:t xml:space="preserve">found that Tasmanians with mental health conditions who seek housing support </w:t>
      </w:r>
      <w:r w:rsidR="004C745D">
        <w:t xml:space="preserve">from the Housing Connect Front Door </w:t>
      </w:r>
      <w:r w:rsidR="00FE243F">
        <w:t xml:space="preserve">service </w:t>
      </w:r>
      <w:r w:rsidR="004C745D" w:rsidRPr="00916E68">
        <w:t>are significantly more likely to be experiencing homelessness</w:t>
      </w:r>
      <w:r w:rsidR="009056C6">
        <w:t>,</w:t>
      </w:r>
      <w:r w:rsidR="004C745D" w:rsidRPr="00916E68">
        <w:t xml:space="preserve"> and are likely to have been homeless for longer periods compared to clients without a mental health condition.</w:t>
      </w:r>
      <w:r w:rsidR="004C745D">
        <w:rPr>
          <w:rStyle w:val="FootnoteReference"/>
        </w:rPr>
        <w:footnoteReference w:id="10"/>
      </w:r>
      <w:r w:rsidR="004C745D" w:rsidRPr="00916E68">
        <w:t xml:space="preserve"> </w:t>
      </w:r>
      <w:r w:rsidR="004C745D">
        <w:t xml:space="preserve">It also found that </w:t>
      </w:r>
      <w:r w:rsidR="004C745D" w:rsidRPr="00916E68">
        <w:t>increasing housing security is a feasible policy lever to improve mental health.</w:t>
      </w:r>
      <w:r w:rsidR="004C745D">
        <w:rPr>
          <w:rStyle w:val="FootnoteReference"/>
        </w:rPr>
        <w:footnoteReference w:id="11"/>
      </w:r>
      <w:r w:rsidR="004C745D" w:rsidRPr="00916E68">
        <w:t xml:space="preserve"> </w:t>
      </w:r>
    </w:p>
    <w:p w14:paraId="671FAC73" w14:textId="3D517565" w:rsidR="004C745D" w:rsidRPr="009313B7" w:rsidRDefault="00FE243F" w:rsidP="004C745D">
      <w:r>
        <w:t>Stable housing would be an effective mental health intervention for Gareth and</w:t>
      </w:r>
      <w:r w:rsidR="009056C6">
        <w:t xml:space="preserve"> for</w:t>
      </w:r>
      <w:r>
        <w:t xml:space="preserve"> Mel and Jack, for whom homelessness is causing </w:t>
      </w:r>
      <w:r w:rsidR="00E81C05">
        <w:t xml:space="preserve">their </w:t>
      </w:r>
      <w:r>
        <w:t xml:space="preserve">mental health to deteriorate. </w:t>
      </w:r>
    </w:p>
    <w:tbl>
      <w:tblPr>
        <w:tblStyle w:val="TableGrid"/>
        <w:tblW w:w="0" w:type="auto"/>
        <w:tblLook w:val="06A0" w:firstRow="1" w:lastRow="0" w:firstColumn="1" w:lastColumn="0" w:noHBand="1" w:noVBand="1"/>
      </w:tblPr>
      <w:tblGrid>
        <w:gridCol w:w="9015"/>
      </w:tblGrid>
      <w:tr w:rsidR="5B2EBA60" w14:paraId="0567831C" w14:textId="77777777" w:rsidTr="5B2EBA60">
        <w:trPr>
          <w:trHeight w:val="300"/>
        </w:trPr>
        <w:tc>
          <w:tcPr>
            <w:tcW w:w="9015" w:type="dxa"/>
          </w:tcPr>
          <w:p w14:paraId="19C6E9BF" w14:textId="56D7DA27" w:rsidR="2392E97A" w:rsidRDefault="2392E97A" w:rsidP="3AF4C672">
            <w:pPr>
              <w:pStyle w:val="Subtitle"/>
              <w:spacing w:line="257" w:lineRule="auto"/>
              <w:rPr>
                <w:rFonts w:eastAsia="Avenir Next LT Pro" w:cs="Avenir Next LT Pro"/>
              </w:rPr>
            </w:pPr>
            <w:r w:rsidRPr="5B2EBA60">
              <w:rPr>
                <w:rFonts w:eastAsia="Avenir Next LT Pro" w:cs="Avenir Next LT Pro"/>
              </w:rPr>
              <w:t>Gareth</w:t>
            </w:r>
          </w:p>
          <w:p w14:paraId="1D87E14E" w14:textId="7A11E7C3" w:rsidR="2392E97A" w:rsidRDefault="2392E97A" w:rsidP="3AF4C672">
            <w:pPr>
              <w:spacing w:after="160" w:line="257" w:lineRule="auto"/>
              <w:rPr>
                <w:rFonts w:eastAsia="Avenir Next LT Pro" w:cs="Avenir Next LT Pro"/>
              </w:rPr>
            </w:pPr>
            <w:r w:rsidRPr="3AF4C672">
              <w:rPr>
                <w:rFonts w:eastAsia="Avenir Next LT Pro" w:cs="Avenir Next LT Pro"/>
              </w:rPr>
              <w:t>Gareth would rather live in a tent than a sharehouse. He’s found that clashing needs and personalities cause so much drama, it’s actively dangerous for his mental health. Even pitching his tent on a friend’s property, he was exposed to conflict and abuse, until the situation became untenable. Gareth moved his tent to a local campsite, where he’s paying $20 a night.</w:t>
            </w:r>
          </w:p>
          <w:p w14:paraId="552821F8" w14:textId="56186E39" w:rsidR="2392E97A" w:rsidRDefault="2392E97A" w:rsidP="3AF4C672">
            <w:pPr>
              <w:spacing w:after="160" w:line="257" w:lineRule="auto"/>
              <w:rPr>
                <w:rFonts w:eastAsia="Avenir Next LT Pro" w:cs="Avenir Next LT Pro"/>
              </w:rPr>
            </w:pPr>
            <w:r w:rsidRPr="3AF4C672">
              <w:rPr>
                <w:rFonts w:eastAsia="Avenir Next LT Pro" w:cs="Avenir Next LT Pro"/>
              </w:rPr>
              <w:t>He didn’t always live in a tent. In fact, Gareth has a complete set of household furniture in storage, good quality stuff he’ll need if he ever gets a house to put it in. He’s paying over $200 a month to store it. Strictly speaking, that might not be economical over the long term, but it’s his stuff, a lifetime of belongings. If he can’t keep it he’ll have nothing to his name but one backpack.</w:t>
            </w:r>
          </w:p>
          <w:p w14:paraId="684F23FB" w14:textId="61D6966C" w:rsidR="2392E97A" w:rsidRDefault="2392E97A" w:rsidP="3AF4C672">
            <w:pPr>
              <w:spacing w:after="160" w:line="257" w:lineRule="auto"/>
              <w:rPr>
                <w:rFonts w:eastAsia="Avenir Next LT Pro" w:cs="Avenir Next LT Pro"/>
              </w:rPr>
            </w:pPr>
            <w:r w:rsidRPr="3AF4C672">
              <w:rPr>
                <w:rFonts w:eastAsia="Avenir Next LT Pro" w:cs="Avenir Next LT Pro"/>
              </w:rPr>
              <w:t>Homelessness isn’t good for anyone’s mental health, and Gareth is struggling. The longer this goes on, the greater the danger for him. He knows that he has very little hope of finding a unit he can afford. On a Disability Support Pension, he can afford a bit over $200 a week, which would only get him a unit if he was willing to live on the West Coast away from all his supports. That would be disastrous for his health, so he’s looking at more like $300 to stay in Burnie.</w:t>
            </w:r>
          </w:p>
          <w:p w14:paraId="38246714" w14:textId="1C9471B0" w:rsidR="2392E97A" w:rsidRDefault="2392E97A" w:rsidP="3AF4C672">
            <w:pPr>
              <w:spacing w:after="160" w:line="257" w:lineRule="auto"/>
              <w:rPr>
                <w:rFonts w:eastAsia="Avenir Next LT Pro" w:cs="Avenir Next LT Pro"/>
              </w:rPr>
            </w:pPr>
            <w:r w:rsidRPr="3AF4C672">
              <w:rPr>
                <w:rFonts w:eastAsia="Avenir Next LT Pro" w:cs="Avenir Next LT Pro"/>
              </w:rPr>
              <w:t>Affordable budget: $210</w:t>
            </w:r>
          </w:p>
          <w:p w14:paraId="1078E4B4" w14:textId="5B7593F1" w:rsidR="2392E97A" w:rsidRDefault="2392E97A" w:rsidP="3AF4C672">
            <w:pPr>
              <w:spacing w:after="160" w:line="257" w:lineRule="auto"/>
              <w:rPr>
                <w:rFonts w:eastAsia="Avenir Next LT Pro" w:cs="Avenir Next LT Pro"/>
              </w:rPr>
            </w:pPr>
            <w:r w:rsidRPr="3AF4C672">
              <w:rPr>
                <w:rFonts w:eastAsia="Avenir Next LT Pro" w:cs="Avenir Next LT Pro"/>
              </w:rPr>
              <w:t>Suitable properties within budget: 0</w:t>
            </w:r>
          </w:p>
          <w:p w14:paraId="541275F1" w14:textId="1CF5242D" w:rsidR="2392E97A" w:rsidRDefault="2392E97A" w:rsidP="3AF4C672">
            <w:pPr>
              <w:spacing w:after="160" w:line="257" w:lineRule="auto"/>
              <w:rPr>
                <w:rFonts w:eastAsia="Avenir Next LT Pro" w:cs="Avenir Next LT Pro"/>
              </w:rPr>
            </w:pPr>
            <w:r w:rsidRPr="3AF4C672">
              <w:rPr>
                <w:rFonts w:eastAsia="Avenir Next LT Pro" w:cs="Avenir Next LT Pro"/>
              </w:rPr>
              <w:t>Cheapest available: $280</w:t>
            </w:r>
            <w:r w:rsidR="00E47217">
              <w:rPr>
                <w:rFonts w:eastAsia="Avenir Next LT Pro" w:cs="Avenir Next LT Pro"/>
              </w:rPr>
              <w:t xml:space="preserve"> (unshared)</w:t>
            </w:r>
          </w:p>
          <w:p w14:paraId="352290D0" w14:textId="5F97D9F4" w:rsidR="5B2EBA60" w:rsidRDefault="5B2EBA60" w:rsidP="5B2EBA60"/>
        </w:tc>
      </w:tr>
    </w:tbl>
    <w:p w14:paraId="423CA4DD" w14:textId="7CDAED31" w:rsidR="004C745D" w:rsidRPr="00F6586F" w:rsidRDefault="004C745D" w:rsidP="00A85481"/>
    <w:p w14:paraId="052826B9" w14:textId="1A614661" w:rsidR="00FE243F" w:rsidRDefault="00FE243F">
      <w:pPr>
        <w:rPr>
          <w:rFonts w:eastAsiaTheme="majorEastAsia" w:cstheme="majorBidi"/>
          <w:color w:val="0F4761" w:themeColor="accent1" w:themeShade="BF"/>
          <w:sz w:val="32"/>
          <w:szCs w:val="32"/>
        </w:rPr>
      </w:pPr>
    </w:p>
    <w:p w14:paraId="432C4D60" w14:textId="267D5B5B" w:rsidR="00A85481" w:rsidRDefault="00A85481">
      <w:pPr>
        <w:rPr>
          <w:rFonts w:eastAsiaTheme="majorEastAsia" w:cstheme="majorBidi"/>
          <w:color w:val="595959" w:themeColor="text1" w:themeTint="A6"/>
          <w:spacing w:val="15"/>
          <w:sz w:val="28"/>
          <w:szCs w:val="28"/>
        </w:rPr>
      </w:pPr>
      <w:r>
        <w:br w:type="page"/>
      </w:r>
    </w:p>
    <w:tbl>
      <w:tblPr>
        <w:tblStyle w:val="TableGrid"/>
        <w:tblW w:w="0" w:type="auto"/>
        <w:tblLook w:val="06A0" w:firstRow="1" w:lastRow="0" w:firstColumn="1" w:lastColumn="0" w:noHBand="1" w:noVBand="1"/>
      </w:tblPr>
      <w:tblGrid>
        <w:gridCol w:w="9015"/>
      </w:tblGrid>
      <w:tr w:rsidR="5B2EBA60" w14:paraId="041A566F" w14:textId="77777777" w:rsidTr="5B2EBA60">
        <w:trPr>
          <w:trHeight w:val="300"/>
        </w:trPr>
        <w:tc>
          <w:tcPr>
            <w:tcW w:w="9015" w:type="dxa"/>
          </w:tcPr>
          <w:p w14:paraId="45713E77" w14:textId="02F4C1A2" w:rsidR="247DFD25" w:rsidRDefault="247DFD25" w:rsidP="5B2EBA60">
            <w:pPr>
              <w:pStyle w:val="Subtitle"/>
              <w:spacing w:after="160" w:line="257" w:lineRule="auto"/>
              <w:rPr>
                <w:rFonts w:eastAsia="Avenir Next LT Pro" w:cs="Avenir Next LT Pro"/>
              </w:rPr>
            </w:pPr>
            <w:r w:rsidRPr="5B2EBA60">
              <w:rPr>
                <w:rFonts w:eastAsia="Avenir Next LT Pro" w:cs="Avenir Next LT Pro"/>
              </w:rPr>
              <w:lastRenderedPageBreak/>
              <w:t>Mel and Jack</w:t>
            </w:r>
          </w:p>
          <w:p w14:paraId="69EA956F" w14:textId="08C0697E" w:rsidR="247DFD25" w:rsidRDefault="247DFD25" w:rsidP="3AD7D649">
            <w:pPr>
              <w:spacing w:after="160" w:line="257" w:lineRule="auto"/>
              <w:rPr>
                <w:rFonts w:eastAsia="Avenir Next LT Pro" w:cs="Avenir Next LT Pro"/>
              </w:rPr>
            </w:pPr>
            <w:r w:rsidRPr="3AD7D649">
              <w:rPr>
                <w:rFonts w:eastAsia="Avenir Next LT Pro" w:cs="Avenir Next LT Pro"/>
              </w:rPr>
              <w:t>Working in a rural business in the Midlands, Jack was provided with housing as part of his employment. When that job ended and there was no more work for him, Jack and his partner Mel moved to a motel as a temporary solution.</w:t>
            </w:r>
          </w:p>
          <w:p w14:paraId="406EC64A" w14:textId="143C1F1D" w:rsidR="247DFD25" w:rsidRDefault="247DFD25" w:rsidP="3AD7D649">
            <w:pPr>
              <w:spacing w:after="160" w:line="257" w:lineRule="auto"/>
              <w:rPr>
                <w:rFonts w:eastAsia="Avenir Next LT Pro" w:cs="Avenir Next LT Pro"/>
              </w:rPr>
            </w:pPr>
            <w:r w:rsidRPr="3AD7D649">
              <w:rPr>
                <w:rFonts w:eastAsia="Avenir Next LT Pro" w:cs="Avenir Next LT Pro"/>
              </w:rPr>
              <w:t>While he had employment and housing, Jack’s mental health was stable. Now, the uncertainty is causing his illness to get worse again. Mel is watching him change by the day, putting a strain on their relationship. She’s his carer as well as his partner, supporting him and keeping up with his medications, and it’s distressing for her to see him deteriorate like this. It will also limit his prospects for getting paid employment in the future.</w:t>
            </w:r>
          </w:p>
          <w:p w14:paraId="41E96592" w14:textId="20D5B522" w:rsidR="247DFD25" w:rsidRDefault="247DFD25" w:rsidP="3AD7D649">
            <w:pPr>
              <w:spacing w:after="160" w:line="257" w:lineRule="auto"/>
              <w:rPr>
                <w:rFonts w:eastAsia="Avenir Next LT Pro" w:cs="Avenir Next LT Pro"/>
              </w:rPr>
            </w:pPr>
            <w:r w:rsidRPr="3AD7D649">
              <w:rPr>
                <w:rFonts w:eastAsia="Avenir Next LT Pro" w:cs="Avenir Next LT Pro"/>
              </w:rPr>
              <w:t xml:space="preserve">Mel has lived in rentals all her life and understands the process very well. She is putting in every application she </w:t>
            </w:r>
            <w:r w:rsidR="5E369E18" w:rsidRPr="3AD7D649">
              <w:rPr>
                <w:rFonts w:eastAsia="Avenir Next LT Pro" w:cs="Avenir Next LT Pro"/>
              </w:rPr>
              <w:t>can and</w:t>
            </w:r>
            <w:r w:rsidRPr="3AD7D649">
              <w:rPr>
                <w:rFonts w:eastAsia="Avenir Next LT Pro" w:cs="Avenir Next LT Pro"/>
              </w:rPr>
              <w:t xml:space="preserve"> is willing to consider properties all over the state. She just hopes landlords will be willing to consider them too. Jack’s Disability Support Pension and Mel’s Carer Payment give them an income of around $</w:t>
            </w:r>
            <w:r w:rsidR="6713D38F" w:rsidRPr="3AD7D649">
              <w:rPr>
                <w:rFonts w:eastAsia="Avenir Next LT Pro" w:cs="Avenir Next LT Pro"/>
              </w:rPr>
              <w:t>1,</w:t>
            </w:r>
            <w:r w:rsidR="31B42580" w:rsidRPr="3AD7D649">
              <w:rPr>
                <w:rFonts w:eastAsia="Avenir Next LT Pro" w:cs="Avenir Next LT Pro"/>
              </w:rPr>
              <w:t>00</w:t>
            </w:r>
            <w:r w:rsidR="419FAD82" w:rsidRPr="3AD7D649">
              <w:rPr>
                <w:rFonts w:eastAsia="Avenir Next LT Pro" w:cs="Avenir Next LT Pro"/>
              </w:rPr>
              <w:t>0</w:t>
            </w:r>
            <w:r w:rsidRPr="3AD7D649">
              <w:rPr>
                <w:rFonts w:eastAsia="Avenir Next LT Pro" w:cs="Avenir Next LT Pro"/>
              </w:rPr>
              <w:t xml:space="preserve"> a week, so an affordable rental would be about $300. Fortunately they would be happy in a rural area; their budget isn’t enough for Hobart or Launceston.</w:t>
            </w:r>
          </w:p>
          <w:p w14:paraId="573D3E2E" w14:textId="452ACD9A" w:rsidR="247DFD25" w:rsidRDefault="247DFD25" w:rsidP="3AD7D649">
            <w:pPr>
              <w:spacing w:after="160" w:line="257" w:lineRule="auto"/>
              <w:rPr>
                <w:rFonts w:eastAsia="Avenir Next LT Pro" w:cs="Avenir Next LT Pro"/>
              </w:rPr>
            </w:pPr>
            <w:r w:rsidRPr="3AD7D649">
              <w:rPr>
                <w:rFonts w:eastAsia="Avenir Next LT Pro" w:cs="Avenir Next LT Pro"/>
              </w:rPr>
              <w:t>Affordable budget: $300</w:t>
            </w:r>
          </w:p>
          <w:p w14:paraId="46E91AD3" w14:textId="5350A186" w:rsidR="247DFD25" w:rsidRDefault="247DFD25" w:rsidP="3AD7D649">
            <w:pPr>
              <w:spacing w:after="160" w:line="257" w:lineRule="auto"/>
              <w:rPr>
                <w:rFonts w:eastAsia="Avenir Next LT Pro" w:cs="Avenir Next LT Pro"/>
              </w:rPr>
            </w:pPr>
            <w:r w:rsidRPr="3AD7D649">
              <w:rPr>
                <w:rFonts w:eastAsia="Avenir Next LT Pro" w:cs="Avenir Next LT Pro"/>
              </w:rPr>
              <w:t>Suitable properties within budget:</w:t>
            </w:r>
            <w:r w:rsidR="00E47217">
              <w:rPr>
                <w:rFonts w:eastAsia="Avenir Next LT Pro" w:cs="Avenir Next LT Pro"/>
              </w:rPr>
              <w:t xml:space="preserve"> </w:t>
            </w:r>
            <w:r w:rsidR="682CB1FB" w:rsidRPr="3AD7D649">
              <w:rPr>
                <w:rFonts w:eastAsia="Avenir Next LT Pro" w:cs="Avenir Next LT Pro"/>
              </w:rPr>
              <w:t>1</w:t>
            </w:r>
            <w:r w:rsidR="3A22722C" w:rsidRPr="3AD7D649">
              <w:rPr>
                <w:rFonts w:eastAsia="Avenir Next LT Pro" w:cs="Avenir Next LT Pro"/>
              </w:rPr>
              <w:t>8</w:t>
            </w:r>
            <w:r w:rsidRPr="3AD7D649">
              <w:rPr>
                <w:rFonts w:eastAsia="Avenir Next LT Pro" w:cs="Avenir Next LT Pro"/>
              </w:rPr>
              <w:t xml:space="preserve"> (statewide</w:t>
            </w:r>
            <w:r w:rsidR="007F3545">
              <w:rPr>
                <w:rFonts w:eastAsia="Avenir Next LT Pro" w:cs="Avenir Next LT Pro"/>
              </w:rPr>
              <w:t>, unshared</w:t>
            </w:r>
            <w:r w:rsidRPr="3AD7D649">
              <w:rPr>
                <w:rFonts w:eastAsia="Avenir Next LT Pro" w:cs="Avenir Next LT Pro"/>
              </w:rPr>
              <w:t>)</w:t>
            </w:r>
          </w:p>
          <w:p w14:paraId="6E8537A9" w14:textId="68E936C2" w:rsidR="5B2EBA60" w:rsidRPr="00101FC4" w:rsidRDefault="5B2EBA60" w:rsidP="3AD7D649"/>
        </w:tc>
      </w:tr>
    </w:tbl>
    <w:p w14:paraId="099E5E09" w14:textId="63670EB2" w:rsidR="000E6D63" w:rsidRPr="00E81C05" w:rsidRDefault="000E6D63" w:rsidP="003B48CE"/>
    <w:p w14:paraId="0D1FECFB" w14:textId="1E8D2F4F" w:rsidR="000E6D63" w:rsidRPr="00E81C05" w:rsidRDefault="00C63A2B" w:rsidP="5B2EBA60">
      <w:r>
        <w:br w:type="page"/>
      </w:r>
    </w:p>
    <w:p w14:paraId="1CBA444A" w14:textId="32801566" w:rsidR="000E6D63" w:rsidRPr="00E81C05" w:rsidRDefault="00C63A2B" w:rsidP="00E81C05">
      <w:pPr>
        <w:pStyle w:val="Heading2"/>
        <w:rPr>
          <w:rFonts w:ascii="Avenir Next LT Pro" w:hAnsi="Avenir Next LT Pro"/>
        </w:rPr>
      </w:pPr>
      <w:bookmarkStart w:id="25" w:name="_Toc227843614"/>
      <w:r w:rsidRPr="00E81C05">
        <w:rPr>
          <w:rFonts w:ascii="Avenir Next LT Pro" w:hAnsi="Avenir Next LT Pro"/>
        </w:rPr>
        <w:lastRenderedPageBreak/>
        <w:t xml:space="preserve">Families seeking </w:t>
      </w:r>
      <w:r w:rsidR="00F23800">
        <w:rPr>
          <w:rFonts w:ascii="Avenir Next LT Pro" w:hAnsi="Avenir Next LT Pro"/>
        </w:rPr>
        <w:t>larger</w:t>
      </w:r>
      <w:r w:rsidRPr="00E81C05">
        <w:rPr>
          <w:rFonts w:ascii="Avenir Next LT Pro" w:hAnsi="Avenir Next LT Pro"/>
        </w:rPr>
        <w:t xml:space="preserve"> homes</w:t>
      </w:r>
      <w:bookmarkEnd w:id="25"/>
    </w:p>
    <w:p w14:paraId="30DA79DD" w14:textId="410DD6AB" w:rsidR="000E6D63" w:rsidRPr="009056C6" w:rsidRDefault="000E6D63" w:rsidP="000E6D63">
      <w:r w:rsidRPr="006356CF">
        <w:t xml:space="preserve">Figure </w:t>
      </w:r>
      <w:r w:rsidR="009056C6" w:rsidRPr="009056C6">
        <w:t>8</w:t>
      </w:r>
      <w:r w:rsidRPr="009056C6">
        <w:t xml:space="preserve"> below demonstrates that median rent prices of </w:t>
      </w:r>
      <w:r w:rsidR="00FB10C3">
        <w:t>three</w:t>
      </w:r>
      <w:r w:rsidR="009056C6">
        <w:t>-</w:t>
      </w:r>
      <w:r w:rsidRPr="009056C6">
        <w:t xml:space="preserve">bedroom properties are continuing to rise at much faster rates than the incomes of households seeking those properties. </w:t>
      </w:r>
    </w:p>
    <w:p w14:paraId="4881E8DA" w14:textId="53228F86" w:rsidR="000E6D63" w:rsidRDefault="000E6D63" w:rsidP="000E6D63">
      <w:pPr>
        <w:rPr>
          <w:highlight w:val="yellow"/>
        </w:rPr>
      </w:pPr>
      <w:r w:rsidRPr="006356CF">
        <w:t xml:space="preserve">Figure </w:t>
      </w:r>
      <w:r w:rsidR="009056C6" w:rsidRPr="006356CF">
        <w:t>8</w:t>
      </w:r>
      <w:r w:rsidRPr="006356CF">
        <w:t>:</w:t>
      </w:r>
      <w:r w:rsidR="009056C6" w:rsidRPr="009056C6">
        <w:t xml:space="preserve"> </w:t>
      </w:r>
      <w:r w:rsidR="009056C6">
        <w:t xml:space="preserve">Median rents for </w:t>
      </w:r>
      <w:r w:rsidR="00E47217">
        <w:t>three</w:t>
      </w:r>
      <w:r w:rsidR="009056C6">
        <w:t xml:space="preserve">-bedroom properties </w:t>
      </w:r>
      <w:r w:rsidR="5AD39E4F">
        <w:t xml:space="preserve">in Snapshot week </w:t>
      </w:r>
      <w:r w:rsidR="009056C6">
        <w:t xml:space="preserve">compared to </w:t>
      </w:r>
      <w:r w:rsidR="007053F2">
        <w:t xml:space="preserve">maximum </w:t>
      </w:r>
      <w:r w:rsidR="009056C6">
        <w:t>affordable rental price for various households</w:t>
      </w:r>
      <w:r w:rsidR="0403D446">
        <w:t>, 2013-2016</w:t>
      </w:r>
    </w:p>
    <w:p w14:paraId="3ACEDDAB" w14:textId="0CA00A73" w:rsidR="000E6D63" w:rsidRDefault="007A6C9A" w:rsidP="000E6D63">
      <w:r>
        <w:rPr>
          <w:noProof/>
        </w:rPr>
        <w:drawing>
          <wp:inline distT="0" distB="0" distL="0" distR="0" wp14:anchorId="72BD8BDB" wp14:editId="3F13624A">
            <wp:extent cx="5731510" cy="4543425"/>
            <wp:effectExtent l="0" t="0" r="2540" b="9525"/>
            <wp:docPr id="2082458138" name="Chart 1" descr="Line graph.&#10;The median rental price starts off a little above the line for a single parent on the minimum wage, but from 2018 climbs steeply. It is currently about equal with the line for a couple with children who both earn minimum wage. &#10;The lines for a family relying on JobSeeker and for s single parent on Parenting Payment are consistently well under the median line.">
              <a:extLst xmlns:a="http://schemas.openxmlformats.org/drawingml/2006/main">
                <a:ext uri="{FF2B5EF4-FFF2-40B4-BE49-F238E27FC236}">
                  <a16:creationId xmlns:a16="http://schemas.microsoft.com/office/drawing/2014/main" id="{A20C04D1-ACAF-194D-705E-2A6E3A6F0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1AC73C" w14:textId="1E163DBD" w:rsidR="000E6D63" w:rsidRDefault="000E6D63" w:rsidP="000E6D63"/>
    <w:p w14:paraId="740B44F0" w14:textId="77777777" w:rsidR="000E6D63" w:rsidRDefault="000E6D63" w:rsidP="000E6D63">
      <w:pPr>
        <w:rPr>
          <w:b/>
          <w:bCs/>
        </w:rPr>
      </w:pPr>
      <w:r>
        <w:rPr>
          <w:b/>
          <w:bCs/>
        </w:rPr>
        <w:br w:type="page"/>
      </w:r>
    </w:p>
    <w:p w14:paraId="318B86BB" w14:textId="77777777" w:rsidR="00284004" w:rsidRPr="005B502C" w:rsidRDefault="00284004" w:rsidP="00284004">
      <w:pPr>
        <w:pStyle w:val="Heading3"/>
      </w:pPr>
      <w:bookmarkStart w:id="26" w:name="_Toc227843615"/>
      <w:r>
        <w:lastRenderedPageBreak/>
        <w:t>Families and c</w:t>
      </w:r>
      <w:r w:rsidRPr="005B502C">
        <w:t xml:space="preserve">hildren need a stable home </w:t>
      </w:r>
      <w:r>
        <w:t>to flourish</w:t>
      </w:r>
      <w:bookmarkEnd w:id="26"/>
      <w:r w:rsidRPr="005B502C">
        <w:t xml:space="preserve"> </w:t>
      </w:r>
    </w:p>
    <w:p w14:paraId="50BC7ABD" w14:textId="5A8D7ED3" w:rsidR="00284004" w:rsidRPr="002A24ED" w:rsidRDefault="00284004" w:rsidP="00284004">
      <w:r w:rsidRPr="002A24ED">
        <w:t>The impact of housing insecurity on children is profound. It affects their health, development, opportunities and relationships.</w:t>
      </w:r>
      <w:r>
        <w:t xml:space="preserve"> This is demonstrated in the story of Harmony, Hayden and Miranda </w:t>
      </w:r>
      <w:r w:rsidR="00EC3868">
        <w:t>on page 27</w:t>
      </w:r>
      <w:r>
        <w:t xml:space="preserve">. </w:t>
      </w:r>
    </w:p>
    <w:p w14:paraId="69BD9773" w14:textId="77777777" w:rsidR="00284004" w:rsidRDefault="00284004" w:rsidP="00284004">
      <w:pPr>
        <w:pStyle w:val="IntenseQuote"/>
      </w:pPr>
      <w:r w:rsidRPr="00E443AB">
        <w:t>Tasmanians are well aware of the pressures created by the rising cost of living. For children in families already experiencing disadvantage, the impact is compounded by housing stress, and can compromise their education, wellbeing and development.</w:t>
      </w:r>
      <w:r w:rsidRPr="00E443AB">
        <w:rPr>
          <w:rStyle w:val="FootnoteReference"/>
        </w:rPr>
        <w:footnoteReference w:id="12"/>
      </w:r>
      <w:r w:rsidRPr="00E443AB">
        <w:t xml:space="preserve"> </w:t>
      </w:r>
    </w:p>
    <w:p w14:paraId="2967FB1C" w14:textId="5ED34DDA" w:rsidR="00284004" w:rsidRDefault="00284004" w:rsidP="00284004">
      <w:r>
        <w:t xml:space="preserve">Recent research by SARC, </w:t>
      </w:r>
      <w:hyperlink r:id="rId26" w:history="1">
        <w:r w:rsidRPr="00786B4D">
          <w:rPr>
            <w:rStyle w:val="Hyperlink"/>
            <w:i/>
            <w:iCs/>
          </w:rPr>
          <w:t>Secure Foundations</w:t>
        </w:r>
      </w:hyperlink>
      <w:r w:rsidRPr="00E443AB">
        <w:t>,</w:t>
      </w:r>
      <w:r>
        <w:t xml:space="preserve"> has found that homelessness for children in families is often hidden. It </w:t>
      </w:r>
      <w:r w:rsidR="155E11C1">
        <w:t>showed</w:t>
      </w:r>
      <w:r>
        <w:t xml:space="preserve"> that in 2025, m</w:t>
      </w:r>
      <w:r w:rsidRPr="002A24ED">
        <w:t>ore than 3 in 10 people</w:t>
      </w:r>
      <w:r>
        <w:t xml:space="preserve"> who presented</w:t>
      </w:r>
      <w:r w:rsidRPr="002A24ED">
        <w:t xml:space="preserve"> to </w:t>
      </w:r>
      <w:r>
        <w:t xml:space="preserve">the statewide </w:t>
      </w:r>
      <w:r w:rsidRPr="002A24ED">
        <w:t xml:space="preserve">Housing Connect </w:t>
      </w:r>
      <w:r>
        <w:t>Front Door service were</w:t>
      </w:r>
      <w:r w:rsidRPr="002A24ED">
        <w:t xml:space="preserve"> part of a family</w:t>
      </w:r>
      <w:r>
        <w:t xml:space="preserve"> with dependent children. These families</w:t>
      </w:r>
      <w:r w:rsidRPr="002A24ED">
        <w:t xml:space="preserve"> included 4</w:t>
      </w:r>
      <w:r>
        <w:t>,</w:t>
      </w:r>
      <w:r w:rsidRPr="002A24ED">
        <w:t>237 children</w:t>
      </w:r>
      <w:r>
        <w:t>.</w:t>
      </w:r>
      <w:r w:rsidRPr="00CB35C0">
        <w:rPr>
          <w:rStyle w:val="FootnoteReference"/>
        </w:rPr>
        <w:t xml:space="preserve"> </w:t>
      </w:r>
      <w:r>
        <w:rPr>
          <w:rStyle w:val="FootnoteReference"/>
        </w:rPr>
        <w:footnoteReference w:id="13"/>
      </w:r>
      <w:r>
        <w:t xml:space="preserve"> </w:t>
      </w:r>
    </w:p>
    <w:p w14:paraId="15191CF8" w14:textId="77777777" w:rsidR="00284004" w:rsidRPr="002A24ED" w:rsidRDefault="00284004" w:rsidP="00284004">
      <w:pPr>
        <w:pStyle w:val="IntenseQuote"/>
      </w:pPr>
      <w:r w:rsidRPr="002A24ED">
        <w:t xml:space="preserve">Many of these families are not </w:t>
      </w:r>
      <w:r>
        <w:t xml:space="preserve">living </w:t>
      </w:r>
      <w:r w:rsidRPr="002A24ED">
        <w:t>in shelters or other crisis accommodation</w:t>
      </w:r>
      <w:r>
        <w:t>, making them less visible than other groups.</w:t>
      </w:r>
      <w:r w:rsidRPr="002A24ED">
        <w:t xml:space="preserve"> Instead, they are staying with family or friends (often in overcrowded conditions), paying for rental accommodation they cannot afford, or, in some cases, living in cars, cabins and tents.</w:t>
      </w:r>
      <w:r>
        <w:rPr>
          <w:rStyle w:val="FootnoteReference"/>
        </w:rPr>
        <w:footnoteReference w:id="14"/>
      </w:r>
    </w:p>
    <w:p w14:paraId="431240EE" w14:textId="294434BA" w:rsidR="008D1C15" w:rsidRPr="008D1C15" w:rsidRDefault="008D1C15" w:rsidP="004222D9">
      <w:r>
        <w:br w:type="page"/>
      </w:r>
    </w:p>
    <w:tbl>
      <w:tblPr>
        <w:tblStyle w:val="TableGrid"/>
        <w:tblW w:w="0" w:type="auto"/>
        <w:tblLook w:val="06A0" w:firstRow="1" w:lastRow="0" w:firstColumn="1" w:lastColumn="0" w:noHBand="1" w:noVBand="1"/>
      </w:tblPr>
      <w:tblGrid>
        <w:gridCol w:w="9015"/>
      </w:tblGrid>
      <w:tr w:rsidR="25A79FE5" w14:paraId="20812A35" w14:textId="77777777" w:rsidTr="25A79FE5">
        <w:trPr>
          <w:trHeight w:val="300"/>
        </w:trPr>
        <w:tc>
          <w:tcPr>
            <w:tcW w:w="9015" w:type="dxa"/>
          </w:tcPr>
          <w:p w14:paraId="5A7E3A9F" w14:textId="2C31113B" w:rsidR="70077FEF" w:rsidRDefault="70077FEF" w:rsidP="5B457F2F">
            <w:pPr>
              <w:pStyle w:val="Subtitle"/>
              <w:spacing w:line="257" w:lineRule="auto"/>
              <w:rPr>
                <w:rFonts w:eastAsia="Avenir Next LT Pro" w:cs="Avenir Next LT Pro"/>
              </w:rPr>
            </w:pPr>
            <w:r w:rsidRPr="25A79FE5">
              <w:rPr>
                <w:rFonts w:eastAsia="Avenir Next LT Pro" w:cs="Avenir Next LT Pro"/>
              </w:rPr>
              <w:lastRenderedPageBreak/>
              <w:t>Harmony, Hayden, and Miranda</w:t>
            </w:r>
          </w:p>
          <w:p w14:paraId="2B95AF6E" w14:textId="7AF9EDDD" w:rsidR="70077FEF" w:rsidRDefault="70077FEF" w:rsidP="084ACD19">
            <w:pPr>
              <w:spacing w:after="160" w:line="257" w:lineRule="auto"/>
              <w:rPr>
                <w:rFonts w:eastAsia="Avenir Next LT Pro" w:cs="Avenir Next LT Pro"/>
              </w:rPr>
            </w:pPr>
            <w:r w:rsidRPr="3F6030A4">
              <w:rPr>
                <w:rFonts w:eastAsia="Avenir Next LT Pro" w:cs="Avenir Next LT Pro"/>
              </w:rPr>
              <w:t xml:space="preserve">Harmony is 15. She lives in a Toyota sedan with her mum and her younger brother Hayden. Harmony used to enjoy school, but when people found out she was homeless, they started laughing about it and calling her names. The family often can’t shower or change their clothes for days, and Harmony has had to leave the classroom in tears because people say she smells. She and Hayden no longer attend school as regularly as they once did and Harmony says she doesn’t want to continue past Year 10 if it’s going to be like this. </w:t>
            </w:r>
          </w:p>
          <w:p w14:paraId="40D5EF9D" w14:textId="1E49367E" w:rsidR="70077FEF" w:rsidRDefault="70077FEF" w:rsidP="084ACD19">
            <w:pPr>
              <w:spacing w:after="160" w:line="257" w:lineRule="auto"/>
              <w:rPr>
                <w:rFonts w:eastAsia="Avenir Next LT Pro" w:cs="Avenir Next LT Pro"/>
              </w:rPr>
            </w:pPr>
            <w:r w:rsidRPr="3F6030A4">
              <w:rPr>
                <w:rFonts w:eastAsia="Avenir Next LT Pro" w:cs="Avenir Next LT Pro"/>
              </w:rPr>
              <w:t xml:space="preserve">Harmony’s mum Miranda has had her family on the waitlist for shelter accommodation ever since their lease ended and they couldn’t secure a new rental. Her car is both her home and her lifeline, so she’s had to ask for financial help to keep it registered. She also worries about parking fines and safety at night. </w:t>
            </w:r>
          </w:p>
          <w:p w14:paraId="7DA6B15A" w14:textId="6D525BCE" w:rsidR="70077FEF" w:rsidRDefault="70077FEF" w:rsidP="084ACD19">
            <w:pPr>
              <w:spacing w:after="160" w:line="257" w:lineRule="auto"/>
              <w:rPr>
                <w:rFonts w:eastAsia="Avenir Next LT Pro" w:cs="Avenir Next LT Pro"/>
              </w:rPr>
            </w:pPr>
            <w:r w:rsidRPr="039208B9">
              <w:rPr>
                <w:rFonts w:eastAsia="Avenir Next LT Pro" w:cs="Avenir Next LT Pro"/>
              </w:rPr>
              <w:t xml:space="preserve">The family has been homeless now for two months and the impact on the kids’ mental health is massive. Their diet is heavy on takeaway junk food, because it’s cheap and doesn’t require a kitchen to prepare. Miranda is constantly applying for rentals but has had no luck getting any. Single parent </w:t>
            </w:r>
            <w:r w:rsidR="005A1697">
              <w:rPr>
                <w:rFonts w:eastAsia="Avenir Next LT Pro" w:cs="Avenir Next LT Pro"/>
              </w:rPr>
              <w:t>payments</w:t>
            </w:r>
            <w:r w:rsidRPr="039208B9">
              <w:rPr>
                <w:rFonts w:eastAsia="Avenir Next LT Pro" w:cs="Avenir Next LT Pro"/>
              </w:rPr>
              <w:t xml:space="preserve"> are too low for her income to be competitive in the private rental market</w:t>
            </w:r>
            <w:r w:rsidR="7D1FB86A" w:rsidRPr="039208B9">
              <w:rPr>
                <w:rFonts w:eastAsia="Avenir Next LT Pro" w:cs="Avenir Next LT Pro"/>
              </w:rPr>
              <w:t>, and once Hayden turns 14 she will only be eligible for the even lower JobSeeker payment</w:t>
            </w:r>
            <w:r w:rsidR="2ACA94A6" w:rsidRPr="039208B9">
              <w:rPr>
                <w:rFonts w:eastAsia="Avenir Next LT Pro" w:cs="Avenir Next LT Pro"/>
              </w:rPr>
              <w:t xml:space="preserve">. </w:t>
            </w:r>
          </w:p>
          <w:p w14:paraId="1892A7A4" w14:textId="148EFEFB" w:rsidR="70077FEF" w:rsidRDefault="70077FEF" w:rsidP="084ACD19">
            <w:pPr>
              <w:spacing w:after="160" w:line="257" w:lineRule="auto"/>
              <w:rPr>
                <w:rFonts w:eastAsia="Avenir Next LT Pro" w:cs="Avenir Next LT Pro"/>
              </w:rPr>
            </w:pPr>
            <w:r w:rsidRPr="3F6030A4">
              <w:rPr>
                <w:rFonts w:eastAsia="Avenir Next LT Pro" w:cs="Avenir Next LT Pro"/>
              </w:rPr>
              <w:t>Affordable budget: $310</w:t>
            </w:r>
          </w:p>
          <w:p w14:paraId="0D62DCF3" w14:textId="5742A6A0" w:rsidR="70077FEF" w:rsidRDefault="70077FEF" w:rsidP="084ACD19">
            <w:pPr>
              <w:spacing w:after="160" w:line="257" w:lineRule="auto"/>
              <w:rPr>
                <w:rFonts w:eastAsia="Avenir Next LT Pro" w:cs="Avenir Next LT Pro"/>
              </w:rPr>
            </w:pPr>
            <w:r w:rsidRPr="3F6030A4">
              <w:rPr>
                <w:rFonts w:eastAsia="Avenir Next LT Pro" w:cs="Avenir Next LT Pro"/>
              </w:rPr>
              <w:t>Suitable properties within budget: 0</w:t>
            </w:r>
          </w:p>
          <w:p w14:paraId="4033FFAC" w14:textId="2BC60BB3" w:rsidR="70077FEF" w:rsidRDefault="70077FEF" w:rsidP="084ACD19">
            <w:pPr>
              <w:spacing w:after="160" w:line="257" w:lineRule="auto"/>
              <w:rPr>
                <w:rFonts w:eastAsia="Avenir Next LT Pro" w:cs="Avenir Next LT Pro"/>
              </w:rPr>
            </w:pPr>
            <w:r w:rsidRPr="3F6030A4">
              <w:rPr>
                <w:rFonts w:eastAsia="Avenir Next LT Pro" w:cs="Avenir Next LT Pro"/>
              </w:rPr>
              <w:t>Cheapest suitable property: $445 (3 bedrooms); $350 (2 bedrooms)</w:t>
            </w:r>
          </w:p>
          <w:p w14:paraId="382D17FD" w14:textId="56BDEBAA" w:rsidR="25A79FE5" w:rsidRDefault="25A79FE5" w:rsidP="25A79FE5"/>
        </w:tc>
      </w:tr>
    </w:tbl>
    <w:p w14:paraId="12B884CF" w14:textId="228A39A4" w:rsidR="008D1C15" w:rsidRPr="008D1C15" w:rsidRDefault="008D1C15" w:rsidP="000F2006"/>
    <w:p w14:paraId="182F4EBD" w14:textId="3E62DCFB" w:rsidR="008D1C15" w:rsidRPr="008D1C15" w:rsidRDefault="008D1C15" w:rsidP="72AA7945">
      <w:r>
        <w:br w:type="page"/>
      </w:r>
    </w:p>
    <w:p w14:paraId="4DE5617B" w14:textId="58CDFD9C" w:rsidR="008D1C15" w:rsidRPr="008D1C15" w:rsidRDefault="008D1C15" w:rsidP="00D1021B">
      <w:pPr>
        <w:pStyle w:val="Heading3"/>
      </w:pPr>
      <w:bookmarkStart w:id="27" w:name="_Toc227843616"/>
      <w:r w:rsidRPr="008D1C15">
        <w:lastRenderedPageBreak/>
        <w:t>Casual work and income support payments are not enough to secure a rental property</w:t>
      </w:r>
      <w:bookmarkEnd w:id="27"/>
      <w:r w:rsidRPr="008D1C15">
        <w:t xml:space="preserve">  </w:t>
      </w:r>
    </w:p>
    <w:p w14:paraId="6A27E9D5" w14:textId="77777777" w:rsidR="008A0A3D" w:rsidRDefault="008D1C15" w:rsidP="008D1C15">
      <w:r w:rsidRPr="008D1C15">
        <w:t>Even if Em and Ryan apply for the cheapest suitable property outside of their budget, it is probable they may not get selected by the landlord due to other applicants having higher, more stable incomes.</w:t>
      </w:r>
      <w:r>
        <w:t xml:space="preserve"> </w:t>
      </w:r>
    </w:p>
    <w:tbl>
      <w:tblPr>
        <w:tblStyle w:val="TableGrid"/>
        <w:tblW w:w="0" w:type="auto"/>
        <w:tblLook w:val="06A0" w:firstRow="1" w:lastRow="0" w:firstColumn="1" w:lastColumn="0" w:noHBand="1" w:noVBand="1"/>
      </w:tblPr>
      <w:tblGrid>
        <w:gridCol w:w="9015"/>
      </w:tblGrid>
      <w:tr w:rsidR="25A79FE5" w14:paraId="7742D1B7" w14:textId="77777777" w:rsidTr="25A79FE5">
        <w:trPr>
          <w:trHeight w:val="300"/>
        </w:trPr>
        <w:tc>
          <w:tcPr>
            <w:tcW w:w="9015" w:type="dxa"/>
          </w:tcPr>
          <w:p w14:paraId="64763D5B" w14:textId="1A68D543" w:rsidR="4CF69E9F" w:rsidRDefault="4CF69E9F" w:rsidP="084ACD19">
            <w:pPr>
              <w:pStyle w:val="Subtitle"/>
              <w:spacing w:line="257" w:lineRule="auto"/>
              <w:rPr>
                <w:rFonts w:eastAsia="Avenir Next LT Pro" w:cs="Avenir Next LT Pro"/>
              </w:rPr>
            </w:pPr>
            <w:r w:rsidRPr="25A79FE5">
              <w:rPr>
                <w:rFonts w:eastAsia="Avenir Next LT Pro" w:cs="Avenir Next LT Pro"/>
              </w:rPr>
              <w:t>Em and Ryan, and their growing family</w:t>
            </w:r>
          </w:p>
          <w:p w14:paraId="02963FEA" w14:textId="2240ADF6" w:rsidR="4CF69E9F" w:rsidRDefault="4CF69E9F" w:rsidP="084ACD19">
            <w:pPr>
              <w:spacing w:after="160" w:line="257" w:lineRule="auto"/>
              <w:rPr>
                <w:rFonts w:eastAsia="Avenir Next LT Pro" w:cs="Avenir Next LT Pro"/>
              </w:rPr>
            </w:pPr>
            <w:r w:rsidRPr="3F6030A4">
              <w:rPr>
                <w:rFonts w:eastAsia="Avenir Next LT Pro" w:cs="Avenir Next LT Pro"/>
              </w:rPr>
              <w:t>Em always wanted a big family. It’s how she grew up, and how she wants her kids to grow up. She has three beautiful young boys, and maybe another on the way – though her husband Ryan is hoping for a girl this time.</w:t>
            </w:r>
          </w:p>
          <w:p w14:paraId="44017898" w14:textId="07666F45" w:rsidR="4CF69E9F" w:rsidRDefault="4CF69E9F" w:rsidP="084ACD19">
            <w:pPr>
              <w:spacing w:after="160" w:line="257" w:lineRule="auto"/>
              <w:rPr>
                <w:rFonts w:eastAsia="Avenir Next LT Pro" w:cs="Avenir Next LT Pro"/>
              </w:rPr>
            </w:pPr>
            <w:r w:rsidRPr="3AD7D649">
              <w:rPr>
                <w:rFonts w:eastAsia="Avenir Next LT Pro" w:cs="Avenir Next LT Pro"/>
              </w:rPr>
              <w:t xml:space="preserve">Em expects to work for as long as she possibly can through her pregnancy. The finances just don’t stack up any other way. She and Ryan both </w:t>
            </w:r>
            <w:r w:rsidR="4729C237" w:rsidRPr="3AD7D649">
              <w:rPr>
                <w:rFonts w:eastAsia="Avenir Next LT Pro" w:cs="Avenir Next LT Pro"/>
              </w:rPr>
              <w:t xml:space="preserve">have </w:t>
            </w:r>
            <w:r w:rsidRPr="3AD7D649">
              <w:rPr>
                <w:rFonts w:eastAsia="Avenir Next LT Pro" w:cs="Avenir Next LT Pro"/>
              </w:rPr>
              <w:t>casual</w:t>
            </w:r>
            <w:r w:rsidR="2DB8ACD3" w:rsidRPr="3AD7D649">
              <w:rPr>
                <w:rFonts w:eastAsia="Avenir Next LT Pro" w:cs="Avenir Next LT Pro"/>
              </w:rPr>
              <w:t xml:space="preserve"> jobs</w:t>
            </w:r>
            <w:r w:rsidRPr="3AD7D649">
              <w:rPr>
                <w:rFonts w:eastAsia="Avenir Next LT Pro" w:cs="Avenir Next LT Pro"/>
              </w:rPr>
              <w:t>, working irregular hours when they can get shifts. Some weeks they might have nearly full time hours, others almost nothing. Every hour has to be meticulously tracked and reported to Centrelink, as their JobSeeker payments go up and down accordingly. They rely on a network of family and friends for childcare, since paid childcare would be too expensive.</w:t>
            </w:r>
          </w:p>
          <w:p w14:paraId="6DAA6050" w14:textId="631CB8AD" w:rsidR="4CF69E9F" w:rsidRDefault="4CF69E9F" w:rsidP="084ACD19">
            <w:pPr>
              <w:spacing w:after="160" w:line="257" w:lineRule="auto"/>
              <w:rPr>
                <w:rFonts w:eastAsia="Avenir Next LT Pro" w:cs="Avenir Next LT Pro"/>
              </w:rPr>
            </w:pPr>
            <w:r w:rsidRPr="3F6030A4">
              <w:rPr>
                <w:rFonts w:eastAsia="Avenir Next LT Pro" w:cs="Avenir Next LT Pro"/>
              </w:rPr>
              <w:t xml:space="preserve">The private rental market is tough when you have small children. A three-year-old doesn’t understand what a bond is and just wants to draw with his textas. Em and Ryan have struggled with hostile real estate agents and gone through a lot of stress from frequent moves. Their big focus is to keep their older boys at the same school, even if it means catching the bus across town. The school has been a lifesaver, providing the boys with supports like breakfast club. </w:t>
            </w:r>
          </w:p>
          <w:p w14:paraId="742DD464" w14:textId="3FE3A343" w:rsidR="4CF69E9F" w:rsidRDefault="4CF69E9F" w:rsidP="084ACD19">
            <w:pPr>
              <w:spacing w:after="160" w:line="257" w:lineRule="auto"/>
              <w:rPr>
                <w:rFonts w:eastAsia="Avenir Next LT Pro" w:cs="Avenir Next LT Pro"/>
              </w:rPr>
            </w:pPr>
            <w:r w:rsidRPr="3AD7D649">
              <w:rPr>
                <w:rFonts w:eastAsia="Avenir Next LT Pro" w:cs="Avenir Next LT Pro"/>
              </w:rPr>
              <w:t>In a good week, Em and Ryan might earn nearly $3,000 between them, but in a bad week they might have no more than the $1,</w:t>
            </w:r>
            <w:r w:rsidR="60F1EFBD" w:rsidRPr="3AD7D649">
              <w:rPr>
                <w:rFonts w:eastAsia="Avenir Next LT Pro" w:cs="Avenir Next LT Pro"/>
              </w:rPr>
              <w:t>3</w:t>
            </w:r>
            <w:r w:rsidR="171D9936" w:rsidRPr="3AD7D649">
              <w:rPr>
                <w:rFonts w:eastAsia="Avenir Next LT Pro" w:cs="Avenir Next LT Pro"/>
              </w:rPr>
              <w:t>00</w:t>
            </w:r>
            <w:r w:rsidRPr="3AD7D649">
              <w:rPr>
                <w:rFonts w:eastAsia="Avenir Next LT Pro" w:cs="Avenir Next LT Pro"/>
              </w:rPr>
              <w:t xml:space="preserve"> of their combined JobSeeker allowance. They </w:t>
            </w:r>
            <w:r w:rsidR="00AE1DE2" w:rsidRPr="3AD7D649">
              <w:rPr>
                <w:rFonts w:eastAsia="Avenir Next LT Pro" w:cs="Avenir Next LT Pro"/>
              </w:rPr>
              <w:t xml:space="preserve">can’t rely on </w:t>
            </w:r>
            <w:r w:rsidR="002726D7" w:rsidRPr="3AD7D649">
              <w:rPr>
                <w:rFonts w:eastAsia="Avenir Next LT Pro" w:cs="Avenir Next LT Pro"/>
              </w:rPr>
              <w:t xml:space="preserve">getting good hours, so they’re reluctant to commit to more than </w:t>
            </w:r>
            <w:r w:rsidRPr="3AD7D649">
              <w:rPr>
                <w:rFonts w:eastAsia="Avenir Next LT Pro" w:cs="Avenir Next LT Pro"/>
              </w:rPr>
              <w:t>$400 a week rent</w:t>
            </w:r>
            <w:r w:rsidR="0839481C" w:rsidRPr="3AD7D649">
              <w:rPr>
                <w:rFonts w:eastAsia="Avenir Next LT Pro" w:cs="Avenir Next LT Pro"/>
              </w:rPr>
              <w:t>.</w:t>
            </w:r>
            <w:r w:rsidRPr="3AD7D649">
              <w:rPr>
                <w:rFonts w:eastAsia="Avenir Next LT Pro" w:cs="Avenir Next LT Pro"/>
              </w:rPr>
              <w:t xml:space="preserve"> At the moment they can manage with a three-bedroom house, </w:t>
            </w:r>
            <w:r w:rsidR="6392B6F3" w:rsidRPr="3AD7D649">
              <w:rPr>
                <w:rFonts w:eastAsia="Avenir Next LT Pro" w:cs="Avenir Next LT Pro"/>
              </w:rPr>
              <w:t xml:space="preserve">although it’s a bit crowded, </w:t>
            </w:r>
            <w:r w:rsidRPr="3AD7D649">
              <w:rPr>
                <w:rFonts w:eastAsia="Avenir Next LT Pro" w:cs="Avenir Next LT Pro"/>
              </w:rPr>
              <w:t xml:space="preserve">but when the new baby arrives they </w:t>
            </w:r>
            <w:r w:rsidR="4558021E" w:rsidRPr="3AD7D649">
              <w:rPr>
                <w:rFonts w:eastAsia="Avenir Next LT Pro" w:cs="Avenir Next LT Pro"/>
              </w:rPr>
              <w:t>will</w:t>
            </w:r>
            <w:r w:rsidRPr="3AD7D649">
              <w:rPr>
                <w:rFonts w:eastAsia="Avenir Next LT Pro" w:cs="Avenir Next LT Pro"/>
              </w:rPr>
              <w:t xml:space="preserve"> need more space.</w:t>
            </w:r>
          </w:p>
          <w:p w14:paraId="7633C3F5" w14:textId="1D9699A2" w:rsidR="4CF69E9F" w:rsidRDefault="4CF69E9F" w:rsidP="084ACD19">
            <w:pPr>
              <w:spacing w:after="160" w:line="257" w:lineRule="auto"/>
              <w:rPr>
                <w:rFonts w:eastAsia="Avenir Next LT Pro" w:cs="Avenir Next LT Pro"/>
              </w:rPr>
            </w:pPr>
            <w:r w:rsidRPr="3F6030A4">
              <w:rPr>
                <w:rFonts w:eastAsia="Avenir Next LT Pro" w:cs="Avenir Next LT Pro"/>
              </w:rPr>
              <w:t>Affordable budget: $400</w:t>
            </w:r>
          </w:p>
          <w:p w14:paraId="1546241C" w14:textId="319A7F4B" w:rsidR="4CF69E9F" w:rsidRDefault="4CF69E9F" w:rsidP="084ACD19">
            <w:pPr>
              <w:spacing w:after="160" w:line="257" w:lineRule="auto"/>
              <w:rPr>
                <w:rFonts w:eastAsia="Avenir Next LT Pro" w:cs="Avenir Next LT Pro"/>
              </w:rPr>
            </w:pPr>
            <w:r w:rsidRPr="3F6030A4">
              <w:rPr>
                <w:rFonts w:eastAsia="Avenir Next LT Pro" w:cs="Avenir Next LT Pro"/>
              </w:rPr>
              <w:t>Suitable properties within budget: 0</w:t>
            </w:r>
          </w:p>
          <w:p w14:paraId="49134C3F" w14:textId="20AEBB64" w:rsidR="4CF69E9F" w:rsidRDefault="4CF69E9F" w:rsidP="084ACD19">
            <w:pPr>
              <w:spacing w:after="160" w:line="257" w:lineRule="auto"/>
              <w:rPr>
                <w:rFonts w:eastAsia="Avenir Next LT Pro" w:cs="Avenir Next LT Pro"/>
              </w:rPr>
            </w:pPr>
            <w:r w:rsidRPr="3F6030A4">
              <w:rPr>
                <w:rFonts w:eastAsia="Avenir Next LT Pro" w:cs="Avenir Next LT Pro"/>
              </w:rPr>
              <w:t>Cheapest suitable: $4</w:t>
            </w:r>
            <w:r w:rsidR="009632E0" w:rsidRPr="3F6030A4">
              <w:rPr>
                <w:rFonts w:eastAsia="Avenir Next LT Pro" w:cs="Avenir Next LT Pro"/>
              </w:rPr>
              <w:t>25</w:t>
            </w:r>
            <w:r w:rsidRPr="3F6030A4">
              <w:rPr>
                <w:rFonts w:eastAsia="Avenir Next LT Pro" w:cs="Avenir Next LT Pro"/>
              </w:rPr>
              <w:t xml:space="preserve"> (3 bedrooms)</w:t>
            </w:r>
          </w:p>
          <w:p w14:paraId="14E516ED" w14:textId="36125E13" w:rsidR="25A79FE5" w:rsidRDefault="25A79FE5" w:rsidP="25A79FE5"/>
        </w:tc>
      </w:tr>
    </w:tbl>
    <w:p w14:paraId="651BA4C0" w14:textId="17B1FB41" w:rsidR="25A79FE5" w:rsidRDefault="25A79FE5" w:rsidP="25A79FE5"/>
    <w:p w14:paraId="73D97C74" w14:textId="7FC753F3" w:rsidR="008D1C15" w:rsidRDefault="008D1C15" w:rsidP="008D1C15"/>
    <w:p w14:paraId="11D489D8" w14:textId="4D88B016" w:rsidR="00A82E73" w:rsidRPr="00E81C05" w:rsidRDefault="007E6088" w:rsidP="009053C5">
      <w:r>
        <w:br w:type="page"/>
      </w:r>
    </w:p>
    <w:p w14:paraId="5F8B5A50" w14:textId="5ADA2AF9" w:rsidR="00A82E73" w:rsidRPr="00E81C05" w:rsidRDefault="007E6088" w:rsidP="00E81C05">
      <w:pPr>
        <w:pStyle w:val="Heading2"/>
        <w:rPr>
          <w:rFonts w:ascii="Avenir Next LT Pro" w:hAnsi="Avenir Next LT Pro"/>
        </w:rPr>
      </w:pPr>
      <w:bookmarkStart w:id="28" w:name="_Toc227843617"/>
      <w:r>
        <w:rPr>
          <w:rFonts w:ascii="Avenir Next LT Pro" w:hAnsi="Avenir Next LT Pro"/>
        </w:rPr>
        <w:lastRenderedPageBreak/>
        <w:t>Families may be forced into overcrowded dwellings</w:t>
      </w:r>
      <w:bookmarkEnd w:id="28"/>
    </w:p>
    <w:p w14:paraId="499A1F45" w14:textId="1CEC7FB9" w:rsidR="008D1C15" w:rsidRPr="008D1C15" w:rsidRDefault="008D1C15" w:rsidP="008D1C15">
      <w:r>
        <w:t xml:space="preserve">Housing instability, including overcrowding, can greatly impact health. Gaurika experienced significant health impacts </w:t>
      </w:r>
      <w:r w:rsidR="00DE33FC">
        <w:t xml:space="preserve">while she was </w:t>
      </w:r>
      <w:r>
        <w:t>living temporarily with others. In this rental market, her family is unlikely to find an affordable rental</w:t>
      </w:r>
      <w:r w:rsidR="007E6088">
        <w:t xml:space="preserve"> with an appropriate number of bedrooms. </w:t>
      </w:r>
    </w:p>
    <w:tbl>
      <w:tblPr>
        <w:tblStyle w:val="TableGrid"/>
        <w:tblW w:w="0" w:type="auto"/>
        <w:tblLook w:val="06A0" w:firstRow="1" w:lastRow="0" w:firstColumn="1" w:lastColumn="0" w:noHBand="1" w:noVBand="1"/>
      </w:tblPr>
      <w:tblGrid>
        <w:gridCol w:w="9015"/>
      </w:tblGrid>
      <w:tr w:rsidR="25A79FE5" w14:paraId="56ABE44B" w14:textId="77777777" w:rsidTr="25A79FE5">
        <w:trPr>
          <w:trHeight w:val="300"/>
        </w:trPr>
        <w:tc>
          <w:tcPr>
            <w:tcW w:w="9015" w:type="dxa"/>
          </w:tcPr>
          <w:p w14:paraId="0D7C1BBA" w14:textId="30D18739" w:rsidR="20F88440" w:rsidRDefault="20F88440" w:rsidP="25A79FE5">
            <w:pPr>
              <w:pStyle w:val="Subtitle"/>
              <w:spacing w:after="160" w:line="257" w:lineRule="auto"/>
              <w:rPr>
                <w:rFonts w:eastAsia="Avenir Next LT Pro" w:cs="Avenir Next LT Pro"/>
              </w:rPr>
            </w:pPr>
            <w:r w:rsidRPr="25A79FE5">
              <w:rPr>
                <w:rFonts w:eastAsia="Avenir Next LT Pro" w:cs="Avenir Next LT Pro"/>
              </w:rPr>
              <w:t>Nuraj and Gaurika</w:t>
            </w:r>
          </w:p>
          <w:p w14:paraId="7B1BE9A8" w14:textId="13BBA3F9" w:rsidR="20F88440" w:rsidRDefault="20F88440" w:rsidP="084ACD19">
            <w:pPr>
              <w:spacing w:after="160" w:line="257" w:lineRule="auto"/>
              <w:rPr>
                <w:rFonts w:eastAsia="Avenir Next LT Pro" w:cs="Avenir Next LT Pro"/>
              </w:rPr>
            </w:pPr>
            <w:r w:rsidRPr="3F6030A4">
              <w:rPr>
                <w:rFonts w:eastAsia="Avenir Next LT Pro" w:cs="Avenir Next LT Pro"/>
              </w:rPr>
              <w:t>A few years ago Nuraj and Gaurika brought their family to Australia following political unrest in Nepal. They settled in northern Tasmania, where Nuraj found casual farm work. Gaurika was happy she could get support for their two young daughters, who both have disabilities, and their older child was doing well at school.</w:t>
            </w:r>
          </w:p>
          <w:p w14:paraId="145FDD4D" w14:textId="5CE0247B" w:rsidR="20F88440" w:rsidRDefault="20F88440" w:rsidP="084ACD19">
            <w:pPr>
              <w:spacing w:after="160" w:line="257" w:lineRule="auto"/>
              <w:rPr>
                <w:rFonts w:eastAsia="Avenir Next LT Pro" w:cs="Avenir Next LT Pro"/>
              </w:rPr>
            </w:pPr>
            <w:r w:rsidRPr="3F6030A4">
              <w:rPr>
                <w:rFonts w:eastAsia="Avenir Next LT Pro" w:cs="Avenir Next LT Pro"/>
              </w:rPr>
              <w:t>When their landlord decided to terminate their lease, Nuraj and Gaurika applied for multiple properties, but were unable to secure a home before their lease expired. Moving in with friends, the family of five spent the summer crammed into one room. Gaurika became ill from stress and spent several nights in hospital. The two little girls suffered as routines necessary for their health were disrupted.</w:t>
            </w:r>
          </w:p>
          <w:p w14:paraId="1AC293F7" w14:textId="23803BB9" w:rsidR="20F88440" w:rsidRDefault="20F88440" w:rsidP="084ACD19">
            <w:pPr>
              <w:spacing w:after="160" w:line="257" w:lineRule="auto"/>
              <w:rPr>
                <w:rFonts w:eastAsia="Avenir Next LT Pro" w:cs="Avenir Next LT Pro"/>
              </w:rPr>
            </w:pPr>
            <w:r w:rsidRPr="3F6030A4">
              <w:rPr>
                <w:rFonts w:eastAsia="Avenir Next LT Pro" w:cs="Avenir Next LT Pro"/>
              </w:rPr>
              <w:t xml:space="preserve">Nuraj earns less than a full-time wage, and Gaurika receives Carer Payment to look after the girls. A four-bedroom property would be ideal to give the children more space, but those usually cost </w:t>
            </w:r>
            <w:r w:rsidR="00A542A4" w:rsidRPr="3F6030A4">
              <w:rPr>
                <w:rFonts w:eastAsia="Avenir Next LT Pro" w:cs="Avenir Next LT Pro"/>
              </w:rPr>
              <w:t xml:space="preserve">well </w:t>
            </w:r>
            <w:r w:rsidRPr="3F6030A4">
              <w:rPr>
                <w:rFonts w:eastAsia="Avenir Next LT Pro" w:cs="Avenir Next LT Pro"/>
              </w:rPr>
              <w:t xml:space="preserve">over $500 a week. Nuraj and Gaurika can afford </w:t>
            </w:r>
            <w:r w:rsidR="2D755F80" w:rsidRPr="3F6030A4">
              <w:rPr>
                <w:rFonts w:eastAsia="Avenir Next LT Pro" w:cs="Avenir Next LT Pro"/>
              </w:rPr>
              <w:t>$4</w:t>
            </w:r>
            <w:r w:rsidR="38D6B07E" w:rsidRPr="3F6030A4">
              <w:rPr>
                <w:rFonts w:eastAsia="Avenir Next LT Pro" w:cs="Avenir Next LT Pro"/>
              </w:rPr>
              <w:t>45</w:t>
            </w:r>
            <w:r w:rsidRPr="3F6030A4">
              <w:rPr>
                <w:rFonts w:eastAsia="Avenir Next LT Pro" w:cs="Avenir Next LT Pro"/>
              </w:rPr>
              <w:t xml:space="preserve">, which is </w:t>
            </w:r>
            <w:r w:rsidR="000310E7" w:rsidRPr="3F6030A4">
              <w:rPr>
                <w:rFonts w:eastAsia="Avenir Next LT Pro" w:cs="Avenir Next LT Pro"/>
              </w:rPr>
              <w:t>only</w:t>
            </w:r>
            <w:r w:rsidRPr="3F6030A4">
              <w:rPr>
                <w:rFonts w:eastAsia="Avenir Next LT Pro" w:cs="Avenir Next LT Pro"/>
              </w:rPr>
              <w:t xml:space="preserve"> enough for a three-bedroom. They will be facing stiff competition, and meanwhile everyone’s physical and mental health is declining in overcrowded conditions.</w:t>
            </w:r>
          </w:p>
          <w:p w14:paraId="4CEFCD90" w14:textId="4B54D20B" w:rsidR="20F88440" w:rsidRDefault="20F88440" w:rsidP="084ACD19">
            <w:pPr>
              <w:spacing w:after="160" w:line="257" w:lineRule="auto"/>
              <w:rPr>
                <w:rFonts w:eastAsia="Avenir Next LT Pro" w:cs="Avenir Next LT Pro"/>
              </w:rPr>
            </w:pPr>
            <w:r w:rsidRPr="3F6030A4">
              <w:rPr>
                <w:rFonts w:eastAsia="Avenir Next LT Pro" w:cs="Avenir Next LT Pro"/>
              </w:rPr>
              <w:t>Affordable budget: $4</w:t>
            </w:r>
            <w:r w:rsidR="008A29F3" w:rsidRPr="3F6030A4">
              <w:rPr>
                <w:rFonts w:eastAsia="Avenir Next LT Pro" w:cs="Avenir Next LT Pro"/>
              </w:rPr>
              <w:t>45</w:t>
            </w:r>
          </w:p>
          <w:p w14:paraId="6BD8B34E" w14:textId="1B086B17" w:rsidR="20F88440" w:rsidRDefault="20F88440" w:rsidP="084ACD19">
            <w:pPr>
              <w:spacing w:after="160" w:line="257" w:lineRule="auto"/>
              <w:rPr>
                <w:rFonts w:eastAsia="Avenir Next LT Pro" w:cs="Avenir Next LT Pro"/>
              </w:rPr>
            </w:pPr>
            <w:r w:rsidRPr="3F6030A4">
              <w:rPr>
                <w:rFonts w:eastAsia="Avenir Next LT Pro" w:cs="Avenir Next LT Pro"/>
              </w:rPr>
              <w:t xml:space="preserve">Suitable properties within budget: </w:t>
            </w:r>
            <w:r w:rsidR="00532AAC" w:rsidRPr="3F6030A4">
              <w:rPr>
                <w:rFonts w:eastAsia="Avenir Next LT Pro" w:cs="Avenir Next LT Pro"/>
              </w:rPr>
              <w:t>9</w:t>
            </w:r>
            <w:r w:rsidRPr="3F6030A4">
              <w:rPr>
                <w:rFonts w:eastAsia="Avenir Next LT Pro" w:cs="Avenir Next LT Pro"/>
              </w:rPr>
              <w:t xml:space="preserve"> (3 bedrooms)</w:t>
            </w:r>
          </w:p>
          <w:p w14:paraId="626552D3" w14:textId="4E71168D" w:rsidR="20F88440" w:rsidRDefault="20F88440" w:rsidP="084ACD19">
            <w:pPr>
              <w:spacing w:after="160" w:line="257" w:lineRule="auto"/>
              <w:rPr>
                <w:rFonts w:eastAsia="Avenir Next LT Pro" w:cs="Avenir Next LT Pro"/>
              </w:rPr>
            </w:pPr>
            <w:r w:rsidRPr="3F6030A4">
              <w:rPr>
                <w:rFonts w:eastAsia="Avenir Next LT Pro" w:cs="Avenir Next LT Pro"/>
              </w:rPr>
              <w:t>Cheapest suitable 4-bedroom: $</w:t>
            </w:r>
            <w:r w:rsidR="001031DD" w:rsidRPr="3F6030A4">
              <w:rPr>
                <w:rFonts w:eastAsia="Avenir Next LT Pro" w:cs="Avenir Next LT Pro"/>
              </w:rPr>
              <w:t>4</w:t>
            </w:r>
            <w:r w:rsidRPr="3F6030A4">
              <w:rPr>
                <w:rFonts w:eastAsia="Avenir Next LT Pro" w:cs="Avenir Next LT Pro"/>
              </w:rPr>
              <w:t>70</w:t>
            </w:r>
          </w:p>
          <w:p w14:paraId="52B406E4" w14:textId="428000FF" w:rsidR="25A79FE5" w:rsidRDefault="25A79FE5" w:rsidP="25A79FE5"/>
        </w:tc>
      </w:tr>
    </w:tbl>
    <w:p w14:paraId="25324F9F" w14:textId="14EC02D6" w:rsidR="00A82E73" w:rsidRDefault="00A82E73" w:rsidP="00E8758A"/>
    <w:p w14:paraId="3C6E1B58" w14:textId="5E74CB11" w:rsidR="004135B6" w:rsidRPr="008D1C15" w:rsidRDefault="004135B6">
      <w:pPr>
        <w:rPr>
          <w:rFonts w:eastAsiaTheme="majorEastAsia" w:cstheme="majorBidi"/>
          <w:color w:val="0F4761" w:themeColor="accent1" w:themeShade="BF"/>
        </w:rPr>
      </w:pPr>
      <w:bookmarkStart w:id="29" w:name="_Toc195101865"/>
      <w:r w:rsidRPr="00425028">
        <w:br w:type="page"/>
      </w:r>
    </w:p>
    <w:p w14:paraId="6BE82F43" w14:textId="42C95541" w:rsidR="00284004" w:rsidRPr="00C536C7" w:rsidRDefault="00E8758A" w:rsidP="00C536C7">
      <w:pPr>
        <w:pStyle w:val="Heading2"/>
        <w:rPr>
          <w:rFonts w:ascii="Avenir Next LT Pro" w:hAnsi="Avenir Next LT Pro"/>
        </w:rPr>
      </w:pPr>
      <w:bookmarkStart w:id="30" w:name="_Toc227843618"/>
      <w:bookmarkEnd w:id="29"/>
      <w:r w:rsidRPr="00C536C7">
        <w:rPr>
          <w:rFonts w:ascii="Avenir Next LT Pro" w:hAnsi="Avenir Next LT Pro"/>
        </w:rPr>
        <w:lastRenderedPageBreak/>
        <w:t>What do people do if they can’t find a private rental?</w:t>
      </w:r>
      <w:bookmarkStart w:id="31" w:name="_Toc195101869"/>
      <w:bookmarkEnd w:id="30"/>
    </w:p>
    <w:p w14:paraId="4965A1D3" w14:textId="04B18672" w:rsidR="00584F80" w:rsidRDefault="00584F80" w:rsidP="00DA60E3">
      <w:r w:rsidRPr="00584F80">
        <w:rPr>
          <w:noProof/>
        </w:rPr>
        <w:drawing>
          <wp:inline distT="0" distB="0" distL="0" distR="0" wp14:anchorId="297F734C" wp14:editId="0BBDAC8D">
            <wp:extent cx="5362575" cy="3554161"/>
            <wp:effectExtent l="0" t="0" r="0" b="8255"/>
            <wp:docPr id="382938263" name="Picture 1" descr="Infographic.&#10;Stay with others temporarily - Nuraj and Gaurika&#10;Stay in a hotel - Mel and Jack&#10;Stay in a crisis shelter - Sienna&#10;Stay in a tent - Gareth&#10;Stay in a car - Harmony, Hayden and Mir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38263" name="Picture 1" descr="Infographic.&#10;Stay with others temporarily - Nuraj and Gaurika&#10;Stay in a hotel - Mel and Jack&#10;Stay in a crisis shelter - Sienna&#10;Stay in a tent - Gareth&#10;Stay in a car - Harmony, Hayden and Miranda"/>
                    <pic:cNvPicPr/>
                  </pic:nvPicPr>
                  <pic:blipFill>
                    <a:blip r:embed="rId27"/>
                    <a:stretch>
                      <a:fillRect/>
                    </a:stretch>
                  </pic:blipFill>
                  <pic:spPr>
                    <a:xfrm>
                      <a:off x="0" y="0"/>
                      <a:ext cx="5363324" cy="3554657"/>
                    </a:xfrm>
                    <a:prstGeom prst="rect">
                      <a:avLst/>
                    </a:prstGeom>
                  </pic:spPr>
                </pic:pic>
              </a:graphicData>
            </a:graphic>
          </wp:inline>
        </w:drawing>
      </w:r>
    </w:p>
    <w:p w14:paraId="0D9535EC" w14:textId="5147D992" w:rsidR="00DA60E3" w:rsidRDefault="00DA60E3" w:rsidP="00DA60E3">
      <w:r w:rsidRPr="002067A6">
        <w:t>All of the</w:t>
      </w:r>
      <w:r w:rsidR="009A440F">
        <w:t xml:space="preserve"> above </w:t>
      </w:r>
      <w:r w:rsidRPr="002067A6">
        <w:t>options are forms of homelessness. Living in improvised dwellings and sleeping rough such as in tents are considered primary homelessness.</w:t>
      </w:r>
      <w:r w:rsidRPr="002067A6">
        <w:rPr>
          <w:rStyle w:val="FootnoteReference"/>
        </w:rPr>
        <w:footnoteReference w:id="15"/>
      </w:r>
      <w:r w:rsidRPr="002067A6">
        <w:t xml:space="preserve"> Living in overcrowded, inadequate, or temporary dwellings </w:t>
      </w:r>
      <w:r w:rsidR="00A05D6F">
        <w:t>is</w:t>
      </w:r>
      <w:r w:rsidRPr="002067A6">
        <w:t xml:space="preserve"> considered secondary homelessness.</w:t>
      </w:r>
      <w:r w:rsidRPr="002067A6">
        <w:rPr>
          <w:rStyle w:val="FootnoteReference"/>
        </w:rPr>
        <w:footnoteReference w:id="16"/>
      </w:r>
      <w:r w:rsidRPr="002067A6">
        <w:t xml:space="preserve"> </w:t>
      </w:r>
    </w:p>
    <w:p w14:paraId="79EBA3B6" w14:textId="35820D34" w:rsidR="00DA60E3" w:rsidRDefault="008D27CA" w:rsidP="00DA60E3">
      <w:r w:rsidRPr="002067A6">
        <w:t>When people cannot find an affordable rental, they are likely to experience a form of homelessness while waiting for affordable housing options, such as social housing.</w:t>
      </w:r>
      <w:r>
        <w:t xml:space="preserve"> Few of the above options will land the person’s application for social housing in the highest priority category in Tasmania.</w:t>
      </w:r>
      <w:r>
        <w:rPr>
          <w:rStyle w:val="FootnoteReference"/>
        </w:rPr>
        <w:footnoteReference w:id="17"/>
      </w:r>
      <w:r>
        <w:t xml:space="preserve"> </w:t>
      </w:r>
    </w:p>
    <w:p w14:paraId="23F436D5" w14:textId="1C5E61EF" w:rsidR="008D27CA" w:rsidRPr="002067A6" w:rsidRDefault="008D27CA" w:rsidP="00DA60E3">
      <w:r>
        <w:t>There is no option in between the</w:t>
      </w:r>
      <w:r w:rsidRPr="008D27CA">
        <w:t xml:space="preserve"> private rental market and social housing</w:t>
      </w:r>
      <w:r>
        <w:t xml:space="preserve">. </w:t>
      </w:r>
      <w:r w:rsidRPr="008D27CA">
        <w:t>For people who are priced out of buying a home, they can generally fall back on renting. For those priced out of renting, what can they fall back on?</w:t>
      </w:r>
    </w:p>
    <w:p w14:paraId="34FE2579" w14:textId="78EB10D8" w:rsidR="00E50390" w:rsidRPr="00425028" w:rsidRDefault="00E50390">
      <w:pPr>
        <w:rPr>
          <w:rFonts w:eastAsiaTheme="majorEastAsia" w:cstheme="majorBidi"/>
          <w:color w:val="0F4761" w:themeColor="accent1" w:themeShade="BF"/>
          <w:sz w:val="32"/>
          <w:szCs w:val="32"/>
        </w:rPr>
      </w:pPr>
      <w:r w:rsidRPr="00425028">
        <w:br w:type="page"/>
      </w:r>
    </w:p>
    <w:p w14:paraId="43AC955A" w14:textId="7D6C2D4F" w:rsidR="009A440F" w:rsidRPr="002F780F" w:rsidRDefault="000114A0" w:rsidP="002F780F">
      <w:pPr>
        <w:pStyle w:val="Heading1"/>
        <w:rPr>
          <w:rFonts w:ascii="Avenir Next LT Pro" w:hAnsi="Avenir Next LT Pro"/>
          <w:highlight w:val="yellow"/>
        </w:rPr>
      </w:pPr>
      <w:bookmarkStart w:id="32" w:name="_Toc227843619"/>
      <w:bookmarkEnd w:id="31"/>
      <w:r w:rsidRPr="17BC181B">
        <w:rPr>
          <w:rFonts w:ascii="Avenir Next LT Pro" w:hAnsi="Avenir Next LT Pro"/>
        </w:rPr>
        <w:lastRenderedPageBreak/>
        <w:t>Urgent action is needed to</w:t>
      </w:r>
      <w:r w:rsidRPr="17BC181B" w:rsidDel="000114A0">
        <w:rPr>
          <w:rFonts w:ascii="Avenir Next LT Pro" w:hAnsi="Avenir Next LT Pro"/>
        </w:rPr>
        <w:t xml:space="preserve"> </w:t>
      </w:r>
      <w:r w:rsidRPr="17BC181B">
        <w:rPr>
          <w:rFonts w:ascii="Avenir Next LT Pro" w:hAnsi="Avenir Next LT Pro"/>
        </w:rPr>
        <w:t>improve circumstances for people on the lowest incomes</w:t>
      </w:r>
      <w:bookmarkEnd w:id="32"/>
      <w:r w:rsidRPr="084ACD19">
        <w:rPr>
          <w:rFonts w:ascii="Avenir Next LT Pro" w:hAnsi="Avenir Next LT Pro"/>
        </w:rPr>
        <w:t xml:space="preserve"> </w:t>
      </w:r>
    </w:p>
    <w:p w14:paraId="4EEA6FD1" w14:textId="02641B15" w:rsidR="009A440F" w:rsidRPr="009A440F" w:rsidRDefault="00D26D04" w:rsidP="009A440F">
      <w:pPr>
        <w:rPr>
          <w:highlight w:val="yellow"/>
        </w:rPr>
      </w:pPr>
      <w:r>
        <w:t xml:space="preserve">For people on the lowest incomes, the private rental market does not provide secure, affordable housing. </w:t>
      </w:r>
      <w:r w:rsidR="009A440F" w:rsidRPr="00D26D04">
        <w:t xml:space="preserve">A range of measures to address housing affordability </w:t>
      </w:r>
      <w:r w:rsidR="00FE243F">
        <w:t xml:space="preserve">and availability </w:t>
      </w:r>
      <w:r w:rsidR="009A440F" w:rsidRPr="00D26D04">
        <w:t xml:space="preserve">for people on low incomes are outlined below. </w:t>
      </w:r>
      <w:r w:rsidR="009A440F" w:rsidRPr="00C8575E">
        <w:rPr>
          <w:b/>
          <w:bCs/>
        </w:rPr>
        <w:t>Increasing the supply of social housing and raising the rate of income support payments will have the greatest impact and must be the highest priority</w:t>
      </w:r>
      <w:r w:rsidRPr="00C8575E">
        <w:rPr>
          <w:b/>
          <w:bCs/>
        </w:rPr>
        <w:t>.</w:t>
      </w:r>
    </w:p>
    <w:p w14:paraId="6DF686AA" w14:textId="77777777" w:rsidR="009A440F" w:rsidRPr="00F45A14" w:rsidRDefault="009A440F" w:rsidP="00F45A14">
      <w:pPr>
        <w:pStyle w:val="Heading2"/>
        <w:rPr>
          <w:rFonts w:ascii="Avenir Next LT Pro" w:hAnsi="Avenir Next LT Pro"/>
        </w:rPr>
      </w:pPr>
      <w:bookmarkStart w:id="33" w:name="_Toc227843620"/>
      <w:r w:rsidRPr="00F45A14">
        <w:rPr>
          <w:rFonts w:ascii="Avenir Next LT Pro" w:hAnsi="Avenir Next LT Pro"/>
        </w:rPr>
        <w:t>Increasing supply of social housing</w:t>
      </w:r>
      <w:bookmarkEnd w:id="33"/>
      <w:r w:rsidRPr="00F45A14">
        <w:rPr>
          <w:rFonts w:ascii="Avenir Next LT Pro" w:hAnsi="Avenir Next LT Pro"/>
        </w:rPr>
        <w:t xml:space="preserve"> </w:t>
      </w:r>
    </w:p>
    <w:p w14:paraId="1C889F32" w14:textId="5B795F79" w:rsidR="00D26D04" w:rsidRDefault="00D26D04" w:rsidP="00D26D04">
      <w:r>
        <w:t xml:space="preserve">Government investment in social housing has failed to keep up with demand. As of </w:t>
      </w:r>
      <w:r w:rsidR="6DB35181">
        <w:t>February 2026,</w:t>
      </w:r>
      <w:r>
        <w:t xml:space="preserve"> there were 5</w:t>
      </w:r>
      <w:r w:rsidR="004D3DE3">
        <w:t>,</w:t>
      </w:r>
      <w:r>
        <w:t>408 applications on the housing register.</w:t>
      </w:r>
      <w:r>
        <w:rPr>
          <w:rStyle w:val="FootnoteReference"/>
        </w:rPr>
        <w:footnoteReference w:id="18"/>
      </w:r>
      <w:r>
        <w:t xml:space="preserve"> The supply of social housing must be proportionate to the number of people who need it. </w:t>
      </w:r>
    </w:p>
    <w:p w14:paraId="4935304D" w14:textId="5A5096C6" w:rsidR="00D26D04" w:rsidRDefault="00D26D04" w:rsidP="009A440F">
      <w:r>
        <w:t>Previous modelling by Anglicare Tasmania p</w:t>
      </w:r>
      <w:r w:rsidRPr="002D5D0F">
        <w:t xml:space="preserve">rojected </w:t>
      </w:r>
      <w:r>
        <w:t xml:space="preserve">that the </w:t>
      </w:r>
      <w:r w:rsidRPr="002D5D0F">
        <w:t xml:space="preserve">social housing register </w:t>
      </w:r>
      <w:r>
        <w:t xml:space="preserve">will </w:t>
      </w:r>
      <w:r w:rsidRPr="002D5D0F">
        <w:t>exceed 8</w:t>
      </w:r>
      <w:r w:rsidR="004D3DE3">
        <w:t>,</w:t>
      </w:r>
      <w:r w:rsidRPr="002D5D0F">
        <w:t xml:space="preserve">000 </w:t>
      </w:r>
      <w:r>
        <w:t xml:space="preserve">applications </w:t>
      </w:r>
      <w:r w:rsidRPr="002D5D0F">
        <w:t>by 2032</w:t>
      </w:r>
      <w:r>
        <w:t>.</w:t>
      </w:r>
      <w:r>
        <w:rPr>
          <w:rStyle w:val="FootnoteReference"/>
        </w:rPr>
        <w:footnoteReference w:id="19"/>
      </w:r>
      <w:r>
        <w:t xml:space="preserve"> Anglicare Tasmania has advocated for action by the Tasmanian government to address the harmful impacts of waiting for social housing, including by establishing targets to reduce the number of applicants on the social housing register.</w:t>
      </w:r>
      <w:r>
        <w:rPr>
          <w:rStyle w:val="FootnoteReference"/>
        </w:rPr>
        <w:footnoteReference w:id="20"/>
      </w:r>
      <w:r w:rsidR="0075796E" w:rsidRPr="0075796E">
        <w:t xml:space="preserve"> </w:t>
      </w:r>
      <w:r w:rsidR="0075796E">
        <w:t>Increasing the supply of social housing would address the distress of clients of housing and homelessness services and reduce the workplace trauma of frontline workers.</w:t>
      </w:r>
      <w:r w:rsidR="0075796E">
        <w:rPr>
          <w:rStyle w:val="FootnoteReference"/>
        </w:rPr>
        <w:footnoteReference w:id="21"/>
      </w:r>
      <w:r w:rsidR="0075796E">
        <w:t xml:space="preserve"> </w:t>
      </w:r>
    </w:p>
    <w:p w14:paraId="7B6AEC45" w14:textId="1B6D3FCC" w:rsidR="00997532" w:rsidRPr="00D26D04" w:rsidRDefault="00997532" w:rsidP="009A440F">
      <w:pPr>
        <w:rPr>
          <w:b/>
          <w:bCs/>
        </w:rPr>
      </w:pPr>
      <w:r w:rsidRPr="00D26D04">
        <w:rPr>
          <w:b/>
          <w:bCs/>
        </w:rPr>
        <w:t>State and Federal Governments need to work together to increase the supply of social housing at the scale needed.</w:t>
      </w:r>
    </w:p>
    <w:p w14:paraId="0674C44E" w14:textId="77777777" w:rsidR="009A440F" w:rsidRPr="00F45A14" w:rsidRDefault="009A440F" w:rsidP="00F45A14">
      <w:pPr>
        <w:pStyle w:val="Heading2"/>
        <w:rPr>
          <w:rFonts w:ascii="Avenir Next LT Pro" w:hAnsi="Avenir Next LT Pro"/>
        </w:rPr>
      </w:pPr>
      <w:bookmarkStart w:id="34" w:name="_Toc227843621"/>
      <w:r w:rsidRPr="00F45A14">
        <w:rPr>
          <w:rFonts w:ascii="Avenir Next LT Pro" w:hAnsi="Avenir Next LT Pro"/>
        </w:rPr>
        <w:t>Increasing income support payments</w:t>
      </w:r>
      <w:bookmarkEnd w:id="34"/>
      <w:r w:rsidRPr="00F45A14">
        <w:rPr>
          <w:rFonts w:ascii="Avenir Next LT Pro" w:hAnsi="Avenir Next LT Pro"/>
        </w:rPr>
        <w:t xml:space="preserve"> </w:t>
      </w:r>
    </w:p>
    <w:p w14:paraId="0B1B0A7F" w14:textId="45122A27" w:rsidR="00C8575E" w:rsidRDefault="009A440F" w:rsidP="00C8575E">
      <w:r>
        <w:t xml:space="preserve">Research has established that current </w:t>
      </w:r>
      <w:r w:rsidR="00C8575E">
        <w:t xml:space="preserve">income support </w:t>
      </w:r>
      <w:r>
        <w:t xml:space="preserve">payment levels are inadequate </w:t>
      </w:r>
      <w:r w:rsidR="00EC3868">
        <w:t xml:space="preserve">to </w:t>
      </w:r>
      <w:r>
        <w:t>meet the cost of living.</w:t>
      </w:r>
      <w:r>
        <w:rPr>
          <w:rStyle w:val="FootnoteReference"/>
        </w:rPr>
        <w:footnoteReference w:id="22"/>
      </w:r>
      <w:r>
        <w:t xml:space="preserve"> </w:t>
      </w:r>
    </w:p>
    <w:p w14:paraId="08D1BDFA" w14:textId="0D954D1B" w:rsidR="00C8575E" w:rsidRDefault="00C8575E" w:rsidP="009A440F">
      <w:r w:rsidRPr="00C75210">
        <w:t xml:space="preserve">The Australian Senate Community Affairs Committee explored the extent and nature of poverty in Australia and recommended that the Australian Government </w:t>
      </w:r>
      <w:r w:rsidRPr="00C75210">
        <w:lastRenderedPageBreak/>
        <w:t xml:space="preserve">take urgent action </w:t>
      </w:r>
      <w:r w:rsidR="081C0B86" w:rsidRPr="00C75210">
        <w:t>to address it</w:t>
      </w:r>
      <w:r w:rsidRPr="00C75210">
        <w:t>, including through considering the suitability, adequacy and effectiveness of the income support system.</w:t>
      </w:r>
      <w:r w:rsidRPr="00C75210">
        <w:rPr>
          <w:rStyle w:val="FootnoteReference"/>
        </w:rPr>
        <w:t xml:space="preserve"> </w:t>
      </w:r>
      <w:r w:rsidRPr="00C75210">
        <w:rPr>
          <w:rStyle w:val="FootnoteReference"/>
        </w:rPr>
        <w:footnoteReference w:id="23"/>
      </w:r>
      <w:r w:rsidRPr="00C75210">
        <w:t xml:space="preserve">  </w:t>
      </w:r>
    </w:p>
    <w:p w14:paraId="489BA6B9" w14:textId="33BBBEBB" w:rsidR="009A440F" w:rsidRPr="00BD22E0" w:rsidRDefault="009A440F" w:rsidP="009A440F">
      <w:r>
        <w:t xml:space="preserve">Anglicare will continue to advocate that </w:t>
      </w:r>
      <w:r w:rsidRPr="008A2655">
        <w:rPr>
          <w:b/>
          <w:bCs/>
        </w:rPr>
        <w:t>government income support payments must be raised above the poverty line</w:t>
      </w:r>
      <w:r w:rsidRPr="006356CF">
        <w:t>.</w:t>
      </w:r>
      <w:r w:rsidRPr="00BD22E0">
        <w:t xml:space="preserve"> </w:t>
      </w:r>
    </w:p>
    <w:p w14:paraId="43FF9F6E" w14:textId="77777777" w:rsidR="009A440F" w:rsidRDefault="009A440F" w:rsidP="009A440F">
      <w:r w:rsidRPr="00C75210">
        <w:t>Anglicare Australia estimated in 2025 that raising JobSeeker, Parenting Payment and Carer Payment to the poverty line would pull almost 2.3 million Australians out of poverty, including 840,000 children.</w:t>
      </w:r>
      <w:r w:rsidRPr="00C75210">
        <w:rPr>
          <w:rStyle w:val="FootnoteReference"/>
        </w:rPr>
        <w:t xml:space="preserve"> </w:t>
      </w:r>
      <w:r w:rsidRPr="00C75210">
        <w:rPr>
          <w:rStyle w:val="FootnoteReference"/>
        </w:rPr>
        <w:footnoteReference w:id="24"/>
      </w:r>
      <w:r w:rsidRPr="00C75210">
        <w:t xml:space="preserve">  </w:t>
      </w:r>
    </w:p>
    <w:p w14:paraId="638C331B" w14:textId="570BD6F1" w:rsidR="000114A0" w:rsidRPr="000114A0" w:rsidRDefault="00190697" w:rsidP="000114A0">
      <w:r>
        <w:t xml:space="preserve">Increases to income support payments must be accompanied by expansion in housing supply and a more sustainable vacancy rate or there is a risk that rent increases would absorb the increase to payments. </w:t>
      </w:r>
    </w:p>
    <w:p w14:paraId="61A6F427" w14:textId="77777777" w:rsidR="000114A0" w:rsidRPr="00F45A14" w:rsidRDefault="000114A0" w:rsidP="00F45A14">
      <w:pPr>
        <w:pStyle w:val="Heading2"/>
        <w:rPr>
          <w:rFonts w:ascii="Avenir Next LT Pro" w:hAnsi="Avenir Next LT Pro"/>
        </w:rPr>
      </w:pPr>
      <w:bookmarkStart w:id="35" w:name="_Toc227843622"/>
      <w:r w:rsidRPr="00F45A14">
        <w:rPr>
          <w:rFonts w:ascii="Avenir Next LT Pro" w:hAnsi="Avenir Next LT Pro"/>
        </w:rPr>
        <w:t>Active government intervention to raise the vacancy rate toward a 3% target</w:t>
      </w:r>
      <w:bookmarkEnd w:id="35"/>
    </w:p>
    <w:p w14:paraId="41672625" w14:textId="7348BBE6" w:rsidR="00C8575E" w:rsidRDefault="004D3DE3" w:rsidP="00C8575E">
      <w:r>
        <w:t>R</w:t>
      </w:r>
      <w:r w:rsidR="3EB08D5A">
        <w:t xml:space="preserve">esponses </w:t>
      </w:r>
      <w:r w:rsidR="00C8575E">
        <w:t xml:space="preserve">to the reality </w:t>
      </w:r>
      <w:r w:rsidR="2A646646">
        <w:t xml:space="preserve">being </w:t>
      </w:r>
      <w:r w:rsidR="00C8575E">
        <w:t xml:space="preserve">experienced at the Housing Connect Front Door </w:t>
      </w:r>
      <w:r>
        <w:t xml:space="preserve">should </w:t>
      </w:r>
      <w:r w:rsidR="00C8575E">
        <w:t>include</w:t>
      </w:r>
      <w:r w:rsidR="7DB5B880">
        <w:t>:</w:t>
      </w:r>
    </w:p>
    <w:p w14:paraId="07026943" w14:textId="5B48CDD0" w:rsidR="00C8575E" w:rsidRPr="004D3DE3" w:rsidRDefault="60540054" w:rsidP="004D3DE3">
      <w:pPr>
        <w:pStyle w:val="ListParagraph"/>
        <w:numPr>
          <w:ilvl w:val="0"/>
          <w:numId w:val="34"/>
        </w:numPr>
        <w:ind w:left="426"/>
      </w:pPr>
      <w:r w:rsidRPr="004D3DE3">
        <w:t>increas</w:t>
      </w:r>
      <w:r w:rsidR="59179E6A" w:rsidRPr="004D3DE3">
        <w:t>ing</w:t>
      </w:r>
      <w:r w:rsidR="00C8575E" w:rsidRPr="004D3DE3">
        <w:t xml:space="preserve"> social housing sufficient to reduce the number of people on the social housing register</w:t>
      </w:r>
    </w:p>
    <w:p w14:paraId="018723E5" w14:textId="58C6DED4" w:rsidR="00C8575E" w:rsidRPr="004D3DE3" w:rsidRDefault="00C8575E" w:rsidP="004D3DE3">
      <w:pPr>
        <w:pStyle w:val="ListParagraph"/>
        <w:numPr>
          <w:ilvl w:val="0"/>
          <w:numId w:val="34"/>
        </w:numPr>
        <w:ind w:left="426"/>
      </w:pPr>
      <w:r w:rsidRPr="004D3DE3">
        <w:t>effective initiatives to provide appropriate housing for people with complex needs</w:t>
      </w:r>
      <w:r w:rsidR="00571656" w:rsidRPr="004D3DE3">
        <w:t xml:space="preserve"> </w:t>
      </w:r>
      <w:r w:rsidRPr="004D3DE3">
        <w:t>including those with mental health challenges or escaping domestic and family violence</w:t>
      </w:r>
    </w:p>
    <w:p w14:paraId="05E706EE" w14:textId="4193A6C5" w:rsidR="00C8575E" w:rsidRDefault="00C8575E" w:rsidP="004D3DE3">
      <w:pPr>
        <w:pStyle w:val="ListParagraph"/>
        <w:numPr>
          <w:ilvl w:val="0"/>
          <w:numId w:val="34"/>
        </w:numPr>
        <w:ind w:left="426"/>
      </w:pPr>
      <w:r w:rsidRPr="004D3DE3">
        <w:t>active government intervention to raise the vacancy rate toward a 3% target</w:t>
      </w:r>
      <w:r w:rsidRPr="00D26D04">
        <w:t>.</w:t>
      </w:r>
      <w:r w:rsidRPr="14193444">
        <w:rPr>
          <w:rStyle w:val="FootnoteReference"/>
        </w:rPr>
        <w:footnoteReference w:id="25"/>
      </w:r>
    </w:p>
    <w:p w14:paraId="624B6207" w14:textId="64E7E1DF" w:rsidR="00C8575E" w:rsidRPr="00D26D04" w:rsidRDefault="00C8575E" w:rsidP="00C8575E">
      <w:r>
        <w:t>Homes Tasmania states that delivering more affordable rentals and affordable home ownership will reduce pressure on the social housing system</w:t>
      </w:r>
      <w:r w:rsidR="00416FF4">
        <w:t>.</w:t>
      </w:r>
      <w:r>
        <w:rPr>
          <w:rStyle w:val="FootnoteReference"/>
        </w:rPr>
        <w:footnoteReference w:id="26"/>
      </w:r>
      <w:r>
        <w:t xml:space="preserve"> </w:t>
      </w:r>
      <w:r w:rsidR="00C1071C">
        <w:t>H</w:t>
      </w:r>
      <w:r>
        <w:t xml:space="preserve">owever this does not include targeted measures to increase the vacancy rate in the private rental market. Affordable rentals delivered by Homes Tasmania </w:t>
      </w:r>
      <w:r w:rsidR="00BD3A81">
        <w:t>include</w:t>
      </w:r>
      <w:r>
        <w:t xml:space="preserve"> Private Rental Incentives Scheme and Family Violence Rapid Rehousing properties</w:t>
      </w:r>
      <w:r w:rsidR="00416FF4">
        <w:t>.</w:t>
      </w:r>
      <w:r w:rsidR="00E43368">
        <w:rPr>
          <w:rStyle w:val="FootnoteReference"/>
        </w:rPr>
        <w:footnoteReference w:id="27"/>
      </w:r>
      <w:r w:rsidR="00BD3A81">
        <w:t xml:space="preserve"> </w:t>
      </w:r>
      <w:r w:rsidR="00BD3A81" w:rsidRPr="00BD3A81">
        <w:t>Tasmanian Government efforts to increase the number of properties in these schemes ha</w:t>
      </w:r>
      <w:r w:rsidR="00C1071C">
        <w:t>ve</w:t>
      </w:r>
      <w:r w:rsidR="00BD3A81" w:rsidRPr="00BD3A81">
        <w:t xml:space="preserve"> not</w:t>
      </w:r>
      <w:r w:rsidR="00016D5F">
        <w:t xml:space="preserve"> resulted in the targeted increases</w:t>
      </w:r>
      <w:r w:rsidR="0051642F">
        <w:t>.</w:t>
      </w:r>
      <w:r w:rsidR="00BD3A81">
        <w:rPr>
          <w:rStyle w:val="FootnoteReference"/>
        </w:rPr>
        <w:footnoteReference w:id="28"/>
      </w:r>
    </w:p>
    <w:p w14:paraId="46C15D8A" w14:textId="10BD5A35" w:rsidR="009A440F" w:rsidRDefault="009A440F" w:rsidP="000114A0">
      <w:r>
        <w:t xml:space="preserve">Measures to increase supply are required to raise the vacancy rate. </w:t>
      </w:r>
    </w:p>
    <w:p w14:paraId="6ACE8C59" w14:textId="77777777" w:rsidR="000114A0" w:rsidRDefault="000114A0" w:rsidP="00F45A14">
      <w:pPr>
        <w:pStyle w:val="Heading3"/>
      </w:pPr>
      <w:bookmarkStart w:id="36" w:name="_Toc227843623"/>
      <w:r>
        <w:lastRenderedPageBreak/>
        <w:t>Addressing the impact of short-stay accommodation</w:t>
      </w:r>
      <w:bookmarkEnd w:id="36"/>
      <w:r>
        <w:t xml:space="preserve"> </w:t>
      </w:r>
    </w:p>
    <w:p w14:paraId="6910613C" w14:textId="47212CD3" w:rsidR="00C8575E" w:rsidRDefault="00C8575E" w:rsidP="00C8575E">
      <w:r w:rsidRPr="00C8575E">
        <w:t xml:space="preserve">The Tasmanian Government </w:t>
      </w:r>
      <w:r w:rsidR="00731530">
        <w:t>is introducing</w:t>
      </w:r>
      <w:r w:rsidRPr="00C8575E">
        <w:t xml:space="preserve"> a levy on short stay accommodation.</w:t>
      </w:r>
      <w:r w:rsidR="00731530">
        <w:rPr>
          <w:rStyle w:val="FootnoteReference"/>
        </w:rPr>
        <w:footnoteReference w:id="29"/>
      </w:r>
      <w:r>
        <w:t xml:space="preserve"> </w:t>
      </w:r>
      <w:r w:rsidR="0585CA9E">
        <w:t xml:space="preserve">When announcing the levy, Premier Rockliff stated ‘…there is no doubt that the increasing number of houses on the short stay market has reduced the availability of long stay </w:t>
      </w:r>
      <w:r w:rsidR="0051642F">
        <w:t>rentals and</w:t>
      </w:r>
      <w:r w:rsidR="0585CA9E">
        <w:t xml:space="preserve"> contributed to higher rents.’</w:t>
      </w:r>
      <w:r w:rsidRPr="3AD7D649">
        <w:rPr>
          <w:rStyle w:val="FootnoteReference"/>
        </w:rPr>
        <w:footnoteReference w:id="30"/>
      </w:r>
    </w:p>
    <w:p w14:paraId="26BA0914" w14:textId="55471E03" w:rsidR="000114A0" w:rsidRDefault="00C8575E" w:rsidP="000114A0">
      <w:r>
        <w:t xml:space="preserve">The short stay levy will produce a new stream of revenue for the Tasmanian </w:t>
      </w:r>
      <w:r w:rsidR="30094D45">
        <w:t>G</w:t>
      </w:r>
      <w:r>
        <w:t xml:space="preserve">overnment. </w:t>
      </w:r>
      <w:r w:rsidR="000114A0">
        <w:t xml:space="preserve">Anglicare Tasmania has called on the </w:t>
      </w:r>
      <w:r w:rsidR="4DC4F9B3">
        <w:t>G</w:t>
      </w:r>
      <w:r w:rsidR="2BFB4A76">
        <w:t>overnment</w:t>
      </w:r>
      <w:r w:rsidR="000114A0">
        <w:t xml:space="preserve"> to </w:t>
      </w:r>
      <w:r w:rsidR="000114A0" w:rsidRPr="00C8575E">
        <w:rPr>
          <w:b/>
          <w:bCs/>
        </w:rPr>
        <w:t>directly target the revenue towards Tasmanians least able to afford housing</w:t>
      </w:r>
      <w:r w:rsidR="000114A0">
        <w:t>, better address the negative spillover impacts of the short stay rental market on rental affordability, and avoid further escalating house prices by:</w:t>
      </w:r>
    </w:p>
    <w:p w14:paraId="49FB0142" w14:textId="4938DAED" w:rsidR="000114A0" w:rsidRDefault="00C1071C" w:rsidP="006356CF">
      <w:pPr>
        <w:pStyle w:val="ListParagraph"/>
        <w:numPr>
          <w:ilvl w:val="0"/>
          <w:numId w:val="28"/>
        </w:numPr>
        <w:spacing w:line="278" w:lineRule="auto"/>
      </w:pPr>
      <w:r>
        <w:t>d</w:t>
      </w:r>
      <w:r w:rsidR="000114A0">
        <w:t>irecting 100% of the revenue from the levy to fund the construction of social housing and homelessness services</w:t>
      </w:r>
    </w:p>
    <w:p w14:paraId="3D6C1545" w14:textId="48513CD3" w:rsidR="000114A0" w:rsidRDefault="00C1071C" w:rsidP="006356CF">
      <w:pPr>
        <w:pStyle w:val="ListParagraph"/>
        <w:numPr>
          <w:ilvl w:val="0"/>
          <w:numId w:val="28"/>
        </w:numPr>
        <w:spacing w:line="278" w:lineRule="auto"/>
      </w:pPr>
      <w:r>
        <w:t>i</w:t>
      </w:r>
      <w:r w:rsidR="000114A0">
        <w:t>mposing a levy of 7.5% (an increase from the proposed 5%)</w:t>
      </w:r>
    </w:p>
    <w:p w14:paraId="7678DF2A" w14:textId="6F97569F" w:rsidR="000114A0" w:rsidRDefault="00C1071C" w:rsidP="006356CF">
      <w:pPr>
        <w:pStyle w:val="ListParagraph"/>
        <w:numPr>
          <w:ilvl w:val="0"/>
          <w:numId w:val="28"/>
        </w:numPr>
        <w:spacing w:line="278" w:lineRule="auto"/>
      </w:pPr>
      <w:r>
        <w:t>e</w:t>
      </w:r>
      <w:r w:rsidR="000114A0">
        <w:t>nsuring that revenue from the levy does not assist the purchase of existing homes.</w:t>
      </w:r>
      <w:r w:rsidR="000114A0">
        <w:rPr>
          <w:rStyle w:val="FootnoteReference"/>
        </w:rPr>
        <w:footnoteReference w:id="31"/>
      </w:r>
    </w:p>
    <w:p w14:paraId="0A528982" w14:textId="1C7E0BEE" w:rsidR="000114A0" w:rsidRPr="00265F5D" w:rsidRDefault="000114A0" w:rsidP="000114A0">
      <w:pPr>
        <w:pStyle w:val="Heading3"/>
      </w:pPr>
      <w:bookmarkStart w:id="37" w:name="_Toc227843624"/>
      <w:r w:rsidRPr="00265F5D">
        <w:t xml:space="preserve">Change tax system incentives </w:t>
      </w:r>
      <w:r>
        <w:t>to prioritise those most in need of housing</w:t>
      </w:r>
      <w:bookmarkEnd w:id="37"/>
    </w:p>
    <w:p w14:paraId="02B230F4" w14:textId="529847F8" w:rsidR="00E028E3" w:rsidRDefault="00E028E3" w:rsidP="00E028E3">
      <w:pPr>
        <w:spacing w:line="278" w:lineRule="auto"/>
      </w:pPr>
      <w:r>
        <w:t>The purpose of the housing system should primarily be to provide homes for people to live in. Housing is a human right and a social determinant of health. Government spending on housing would reduce spending in other areas, including</w:t>
      </w:r>
      <w:r w:rsidR="00C8575E">
        <w:t xml:space="preserve"> on</w:t>
      </w:r>
      <w:r>
        <w:t xml:space="preserve"> health and justice</w:t>
      </w:r>
      <w:r w:rsidR="00C8575E">
        <w:t xml:space="preserve"> system</w:t>
      </w:r>
      <w:r>
        <w:t xml:space="preserve"> costs. </w:t>
      </w:r>
    </w:p>
    <w:p w14:paraId="1BC838F0" w14:textId="28295795" w:rsidR="000449B3" w:rsidRDefault="00E028E3" w:rsidP="006356CF">
      <w:pPr>
        <w:spacing w:line="278" w:lineRule="auto"/>
      </w:pPr>
      <w:r>
        <w:t xml:space="preserve">The current tax system has produced outcomes that favour property investors over those who </w:t>
      </w:r>
      <w:r w:rsidR="00C8575E">
        <w:t xml:space="preserve">most </w:t>
      </w:r>
      <w:r>
        <w:t>need housing</w:t>
      </w:r>
      <w:r w:rsidR="00C8575E">
        <w:t>.</w:t>
      </w:r>
      <w:r>
        <w:t xml:space="preserve"> </w:t>
      </w:r>
      <w:r w:rsidR="00C8575E">
        <w:t xml:space="preserve">Concessions for property investors </w:t>
      </w:r>
      <w:r>
        <w:t>include the Capital Gains Tax (CGT) discount and negative gearing.</w:t>
      </w:r>
      <w:r w:rsidR="00BF3C51">
        <w:t xml:space="preserve"> There is evidence that these concessions are fuelling inequality. For example, the CGT discount disproportionately favours the wealthiest households who are able to acquire and hold assets.</w:t>
      </w:r>
      <w:r w:rsidR="00BF3C51">
        <w:rPr>
          <w:rStyle w:val="FootnoteReference"/>
        </w:rPr>
        <w:footnoteReference w:id="32"/>
      </w:r>
      <w:r>
        <w:t xml:space="preserve"> </w:t>
      </w:r>
    </w:p>
    <w:p w14:paraId="358D3287" w14:textId="40FEBDFC" w:rsidR="00E028E3" w:rsidRDefault="00E028E3" w:rsidP="00E028E3">
      <w:pPr>
        <w:spacing w:line="278" w:lineRule="auto"/>
      </w:pPr>
      <w:r>
        <w:t xml:space="preserve">Recommended changes at the federal level include winding back these concessions for property investors. </w:t>
      </w:r>
      <w:r w:rsidRPr="00BD3A81">
        <w:t>At the state level, a switch from stamp duty to a broad-based land tax would be more equitable and encourage more efficient use of existing housing stock by removing a barrier to moving house, including downsizing.</w:t>
      </w:r>
      <w:r w:rsidRPr="00BD3A81">
        <w:rPr>
          <w:rStyle w:val="FootnoteReference"/>
        </w:rPr>
        <w:t xml:space="preserve"> </w:t>
      </w:r>
      <w:r w:rsidRPr="00BD3A81">
        <w:rPr>
          <w:rStyle w:val="FootnoteReference"/>
        </w:rPr>
        <w:footnoteReference w:id="33"/>
      </w:r>
      <w:r w:rsidRPr="00BD3A81">
        <w:t xml:space="preserve"> This is unlikely to be achieved without assistance from the </w:t>
      </w:r>
      <w:r w:rsidR="727F69BD" w:rsidRPr="00BD3A81">
        <w:t>F</w:t>
      </w:r>
      <w:r w:rsidR="1D075986" w:rsidRPr="00BD3A81">
        <w:t xml:space="preserve">ederal </w:t>
      </w:r>
      <w:r w:rsidR="59E13E69" w:rsidRPr="00BD3A81">
        <w:t>G</w:t>
      </w:r>
      <w:r w:rsidRPr="00BD3A81">
        <w:t xml:space="preserve">overnment. </w:t>
      </w:r>
    </w:p>
    <w:p w14:paraId="3B29FBF7" w14:textId="77777777" w:rsidR="0079192F" w:rsidRDefault="0079192F" w:rsidP="0079192F">
      <w:bookmarkStart w:id="38" w:name="_Toc195101878"/>
    </w:p>
    <w:p w14:paraId="44D6717B" w14:textId="5A57F856" w:rsidR="00F643D3" w:rsidRPr="00F45A14" w:rsidRDefault="2D7E72C4" w:rsidP="00F45A14">
      <w:pPr>
        <w:pStyle w:val="Heading2"/>
        <w:rPr>
          <w:rFonts w:ascii="Avenir Next LT Pro" w:hAnsi="Avenir Next LT Pro"/>
        </w:rPr>
      </w:pPr>
      <w:bookmarkStart w:id="39" w:name="_Toc227843625"/>
      <w:r w:rsidRPr="00F45A14">
        <w:rPr>
          <w:rFonts w:ascii="Avenir Next LT Pro" w:hAnsi="Avenir Next LT Pro"/>
        </w:rPr>
        <w:t xml:space="preserve">Key </w:t>
      </w:r>
      <w:r w:rsidR="00F643D3" w:rsidRPr="00F45A14">
        <w:rPr>
          <w:rFonts w:ascii="Avenir Next LT Pro" w:hAnsi="Avenir Next LT Pro"/>
        </w:rPr>
        <w:t>Recommendations</w:t>
      </w:r>
      <w:bookmarkEnd w:id="38"/>
      <w:bookmarkEnd w:id="39"/>
    </w:p>
    <w:p w14:paraId="5182E622" w14:textId="73B381DD" w:rsidR="007159C1" w:rsidRPr="00425028" w:rsidRDefault="00F6121A" w:rsidP="00B71E6B">
      <w:r w:rsidRPr="00425028">
        <w:t>Anglicare Tasmania call</w:t>
      </w:r>
      <w:r w:rsidR="003908B4" w:rsidRPr="00425028">
        <w:t>s</w:t>
      </w:r>
      <w:r w:rsidRPr="00425028">
        <w:t xml:space="preserve"> on the Federal Government </w:t>
      </w:r>
      <w:r w:rsidR="003908B4" w:rsidRPr="00425028">
        <w:t>to:</w:t>
      </w:r>
    </w:p>
    <w:p w14:paraId="79AB0334" w14:textId="07CB4EDB" w:rsidR="00DC36C4" w:rsidRPr="00425028" w:rsidRDefault="0082432A" w:rsidP="00B71E6B">
      <w:pPr>
        <w:pStyle w:val="ListParagraph"/>
        <w:numPr>
          <w:ilvl w:val="0"/>
          <w:numId w:val="17"/>
        </w:numPr>
      </w:pPr>
      <w:r w:rsidRPr="00425028">
        <w:t>Increase funding and work</w:t>
      </w:r>
      <w:r w:rsidR="00D16BD4" w:rsidRPr="00425028">
        <w:t xml:space="preserve"> with </w:t>
      </w:r>
      <w:r w:rsidR="1AFDE4A3">
        <w:t>s</w:t>
      </w:r>
      <w:r w:rsidR="57672E50">
        <w:t xml:space="preserve">tates </w:t>
      </w:r>
      <w:r w:rsidR="77A1DAC7">
        <w:t>and territories</w:t>
      </w:r>
      <w:r w:rsidR="00D16BD4" w:rsidRPr="00425028">
        <w:t xml:space="preserve"> to </w:t>
      </w:r>
      <w:r w:rsidR="00DC36C4" w:rsidRPr="00425028">
        <w:t>deliver social housing at scale</w:t>
      </w:r>
      <w:r w:rsidR="00FC7ED0">
        <w:t>.</w:t>
      </w:r>
    </w:p>
    <w:p w14:paraId="5EAD545C" w14:textId="77777777" w:rsidR="00397ED8" w:rsidRPr="00425028" w:rsidRDefault="00397ED8" w:rsidP="00B71E6B">
      <w:pPr>
        <w:pStyle w:val="ListParagraph"/>
      </w:pPr>
    </w:p>
    <w:p w14:paraId="556DF268" w14:textId="5623E5CE" w:rsidR="003908B4" w:rsidRPr="00425028" w:rsidRDefault="00B60CFF" w:rsidP="00B71E6B">
      <w:pPr>
        <w:pStyle w:val="ListParagraph"/>
        <w:numPr>
          <w:ilvl w:val="0"/>
          <w:numId w:val="17"/>
        </w:numPr>
      </w:pPr>
      <w:r w:rsidRPr="00425028">
        <w:t>Raise the rate of</w:t>
      </w:r>
      <w:r w:rsidR="003908B4" w:rsidRPr="00425028">
        <w:t xml:space="preserve"> income support payments </w:t>
      </w:r>
      <w:r w:rsidR="00C107BD" w:rsidRPr="00425028">
        <w:t>above the poverty line</w:t>
      </w:r>
      <w:r w:rsidR="00FC7ED0">
        <w:t>.</w:t>
      </w:r>
    </w:p>
    <w:p w14:paraId="50E342AA" w14:textId="7AF44590" w:rsidR="00DC36C4" w:rsidRPr="00425028" w:rsidRDefault="00ED7EE9" w:rsidP="00B71E6B">
      <w:r w:rsidRPr="00425028">
        <w:t xml:space="preserve">Anglicare </w:t>
      </w:r>
      <w:r w:rsidR="00B605CD">
        <w:t xml:space="preserve">Tasmania </w:t>
      </w:r>
      <w:r w:rsidRPr="00425028">
        <w:t>calls on the State Government to:</w:t>
      </w:r>
    </w:p>
    <w:p w14:paraId="59338EFF" w14:textId="36106CF9" w:rsidR="00671EDE" w:rsidRDefault="003943C0" w:rsidP="00BD5EBE">
      <w:pPr>
        <w:pStyle w:val="ListParagraph"/>
        <w:numPr>
          <w:ilvl w:val="0"/>
          <w:numId w:val="31"/>
        </w:numPr>
      </w:pPr>
      <w:r w:rsidRPr="00425028">
        <w:t>Increase</w:t>
      </w:r>
      <w:r w:rsidR="00673541" w:rsidRPr="00425028">
        <w:t xml:space="preserve"> funding </w:t>
      </w:r>
      <w:r w:rsidR="00FB09DF" w:rsidRPr="00425028">
        <w:t xml:space="preserve">and work with the Federal Government to increase the </w:t>
      </w:r>
      <w:r w:rsidR="00EC3868">
        <w:t>amount</w:t>
      </w:r>
      <w:r w:rsidR="00FB09DF" w:rsidRPr="00425028">
        <w:t xml:space="preserve"> of social </w:t>
      </w:r>
      <w:r w:rsidR="00B605CD">
        <w:t>housing</w:t>
      </w:r>
      <w:r w:rsidR="00B605CD" w:rsidRPr="00425028">
        <w:t xml:space="preserve"> </w:t>
      </w:r>
      <w:r w:rsidR="00FB09DF" w:rsidRPr="00425028">
        <w:t>beyond the current commitment.</w:t>
      </w:r>
      <w:r w:rsidR="000D12A4" w:rsidRPr="00425028">
        <w:t xml:space="preserve"> </w:t>
      </w:r>
      <w:bookmarkStart w:id="40" w:name="_Toc195101879"/>
    </w:p>
    <w:p w14:paraId="63D639A2" w14:textId="77777777" w:rsidR="002F0117" w:rsidRDefault="002F0117">
      <w:pPr>
        <w:rPr>
          <w:rFonts w:asciiTheme="majorHAnsi" w:eastAsiaTheme="majorEastAsia" w:hAnsiTheme="majorHAnsi" w:cstheme="majorBidi"/>
          <w:color w:val="0F4761" w:themeColor="accent1" w:themeShade="BF"/>
          <w:sz w:val="40"/>
          <w:szCs w:val="40"/>
        </w:rPr>
      </w:pPr>
      <w:r>
        <w:br w:type="page"/>
      </w:r>
    </w:p>
    <w:p w14:paraId="2B07B569" w14:textId="6FF4DDF3" w:rsidR="00A95407" w:rsidRPr="003A5DD6" w:rsidRDefault="765950C7" w:rsidP="001D0F5B">
      <w:pPr>
        <w:pStyle w:val="Heading1"/>
        <w:rPr>
          <w:rFonts w:ascii="Avenir Next LT Pro" w:hAnsi="Avenir Next LT Pro"/>
        </w:rPr>
      </w:pPr>
      <w:bookmarkStart w:id="41" w:name="_Toc227843626"/>
      <w:bookmarkEnd w:id="40"/>
      <w:r w:rsidRPr="003A5DD6">
        <w:rPr>
          <w:rFonts w:ascii="Avenir Next LT Pro" w:hAnsi="Avenir Next LT Pro"/>
        </w:rPr>
        <w:lastRenderedPageBreak/>
        <w:t>F</w:t>
      </w:r>
      <w:r w:rsidR="3AFC5B83" w:rsidRPr="003A5DD6">
        <w:rPr>
          <w:rFonts w:ascii="Avenir Next LT Pro" w:hAnsi="Avenir Next LT Pro"/>
        </w:rPr>
        <w:t xml:space="preserve">requently </w:t>
      </w:r>
      <w:r w:rsidRPr="003A5DD6">
        <w:rPr>
          <w:rFonts w:ascii="Avenir Next LT Pro" w:hAnsi="Avenir Next LT Pro"/>
        </w:rPr>
        <w:t>A</w:t>
      </w:r>
      <w:r w:rsidR="73ADAEC5" w:rsidRPr="003A5DD6">
        <w:rPr>
          <w:rFonts w:ascii="Avenir Next LT Pro" w:hAnsi="Avenir Next LT Pro"/>
        </w:rPr>
        <w:t xml:space="preserve">sked </w:t>
      </w:r>
      <w:r w:rsidRPr="003A5DD6">
        <w:rPr>
          <w:rFonts w:ascii="Avenir Next LT Pro" w:hAnsi="Avenir Next LT Pro"/>
        </w:rPr>
        <w:t>Q</w:t>
      </w:r>
      <w:r w:rsidR="5F870D03" w:rsidRPr="003A5DD6">
        <w:rPr>
          <w:rFonts w:ascii="Avenir Next LT Pro" w:hAnsi="Avenir Next LT Pro"/>
        </w:rPr>
        <w:t>uestions</w:t>
      </w:r>
      <w:bookmarkEnd w:id="41"/>
    </w:p>
    <w:p w14:paraId="565FB6BE" w14:textId="7B9B7CA1"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What sort of properties are counted</w:t>
      </w:r>
      <w:r w:rsidR="16DFC0CA" w:rsidRPr="004F691F">
        <w:rPr>
          <w:b/>
          <w:bCs/>
        </w:rPr>
        <w:t xml:space="preserve"> in the Rental Affordability Snapshot (RAS)</w:t>
      </w:r>
      <w:r w:rsidR="63883008" w:rsidRPr="004F691F">
        <w:rPr>
          <w:b/>
          <w:bCs/>
        </w:rPr>
        <w:t>?</w:t>
      </w:r>
    </w:p>
    <w:p w14:paraId="30F27236" w14:textId="1D9CE706" w:rsidR="00A82E73" w:rsidRDefault="00A82E73" w:rsidP="00A82E73">
      <w:r>
        <w:t xml:space="preserve">RAS counts houses, units, flats, bedsits and rooms in sharehouses that are advertised for long-term rental (at least 6 months) and are available within one month of </w:t>
      </w:r>
      <w:r w:rsidR="003312F1">
        <w:t xml:space="preserve">the data </w:t>
      </w:r>
      <w:r>
        <w:t xml:space="preserve">collection date. It does not count boarding houses, caravan parks, holiday accommodation, retirement villages, student accommodation run by </w:t>
      </w:r>
      <w:r w:rsidR="661E47B5">
        <w:t xml:space="preserve">the </w:t>
      </w:r>
      <w:r w:rsidR="63883008">
        <w:t>U</w:t>
      </w:r>
      <w:r w:rsidR="67E182EC">
        <w:t xml:space="preserve">niversity of </w:t>
      </w:r>
      <w:r w:rsidR="63883008">
        <w:t>T</w:t>
      </w:r>
      <w:r w:rsidR="369F5BE2">
        <w:t>asmania</w:t>
      </w:r>
      <w:r>
        <w:t xml:space="preserve"> or other educational institutions, or dedicated backpacker/fruitpicker accommodation. Sharehouses must offer private individual rooms, not just a bed in a shared room. Accommodation that asks for farm work, childcare etc. instead of or in addition to monetary rent is not counted.</w:t>
      </w:r>
    </w:p>
    <w:p w14:paraId="60145DA1" w14:textId="7B159586"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Where are properties advertised?</w:t>
      </w:r>
    </w:p>
    <w:p w14:paraId="0858C56E" w14:textId="2757A540" w:rsidR="00A82E73" w:rsidRDefault="00A82E73" w:rsidP="00A82E73">
      <w:r>
        <w:t xml:space="preserve">We get our </w:t>
      </w:r>
      <w:r w:rsidR="63883008">
        <w:t>propert</w:t>
      </w:r>
      <w:r w:rsidR="649FB8A0">
        <w:t>y information</w:t>
      </w:r>
      <w:r>
        <w:t xml:space="preserve"> from two sources: realestate.com.au and flatmates.com.au. Care is taken to ensure properties are not counted twice due to being advertised on both platforms. </w:t>
      </w:r>
      <w:r w:rsidR="003312F1" w:rsidRPr="006356CF">
        <w:t>Since 2025 we have</w:t>
      </w:r>
      <w:r w:rsidR="00554E63" w:rsidRPr="006356CF">
        <w:t xml:space="preserve"> moved from using Gumtree, a declining platform producing lower volumes of listings, to </w:t>
      </w:r>
      <w:r w:rsidR="003312F1" w:rsidRPr="006356CF">
        <w:t>flatmates.com.au</w:t>
      </w:r>
      <w:r w:rsidR="00554E63" w:rsidRPr="006356CF">
        <w:t>, the current major site for sharehouse listings in Australia.</w:t>
      </w:r>
      <w:r w:rsidR="00554E63">
        <w:t xml:space="preserve"> </w:t>
      </w:r>
    </w:p>
    <w:p w14:paraId="509ABB91" w14:textId="7CA5DAE5"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Is Commonwealth Rent Assistance included in income?</w:t>
      </w:r>
    </w:p>
    <w:p w14:paraId="5B1A82C4" w14:textId="77777777" w:rsidR="00A82E73" w:rsidRDefault="00A82E73" w:rsidP="00A82E73">
      <w:r>
        <w:t>Yes. Incomes include all available government income support, including Rent Assistance, Family Tax Benefit, Energy Supplement, Pension Supplements, and Pharmaceutical Allowance, where eligible.</w:t>
      </w:r>
    </w:p>
    <w:p w14:paraId="231771EC" w14:textId="02A66654"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What does ‘affordable’ mean?</w:t>
      </w:r>
    </w:p>
    <w:p w14:paraId="557A209B" w14:textId="2F315164" w:rsidR="00A82E73" w:rsidRDefault="00A82E73" w:rsidP="00A82E73">
      <w:r>
        <w:t xml:space="preserve">For </w:t>
      </w:r>
      <w:r w:rsidR="7B69BA37">
        <w:t xml:space="preserve">people on </w:t>
      </w:r>
      <w:r w:rsidR="00D440FB">
        <w:t>lower incomes</w:t>
      </w:r>
      <w:r>
        <w:t>, a property is affordable if no more than 30% of income is spent on rent. This is a widely</w:t>
      </w:r>
      <w:r w:rsidR="00B925B8">
        <w:t xml:space="preserve"> </w:t>
      </w:r>
      <w:r>
        <w:t xml:space="preserve">recognised, internationally accepted standard that leaves sufficient income for a reasonable standard of living. </w:t>
      </w:r>
    </w:p>
    <w:p w14:paraId="4941CB26" w14:textId="0C890EDE"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What does ‘appropriate’ mean?</w:t>
      </w:r>
    </w:p>
    <w:p w14:paraId="7C1B5FC5" w14:textId="0377F60B" w:rsidR="00A82E73" w:rsidRDefault="00A82E73" w:rsidP="00A82E73">
      <w:r>
        <w:t xml:space="preserve">An appropriate property is one that has enough bedrooms for the whole household (one bedroom for a single or couple, two bedrooms for a single or couple with one child, 3 bedrooms if there are two children). </w:t>
      </w:r>
      <w:r w:rsidR="1EC93D64">
        <w:t>We only count sharehouses as appropriate for singles, as many do not allow couples sharing a room.</w:t>
      </w:r>
      <w:r w:rsidR="63883008">
        <w:t xml:space="preserve"> </w:t>
      </w:r>
      <w:r>
        <w:t xml:space="preserve">In addition, it is not considered appropriate for a person on </w:t>
      </w:r>
      <w:r w:rsidR="3665256A">
        <w:t xml:space="preserve">the </w:t>
      </w:r>
      <w:r w:rsidR="63883008">
        <w:t>D</w:t>
      </w:r>
      <w:r w:rsidR="7EBD3E06">
        <w:t xml:space="preserve">isablity </w:t>
      </w:r>
      <w:r w:rsidR="63883008">
        <w:t>S</w:t>
      </w:r>
      <w:r w:rsidR="71C1140F">
        <w:t xml:space="preserve">upport </w:t>
      </w:r>
      <w:r w:rsidR="503F61A7">
        <w:t>Pension</w:t>
      </w:r>
      <w:r w:rsidR="00584F80">
        <w:t xml:space="preserve"> </w:t>
      </w:r>
      <w:r w:rsidR="63883008">
        <w:t>to</w:t>
      </w:r>
      <w:r>
        <w:t xml:space="preserve"> live in a sharehouse, in recognition of the fact that some</w:t>
      </w:r>
      <w:r w:rsidR="003312F1">
        <w:t xml:space="preserve"> people with disability</w:t>
      </w:r>
      <w:r>
        <w:t xml:space="preserve"> have needs that cannot be easily accommodated in a sharehouse. We realise that this is not the case for all </w:t>
      </w:r>
      <w:r w:rsidR="003312F1">
        <w:t xml:space="preserve">people with disability </w:t>
      </w:r>
      <w:r>
        <w:t>and that many would choose or prefer this style of living. (To see what is available when sharehouses are counted in, please refer to the ‘Single on Age Pension’ cohort, as the two have the same income.)</w:t>
      </w:r>
    </w:p>
    <w:p w14:paraId="41360925" w14:textId="796F76FA"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lastRenderedPageBreak/>
        <w:t>Why are sharehouses counted separately for people on Youth Allowance?</w:t>
      </w:r>
    </w:p>
    <w:p w14:paraId="51099E97" w14:textId="77777777" w:rsidR="00A82E73" w:rsidRDefault="00A82E73" w:rsidP="00A82E73">
      <w:r>
        <w:t xml:space="preserve">People on Youth Allowance receive a different amount of Commonwealth Rent Assistance depending on whether they live in a sharehouse. </w:t>
      </w:r>
    </w:p>
    <w:p w14:paraId="7915F200" w14:textId="69210031"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Aren’t sharehouses just for students? Can anyone live in a sharehouse?</w:t>
      </w:r>
    </w:p>
    <w:p w14:paraId="59F1E076" w14:textId="77777777" w:rsidR="00A82E73" w:rsidRDefault="00A82E73" w:rsidP="00A82E73">
      <w:r>
        <w:t xml:space="preserve">In response to Tasmania’s tight rental market, it is increasingly common for working singles or older adults to live in sharehouses. It is true, however, that many sharehouses are designed and set up for students and may be reluctant to accept non-students. In addition, it is common for advertisements to specify that applicants must be working, discriminating against people on income support benefits. </w:t>
      </w:r>
    </w:p>
    <w:p w14:paraId="2F3CEF73" w14:textId="0DE41659" w:rsidR="00A82E73" w:rsidRDefault="00A82E73" w:rsidP="00A82E73">
      <w:r>
        <w:t xml:space="preserve">Some sharehouses ask for specific genders (for example, only women), ethnicities or other personal characteristics ("must be vegetarian or vegan"). We have omitted these as they are not truly 'available' to much of the population. </w:t>
      </w:r>
    </w:p>
    <w:p w14:paraId="4FBAEDC9" w14:textId="14A9BECB" w:rsidR="00A82E73" w:rsidRPr="004F691F" w:rsidRDefault="00A82E73" w:rsidP="00A82E73">
      <w:pPr>
        <w:pStyle w:val="ListParagraph"/>
        <w:numPr>
          <w:ilvl w:val="0"/>
          <w:numId w:val="22"/>
        </w:numPr>
        <w:spacing w:before="120" w:after="120" w:line="312" w:lineRule="auto"/>
        <w:contextualSpacing w:val="0"/>
        <w:rPr>
          <w:b/>
          <w:bCs/>
        </w:rPr>
      </w:pPr>
      <w:r w:rsidRPr="004F691F">
        <w:rPr>
          <w:b/>
          <w:bCs/>
        </w:rPr>
        <w:t>Do prices include power, water, internet etc?</w:t>
      </w:r>
    </w:p>
    <w:p w14:paraId="51411E25" w14:textId="77777777" w:rsidR="00A82E73" w:rsidRDefault="00A82E73" w:rsidP="00A82E73">
      <w:r>
        <w:t xml:space="preserve">This varies from one advertisement to another. Unfortunately, in most cases it is not possible to determine the base rent exclusive of utilities. </w:t>
      </w:r>
    </w:p>
    <w:p w14:paraId="4A8AE12F" w14:textId="77777777" w:rsidR="006C5C08" w:rsidRPr="00425028" w:rsidRDefault="006C5C08" w:rsidP="00A82E73">
      <w:pPr>
        <w:pStyle w:val="ListParagraph"/>
        <w:ind w:left="1080"/>
      </w:pPr>
    </w:p>
    <w:sectPr w:rsidR="006C5C08" w:rsidRPr="004250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A74A" w14:textId="77777777" w:rsidR="00CB68EA" w:rsidRDefault="00CB68EA" w:rsidP="00B71E6B">
      <w:r>
        <w:separator/>
      </w:r>
    </w:p>
  </w:endnote>
  <w:endnote w:type="continuationSeparator" w:id="0">
    <w:p w14:paraId="48D928AE" w14:textId="77777777" w:rsidR="00CB68EA" w:rsidRDefault="00CB68EA" w:rsidP="00B71E6B">
      <w:r>
        <w:continuationSeparator/>
      </w:r>
    </w:p>
  </w:endnote>
  <w:endnote w:type="continuationNotice" w:id="1">
    <w:p w14:paraId="1AB1792F" w14:textId="77777777" w:rsidR="00CB68EA" w:rsidRDefault="00CB68EA" w:rsidP="00B71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489139"/>
      <w:docPartObj>
        <w:docPartGallery w:val="Page Numbers (Bottom of Page)"/>
        <w:docPartUnique/>
      </w:docPartObj>
    </w:sdtPr>
    <w:sdtEndPr>
      <w:rPr>
        <w:noProof/>
      </w:rPr>
    </w:sdtEndPr>
    <w:sdtContent>
      <w:p w14:paraId="4F9954D6" w14:textId="32A26AA2" w:rsidR="00A03C15" w:rsidRDefault="00A03C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F08F" w14:textId="657B8B3B" w:rsidR="008D17D2" w:rsidRDefault="008D17D2" w:rsidP="00B7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6BB9" w14:textId="77777777" w:rsidR="00CB68EA" w:rsidRDefault="00CB68EA" w:rsidP="00B71E6B">
      <w:r>
        <w:separator/>
      </w:r>
    </w:p>
  </w:footnote>
  <w:footnote w:type="continuationSeparator" w:id="0">
    <w:p w14:paraId="7A22DA64" w14:textId="77777777" w:rsidR="00CB68EA" w:rsidRDefault="00CB68EA" w:rsidP="00B71E6B">
      <w:r>
        <w:continuationSeparator/>
      </w:r>
    </w:p>
  </w:footnote>
  <w:footnote w:type="continuationNotice" w:id="1">
    <w:p w14:paraId="6367591D" w14:textId="77777777" w:rsidR="00CB68EA" w:rsidRDefault="00CB68EA" w:rsidP="00B71E6B"/>
  </w:footnote>
  <w:footnote w:id="2">
    <w:p w14:paraId="5173511F" w14:textId="6381EB56" w:rsidR="009C59BB" w:rsidRDefault="009C59BB" w:rsidP="009C59BB">
      <w:pPr>
        <w:pStyle w:val="FootnoteText"/>
      </w:pPr>
      <w:r>
        <w:rPr>
          <w:rStyle w:val="FootnoteReference"/>
        </w:rPr>
        <w:footnoteRef/>
      </w:r>
      <w:r>
        <w:t xml:space="preserve"> The Housing Connect Front Door </w:t>
      </w:r>
      <w:r w:rsidR="006814A2">
        <w:t xml:space="preserve">service </w:t>
      </w:r>
      <w:r>
        <w:t>assists Tasmanians to apply for housing options including crisis accommodation, private rental assistance and social housing</w:t>
      </w:r>
      <w:r w:rsidR="00A05D6F">
        <w:t>,</w:t>
      </w:r>
      <w:r>
        <w:t xml:space="preserve"> but does not directly provide housing or allocate social housing.</w:t>
      </w:r>
    </w:p>
  </w:footnote>
  <w:footnote w:id="3">
    <w:p w14:paraId="78763D3F" w14:textId="60FD0CF0" w:rsidR="14193444" w:rsidRDefault="14193444" w:rsidP="008C6D51">
      <w:pPr>
        <w:pStyle w:val="FootnoteText"/>
      </w:pPr>
      <w:r w:rsidRPr="14193444">
        <w:rPr>
          <w:rStyle w:val="FootnoteReference"/>
        </w:rPr>
        <w:footnoteRef/>
      </w:r>
      <w:r>
        <w:t xml:space="preserve"> Homes Tasmania </w:t>
      </w:r>
      <w:r w:rsidR="00BC661E">
        <w:t>(</w:t>
      </w:r>
      <w:r>
        <w:t>2025</w:t>
      </w:r>
      <w:r w:rsidR="00BC661E">
        <w:t>)</w:t>
      </w:r>
      <w:r>
        <w:t xml:space="preserve"> </w:t>
      </w:r>
      <w:hyperlink r:id="rId1" w:history="1">
        <w:r w:rsidR="00A504AF" w:rsidRPr="008C6D51">
          <w:rPr>
            <w:rStyle w:val="Hyperlink"/>
            <w:i/>
            <w:iCs/>
          </w:rPr>
          <w:t>Homes Tasmania Dashboard</w:t>
        </w:r>
        <w:r w:rsidRPr="008C6D51">
          <w:rPr>
            <w:rStyle w:val="Hyperlink"/>
            <w:i/>
            <w:iCs/>
          </w:rPr>
          <w:t xml:space="preserve"> June 2025</w:t>
        </w:r>
      </w:hyperlink>
      <w:r w:rsidR="00251AC5">
        <w:t xml:space="preserve">, </w:t>
      </w:r>
      <w:r w:rsidR="002E3DB0">
        <w:t>accessed</w:t>
      </w:r>
      <w:r w:rsidR="00251AC5">
        <w:t xml:space="preserve"> </w:t>
      </w:r>
      <w:r w:rsidR="007E12BC">
        <w:t>April 2026</w:t>
      </w:r>
      <w:r>
        <w:t xml:space="preserve">. </w:t>
      </w:r>
    </w:p>
  </w:footnote>
  <w:footnote w:id="4">
    <w:p w14:paraId="6DF11D5E" w14:textId="37490D10" w:rsidR="004761D8" w:rsidRDefault="004761D8" w:rsidP="004761D8">
      <w:pPr>
        <w:pStyle w:val="FootnoteText"/>
      </w:pPr>
      <w:r>
        <w:rPr>
          <w:rStyle w:val="FootnoteReference"/>
        </w:rPr>
        <w:footnoteRef/>
      </w:r>
      <w:r>
        <w:t xml:space="preserve"> Homes Tasmania </w:t>
      </w:r>
      <w:r w:rsidR="003E44E4">
        <w:t>(</w:t>
      </w:r>
      <w:r>
        <w:t>2026</w:t>
      </w:r>
      <w:r w:rsidR="003E44E4">
        <w:t>)</w:t>
      </w:r>
      <w:r>
        <w:t xml:space="preserve"> </w:t>
      </w:r>
      <w:hyperlink r:id="rId2" w:history="1">
        <w:r w:rsidRPr="00872B50">
          <w:rPr>
            <w:rStyle w:val="Hyperlink"/>
            <w:i/>
            <w:iCs/>
          </w:rPr>
          <w:t>Homes Tasmania Dashboard February 2026</w:t>
        </w:r>
      </w:hyperlink>
      <w:r w:rsidR="000E5188">
        <w:t xml:space="preserve">, </w:t>
      </w:r>
      <w:r w:rsidR="002E3DB0">
        <w:t>accessed</w:t>
      </w:r>
      <w:r w:rsidR="000E5188">
        <w:t xml:space="preserve"> April 2026</w:t>
      </w:r>
      <w:r>
        <w:t xml:space="preserve">. </w:t>
      </w:r>
    </w:p>
  </w:footnote>
  <w:footnote w:id="5">
    <w:p w14:paraId="5600820E" w14:textId="31AE3EB9" w:rsidR="004761D8" w:rsidRDefault="004761D8" w:rsidP="004761D8">
      <w:pPr>
        <w:pStyle w:val="FootnoteText"/>
      </w:pPr>
      <w:r>
        <w:rPr>
          <w:rStyle w:val="FootnoteReference"/>
        </w:rPr>
        <w:footnoteRef/>
      </w:r>
      <w:r>
        <w:t xml:space="preserve"> Homes Tasmania </w:t>
      </w:r>
      <w:r w:rsidR="003E44E4">
        <w:t>(</w:t>
      </w:r>
      <w:r>
        <w:t>2026</w:t>
      </w:r>
      <w:r w:rsidR="003E44E4">
        <w:t>)</w:t>
      </w:r>
      <w:r>
        <w:t xml:space="preserve"> </w:t>
      </w:r>
      <w:hyperlink r:id="rId3" w:history="1">
        <w:r w:rsidRPr="00872B50">
          <w:rPr>
            <w:rStyle w:val="Hyperlink"/>
            <w:i/>
            <w:iCs/>
          </w:rPr>
          <w:t>Homes Tasmania Dashboard February 2026</w:t>
        </w:r>
      </w:hyperlink>
      <w:r w:rsidR="000E5188">
        <w:t xml:space="preserve">, </w:t>
      </w:r>
      <w:r w:rsidR="002E3DB0">
        <w:t>accessed</w:t>
      </w:r>
      <w:r w:rsidR="000E5188">
        <w:t xml:space="preserve"> April 2026</w:t>
      </w:r>
      <w:r>
        <w:t xml:space="preserve">. </w:t>
      </w:r>
    </w:p>
  </w:footnote>
  <w:footnote w:id="6">
    <w:p w14:paraId="5A730B6C" w14:textId="02D1C406" w:rsidR="000E6D63" w:rsidRDefault="000E6D63" w:rsidP="00097ED1">
      <w:r w:rsidRPr="000E6D63">
        <w:rPr>
          <w:rStyle w:val="FootnoteReference"/>
          <w:sz w:val="20"/>
          <w:szCs w:val="18"/>
        </w:rPr>
        <w:footnoteRef/>
      </w:r>
      <w:r w:rsidRPr="000E6D63">
        <w:rPr>
          <w:sz w:val="20"/>
          <w:szCs w:val="18"/>
        </w:rPr>
        <w:t xml:space="preserve"> Median rent </w:t>
      </w:r>
      <w:r>
        <w:rPr>
          <w:sz w:val="20"/>
          <w:szCs w:val="18"/>
        </w:rPr>
        <w:t xml:space="preserve">of </w:t>
      </w:r>
      <w:r w:rsidRPr="000E6D63">
        <w:rPr>
          <w:sz w:val="20"/>
          <w:szCs w:val="18"/>
        </w:rPr>
        <w:t>listings from each Snapshot was calculated and compared against the maximum affordable rent for</w:t>
      </w:r>
      <w:r>
        <w:rPr>
          <w:sz w:val="20"/>
          <w:szCs w:val="18"/>
        </w:rPr>
        <w:t xml:space="preserve"> low-income</w:t>
      </w:r>
      <w:r w:rsidRPr="000E6D63">
        <w:rPr>
          <w:sz w:val="20"/>
          <w:szCs w:val="18"/>
        </w:rPr>
        <w:t xml:space="preserve"> households for whom the type of properties would be </w:t>
      </w:r>
      <w:r>
        <w:rPr>
          <w:sz w:val="20"/>
          <w:szCs w:val="18"/>
        </w:rPr>
        <w:t>appropriate.</w:t>
      </w:r>
    </w:p>
  </w:footnote>
  <w:footnote w:id="7">
    <w:p w14:paraId="50D9207F" w14:textId="00277B92" w:rsidR="00F03B4E" w:rsidRDefault="00F03B4E" w:rsidP="00F03B4E">
      <w:pPr>
        <w:pStyle w:val="FootnoteText"/>
      </w:pPr>
      <w:r>
        <w:rPr>
          <w:rStyle w:val="FootnoteReference"/>
        </w:rPr>
        <w:footnoteRef/>
      </w:r>
      <w:r>
        <w:t xml:space="preserve"> Anglicare Tasmania </w:t>
      </w:r>
      <w:r w:rsidR="00321684">
        <w:t>(</w:t>
      </w:r>
      <w:r>
        <w:t>2026</w:t>
      </w:r>
      <w:r w:rsidR="00321684">
        <w:t>)</w:t>
      </w:r>
      <w:r>
        <w:t xml:space="preserve"> </w:t>
      </w:r>
      <w:hyperlink r:id="rId4" w:history="1">
        <w:r w:rsidRPr="00ED248A">
          <w:rPr>
            <w:rStyle w:val="Hyperlink"/>
            <w:i/>
            <w:iCs/>
          </w:rPr>
          <w:t>Housing Connect Front Door Service Snapshot December 2025</w:t>
        </w:r>
      </w:hyperlink>
      <w:r>
        <w:t xml:space="preserve">, Social Action and Research Centre, Hobart.  </w:t>
      </w:r>
    </w:p>
  </w:footnote>
  <w:footnote w:id="8">
    <w:p w14:paraId="2F2EC74C" w14:textId="5F59F499" w:rsidR="00C63A2B" w:rsidRDefault="00C63A2B" w:rsidP="00C63A2B">
      <w:pPr>
        <w:pStyle w:val="FootnoteText"/>
      </w:pPr>
      <w:r>
        <w:rPr>
          <w:rStyle w:val="FootnoteReference"/>
        </w:rPr>
        <w:footnoteRef/>
      </w:r>
      <w:r>
        <w:t xml:space="preserve"> Anglicare Tasmania </w:t>
      </w:r>
      <w:r w:rsidR="00321684">
        <w:t>(</w:t>
      </w:r>
      <w:r>
        <w:t>2024</w:t>
      </w:r>
      <w:r w:rsidR="00321684">
        <w:t>)</w:t>
      </w:r>
      <w:r>
        <w:t xml:space="preserve"> </w:t>
      </w:r>
      <w:hyperlink r:id="rId5" w:history="1">
        <w:r w:rsidRPr="00ED248A">
          <w:rPr>
            <w:rStyle w:val="Hyperlink"/>
            <w:i/>
            <w:iCs/>
          </w:rPr>
          <w:t>Policy Brief: Housing Security for Older Tasmanians</w:t>
        </w:r>
      </w:hyperlink>
      <w:r>
        <w:t xml:space="preserve">, Social Action and Research Centre, Hobart. </w:t>
      </w:r>
    </w:p>
  </w:footnote>
  <w:footnote w:id="9">
    <w:p w14:paraId="09D0B4FC" w14:textId="77777777" w:rsidR="0090270D" w:rsidRDefault="0090270D" w:rsidP="0090270D">
      <w:pPr>
        <w:pStyle w:val="FootnoteText"/>
      </w:pPr>
      <w:r w:rsidRPr="69196E69">
        <w:rPr>
          <w:rStyle w:val="FootnoteReference"/>
        </w:rPr>
        <w:footnoteRef/>
      </w:r>
      <w:r>
        <w:t xml:space="preserve"> Both Single Age Pension and Single (aged over 21) Disability Support Pension households have the same income and are represented in this chart by the maximum affordable rent for Single (aged over 21) Disability Support Pension.</w:t>
      </w:r>
    </w:p>
  </w:footnote>
  <w:footnote w:id="10">
    <w:p w14:paraId="2DDA7940" w14:textId="046A591A" w:rsidR="004C745D" w:rsidRDefault="004C745D" w:rsidP="004C745D">
      <w:pPr>
        <w:pStyle w:val="FootnoteText"/>
      </w:pPr>
      <w:r>
        <w:rPr>
          <w:rStyle w:val="FootnoteReference"/>
        </w:rPr>
        <w:footnoteRef/>
      </w:r>
      <w:r>
        <w:t xml:space="preserve"> Anglicare Tasmania </w:t>
      </w:r>
      <w:r w:rsidR="009056C6">
        <w:t>(</w:t>
      </w:r>
      <w:r>
        <w:t>2025</w:t>
      </w:r>
      <w:r w:rsidR="009056C6">
        <w:t>)</w:t>
      </w:r>
      <w:r>
        <w:t xml:space="preserve"> </w:t>
      </w:r>
      <w:hyperlink r:id="rId6" w:history="1">
        <w:r w:rsidRPr="00B35F49">
          <w:rPr>
            <w:rStyle w:val="Hyperlink"/>
            <w:i/>
            <w:iCs/>
          </w:rPr>
          <w:t>Mind the Gap</w:t>
        </w:r>
      </w:hyperlink>
      <w:r>
        <w:t>, Social Action and Research Centre, Hobart</w:t>
      </w:r>
      <w:r w:rsidRPr="000435CE">
        <w:rPr>
          <w:i/>
          <w:iCs/>
        </w:rPr>
        <w:t xml:space="preserve">. </w:t>
      </w:r>
    </w:p>
  </w:footnote>
  <w:footnote w:id="11">
    <w:p w14:paraId="316A64F7" w14:textId="1E0AC0BB" w:rsidR="004C745D" w:rsidRDefault="004C745D" w:rsidP="004C745D">
      <w:pPr>
        <w:pStyle w:val="FootnoteText"/>
      </w:pPr>
      <w:r>
        <w:rPr>
          <w:rStyle w:val="FootnoteReference"/>
        </w:rPr>
        <w:footnoteRef/>
      </w:r>
      <w:r>
        <w:t xml:space="preserve"> Anglicare Tasmania </w:t>
      </w:r>
      <w:r w:rsidR="009056C6">
        <w:t>(</w:t>
      </w:r>
      <w:r>
        <w:t>2025</w:t>
      </w:r>
      <w:r w:rsidR="009056C6">
        <w:t>)</w:t>
      </w:r>
      <w:r>
        <w:t xml:space="preserve"> </w:t>
      </w:r>
      <w:hyperlink r:id="rId7" w:history="1">
        <w:r w:rsidRPr="00B35F49">
          <w:rPr>
            <w:rStyle w:val="Hyperlink"/>
            <w:i/>
            <w:iCs/>
          </w:rPr>
          <w:t>Mind the Gap</w:t>
        </w:r>
      </w:hyperlink>
      <w:r>
        <w:t xml:space="preserve">, Social Action and Research Centre, Hobart. </w:t>
      </w:r>
    </w:p>
  </w:footnote>
  <w:footnote w:id="12">
    <w:p w14:paraId="63E8FD4C" w14:textId="76AA0173" w:rsidR="00284004" w:rsidRPr="005A1697" w:rsidRDefault="00284004" w:rsidP="00416FF4">
      <w:pPr>
        <w:pStyle w:val="EndNoteBibliography"/>
        <w:spacing w:after="0"/>
        <w:rPr>
          <w:rFonts w:ascii="Avenir Next LT Pro" w:hAnsi="Avenir Next LT Pro"/>
          <w:noProof w:val="0"/>
          <w:kern w:val="0"/>
          <w:sz w:val="20"/>
          <w:szCs w:val="20"/>
          <w:lang w:val="en-AU"/>
          <w14:ligatures w14:val="none"/>
        </w:rPr>
      </w:pPr>
      <w:r>
        <w:rPr>
          <w:rStyle w:val="FootnoteReference"/>
        </w:rPr>
        <w:footnoteRef/>
      </w:r>
      <w:r>
        <w:t xml:space="preserve"> </w:t>
      </w:r>
      <w:r w:rsidR="005A1697" w:rsidRPr="005A1697">
        <w:rPr>
          <w:rFonts w:ascii="Avenir Next LT Pro" w:hAnsi="Avenir Next LT Pro"/>
          <w:noProof w:val="0"/>
          <w:kern w:val="0"/>
          <w:sz w:val="20"/>
          <w:szCs w:val="20"/>
          <w:lang w:val="en-AU"/>
          <w14:ligatures w14:val="none"/>
        </w:rPr>
        <w:t>Anglicare Tasmania (2026</w:t>
      </w:r>
      <w:r w:rsidR="005A1697" w:rsidRPr="005A1697">
        <w:rPr>
          <w:rFonts w:ascii="Avenir Next LT Pro" w:hAnsi="Avenir Next LT Pro"/>
          <w:i/>
          <w:iCs/>
          <w:noProof w:val="0"/>
          <w:kern w:val="0"/>
          <w:sz w:val="20"/>
          <w:szCs w:val="20"/>
          <w:lang w:val="en-AU"/>
          <w14:ligatures w14:val="none"/>
        </w:rPr>
        <w:t xml:space="preserve">) </w:t>
      </w:r>
      <w:hyperlink r:id="rId8" w:history="1">
        <w:r w:rsidR="005A1697" w:rsidRPr="00786B4D">
          <w:rPr>
            <w:rStyle w:val="Hyperlink"/>
            <w:rFonts w:ascii="Avenir Next LT Pro" w:hAnsi="Avenir Next LT Pro"/>
            <w:i/>
            <w:iCs/>
            <w:noProof w:val="0"/>
            <w:kern w:val="0"/>
            <w:sz w:val="20"/>
            <w:szCs w:val="20"/>
            <w:lang w:val="en-AU"/>
            <w14:ligatures w14:val="none"/>
          </w:rPr>
          <w:t>Secure Foundations</w:t>
        </w:r>
      </w:hyperlink>
      <w:r w:rsidR="005A1697" w:rsidRPr="005A1697">
        <w:rPr>
          <w:rFonts w:ascii="Avenir Next LT Pro" w:hAnsi="Avenir Next LT Pro"/>
          <w:noProof w:val="0"/>
          <w:kern w:val="0"/>
          <w:sz w:val="20"/>
          <w:szCs w:val="20"/>
          <w:lang w:val="en-AU"/>
          <w14:ligatures w14:val="none"/>
        </w:rPr>
        <w:t>, Social Action and Research Centre, Hobart.</w:t>
      </w:r>
    </w:p>
  </w:footnote>
  <w:footnote w:id="13">
    <w:p w14:paraId="7C4A3D99" w14:textId="20B879A8" w:rsidR="00284004" w:rsidRPr="00AE50E4" w:rsidRDefault="00284004" w:rsidP="00284004">
      <w:pPr>
        <w:pStyle w:val="FootnoteText"/>
      </w:pPr>
      <w:r>
        <w:rPr>
          <w:rStyle w:val="FootnoteReference"/>
        </w:rPr>
        <w:footnoteRef/>
      </w:r>
      <w:r>
        <w:t xml:space="preserve"> Anglicare Tasmania (2026) </w:t>
      </w:r>
      <w:hyperlink r:id="rId9" w:history="1">
        <w:r w:rsidRPr="00786B4D">
          <w:rPr>
            <w:rStyle w:val="Hyperlink"/>
            <w:i/>
            <w:iCs/>
          </w:rPr>
          <w:t>Secure Foundations</w:t>
        </w:r>
      </w:hyperlink>
      <w:r>
        <w:t xml:space="preserve">, Social Action and Research Centre, Hobart. </w:t>
      </w:r>
    </w:p>
  </w:footnote>
  <w:footnote w:id="14">
    <w:p w14:paraId="472A137D" w14:textId="690C35AF" w:rsidR="00284004" w:rsidRPr="00AE50E4" w:rsidRDefault="00284004" w:rsidP="00284004">
      <w:pPr>
        <w:pStyle w:val="FootnoteText"/>
      </w:pPr>
      <w:r>
        <w:rPr>
          <w:rStyle w:val="FootnoteReference"/>
        </w:rPr>
        <w:footnoteRef/>
      </w:r>
      <w:r>
        <w:t xml:space="preserve"> Anglicare Tasmania (2026) </w:t>
      </w:r>
      <w:hyperlink r:id="rId10" w:history="1">
        <w:r w:rsidRPr="00786B4D">
          <w:rPr>
            <w:rStyle w:val="Hyperlink"/>
            <w:i/>
            <w:iCs/>
          </w:rPr>
          <w:t>Secure Foundations</w:t>
        </w:r>
      </w:hyperlink>
      <w:r>
        <w:t xml:space="preserve">, Social Action and Research Centre, Hobart. </w:t>
      </w:r>
    </w:p>
  </w:footnote>
  <w:footnote w:id="15">
    <w:p w14:paraId="5D880EA9" w14:textId="6505E5E0" w:rsidR="00DA60E3" w:rsidRPr="00011A1E" w:rsidRDefault="00DA60E3" w:rsidP="00DA60E3">
      <w:pPr>
        <w:pStyle w:val="FootnoteText"/>
      </w:pPr>
      <w:r>
        <w:rPr>
          <w:rStyle w:val="FootnoteReference"/>
        </w:rPr>
        <w:footnoteRef/>
      </w:r>
      <w:r>
        <w:t xml:space="preserve"> </w:t>
      </w:r>
      <w:r w:rsidRPr="008C6D51">
        <w:t xml:space="preserve">AIHW </w:t>
      </w:r>
      <w:r w:rsidR="009056C6" w:rsidRPr="008C6D51">
        <w:t>(</w:t>
      </w:r>
      <w:r w:rsidRPr="008C6D51">
        <w:t>2025</w:t>
      </w:r>
      <w:r w:rsidR="009056C6" w:rsidRPr="008C6D51">
        <w:t>)</w:t>
      </w:r>
      <w:r w:rsidRPr="008C6D51">
        <w:t xml:space="preserve"> </w:t>
      </w:r>
      <w:hyperlink r:id="rId11" w:history="1">
        <w:r w:rsidR="00523075" w:rsidRPr="008C6D51">
          <w:rPr>
            <w:rStyle w:val="Hyperlink"/>
            <w:i/>
            <w:iCs/>
          </w:rPr>
          <w:t>Homelessess services: Glossary</w:t>
        </w:r>
      </w:hyperlink>
      <w:r w:rsidR="00523075">
        <w:t>, accessed April 2026</w:t>
      </w:r>
      <w:r w:rsidR="00AE5E24">
        <w:t>.</w:t>
      </w:r>
      <w:r w:rsidR="00AE5E24" w:rsidRPr="00011A1E">
        <w:t xml:space="preserve"> </w:t>
      </w:r>
    </w:p>
  </w:footnote>
  <w:footnote w:id="16">
    <w:p w14:paraId="47A75BA9" w14:textId="66E64381" w:rsidR="00DA60E3" w:rsidRPr="00011A1E" w:rsidRDefault="00DA60E3" w:rsidP="00DA60E3">
      <w:pPr>
        <w:pStyle w:val="FootnoteText"/>
      </w:pPr>
      <w:r w:rsidRPr="008C6D51">
        <w:rPr>
          <w:rStyle w:val="FootnoteReference"/>
        </w:rPr>
        <w:footnoteRef/>
      </w:r>
      <w:r w:rsidRPr="008C6D51">
        <w:t xml:space="preserve"> AIHW </w:t>
      </w:r>
      <w:r w:rsidR="009056C6" w:rsidRPr="008C6D51">
        <w:t>(</w:t>
      </w:r>
      <w:r w:rsidRPr="008C6D51">
        <w:t>2025</w:t>
      </w:r>
      <w:r w:rsidR="009056C6" w:rsidRPr="008C6D51">
        <w:t>)</w:t>
      </w:r>
      <w:r w:rsidRPr="008C6D51">
        <w:t xml:space="preserve"> </w:t>
      </w:r>
      <w:hyperlink r:id="rId12" w:history="1">
        <w:r w:rsidR="00AE5E24" w:rsidRPr="00B0377F">
          <w:rPr>
            <w:rStyle w:val="Hyperlink"/>
            <w:i/>
            <w:iCs/>
          </w:rPr>
          <w:t>Homelessess services: Glossary</w:t>
        </w:r>
      </w:hyperlink>
      <w:r w:rsidR="00AE5E24">
        <w:t>, accessed April 2026.</w:t>
      </w:r>
      <w:r w:rsidR="00AE5E24" w:rsidRPr="00011A1E">
        <w:t xml:space="preserve"> </w:t>
      </w:r>
    </w:p>
  </w:footnote>
  <w:footnote w:id="17">
    <w:p w14:paraId="5941448D" w14:textId="05892993" w:rsidR="008D27CA" w:rsidRDefault="008D27CA">
      <w:pPr>
        <w:pStyle w:val="FootnoteText"/>
      </w:pPr>
      <w:r w:rsidRPr="00011A1E">
        <w:rPr>
          <w:rStyle w:val="FootnoteReference"/>
        </w:rPr>
        <w:footnoteRef/>
      </w:r>
      <w:r w:rsidRPr="00011A1E">
        <w:t xml:space="preserve"> </w:t>
      </w:r>
      <w:r w:rsidRPr="008C6D51">
        <w:t>Homes Tas</w:t>
      </w:r>
      <w:r w:rsidR="00792A7F">
        <w:t xml:space="preserve">mania </w:t>
      </w:r>
      <w:r w:rsidR="000F247B">
        <w:t>(</w:t>
      </w:r>
      <w:r w:rsidR="005144DE">
        <w:t>2024</w:t>
      </w:r>
      <w:r w:rsidR="000F247B">
        <w:t>)</w:t>
      </w:r>
      <w:r w:rsidRPr="008C6D51">
        <w:t xml:space="preserve"> </w:t>
      </w:r>
      <w:hyperlink r:id="rId13" w:history="1">
        <w:r w:rsidR="0079440F" w:rsidRPr="008C6D51">
          <w:rPr>
            <w:rStyle w:val="Hyperlink"/>
            <w:i/>
            <w:iCs/>
          </w:rPr>
          <w:t xml:space="preserve">Social housing </w:t>
        </w:r>
        <w:r w:rsidRPr="008C6D51">
          <w:rPr>
            <w:rStyle w:val="Hyperlink"/>
            <w:i/>
            <w:iCs/>
          </w:rPr>
          <w:t>policy</w:t>
        </w:r>
      </w:hyperlink>
      <w:r w:rsidR="0079440F">
        <w:t>, accessed April 2026.</w:t>
      </w:r>
    </w:p>
  </w:footnote>
  <w:footnote w:id="18">
    <w:p w14:paraId="13B8898C" w14:textId="6702CEF4" w:rsidR="00D26D04" w:rsidRDefault="00D26D04" w:rsidP="00D26D04">
      <w:pPr>
        <w:pStyle w:val="FootnoteText"/>
      </w:pPr>
      <w:r>
        <w:rPr>
          <w:rStyle w:val="FootnoteReference"/>
        </w:rPr>
        <w:footnoteRef/>
      </w:r>
      <w:r>
        <w:t xml:space="preserve"> </w:t>
      </w:r>
      <w:r w:rsidR="00F34D59">
        <w:t xml:space="preserve">Homes Tasmania (2026) </w:t>
      </w:r>
      <w:hyperlink r:id="rId14" w:history="1">
        <w:r w:rsidR="00F34D59" w:rsidRPr="00872B50">
          <w:rPr>
            <w:rStyle w:val="Hyperlink"/>
            <w:i/>
            <w:iCs/>
          </w:rPr>
          <w:t>Homes Tasmania Dashboard February 2026</w:t>
        </w:r>
      </w:hyperlink>
      <w:r w:rsidR="00F34D59">
        <w:t xml:space="preserve">, accessed April 2026. </w:t>
      </w:r>
    </w:p>
  </w:footnote>
  <w:footnote w:id="19">
    <w:p w14:paraId="44E2E143" w14:textId="302D45DA" w:rsidR="00D26D04" w:rsidRDefault="00D26D04" w:rsidP="00D26D04">
      <w:pPr>
        <w:pStyle w:val="FootnoteText"/>
      </w:pPr>
      <w:r>
        <w:rPr>
          <w:rStyle w:val="FootnoteReference"/>
        </w:rPr>
        <w:footnoteRef/>
      </w:r>
      <w:r>
        <w:t xml:space="preserve"> Anglicare Tasmania </w:t>
      </w:r>
      <w:r w:rsidR="00F34D59">
        <w:t>(</w:t>
      </w:r>
      <w:r>
        <w:t>2025</w:t>
      </w:r>
      <w:r w:rsidR="00F34D59">
        <w:t>)</w:t>
      </w:r>
      <w:r>
        <w:t xml:space="preserve"> </w:t>
      </w:r>
      <w:hyperlink r:id="rId15" w:history="1">
        <w:r w:rsidRPr="00416FF4">
          <w:rPr>
            <w:rStyle w:val="Hyperlink"/>
            <w:i/>
            <w:iCs/>
          </w:rPr>
          <w:t>Housing Connect Front Door Service Snapshot September 2025</w:t>
        </w:r>
      </w:hyperlink>
      <w:r w:rsidR="007D668D">
        <w:t>, Social Action and Research Centre, Hobart</w:t>
      </w:r>
      <w:r>
        <w:t xml:space="preserve">. </w:t>
      </w:r>
    </w:p>
  </w:footnote>
  <w:footnote w:id="20">
    <w:p w14:paraId="4EE8ACDE" w14:textId="5E636EB5" w:rsidR="00D26D04" w:rsidRDefault="00D26D04" w:rsidP="00D26D04">
      <w:pPr>
        <w:pStyle w:val="FootnoteText"/>
      </w:pPr>
      <w:r>
        <w:rPr>
          <w:rStyle w:val="FootnoteReference"/>
        </w:rPr>
        <w:footnoteRef/>
      </w:r>
      <w:r>
        <w:t xml:space="preserve"> Anglicare Tasmania</w:t>
      </w:r>
      <w:r w:rsidR="00093A15">
        <w:t xml:space="preserve"> (</w:t>
      </w:r>
      <w:r>
        <w:t>2025</w:t>
      </w:r>
      <w:r w:rsidR="00093A15">
        <w:t>)</w:t>
      </w:r>
      <w:r>
        <w:t xml:space="preserve"> </w:t>
      </w:r>
      <w:hyperlink r:id="rId16" w:history="1">
        <w:r w:rsidRPr="00416FF4">
          <w:rPr>
            <w:rStyle w:val="Hyperlink"/>
            <w:i/>
            <w:iCs/>
          </w:rPr>
          <w:t>Housing Connect Front Door Service Snapshot September 2025</w:t>
        </w:r>
      </w:hyperlink>
      <w:r>
        <w:t xml:space="preserve">, Social Action and Research Centre, Hobart. </w:t>
      </w:r>
    </w:p>
  </w:footnote>
  <w:footnote w:id="21">
    <w:p w14:paraId="3817B32D" w14:textId="6BFEFE13" w:rsidR="0075796E" w:rsidRDefault="0075796E" w:rsidP="0075796E">
      <w:pPr>
        <w:pStyle w:val="FootnoteText"/>
      </w:pPr>
      <w:r>
        <w:rPr>
          <w:rStyle w:val="FootnoteReference"/>
        </w:rPr>
        <w:footnoteRef/>
      </w:r>
      <w:r>
        <w:t xml:space="preserve"> </w:t>
      </w:r>
      <w:r w:rsidRPr="00483802">
        <w:t>Batterham D, Barnes E, Hartley C, Flanagan K, Veeroja P, Robinson C</w:t>
      </w:r>
      <w:r>
        <w:t xml:space="preserve"> and</w:t>
      </w:r>
      <w:r w:rsidRPr="00483802">
        <w:t xml:space="preserve"> Mackelprang J (2026) </w:t>
      </w:r>
      <w:r w:rsidRPr="00483802">
        <w:rPr>
          <w:i/>
          <w:iCs/>
        </w:rPr>
        <w:t xml:space="preserve">Workplace trauma on the social housing and homelessness frontline, </w:t>
      </w:r>
      <w:r w:rsidRPr="00483802">
        <w:t>AHURI Final Report No. 455, Australian Housing and Urban Research Institute Limited, Melbourne.</w:t>
      </w:r>
      <w:r>
        <w:t xml:space="preserve"> </w:t>
      </w:r>
    </w:p>
  </w:footnote>
  <w:footnote w:id="22">
    <w:p w14:paraId="1609C7B8" w14:textId="4E555658" w:rsidR="009A440F" w:rsidRDefault="009A440F" w:rsidP="009A440F">
      <w:pPr>
        <w:pStyle w:val="FootnoteText"/>
      </w:pPr>
      <w:r>
        <w:rPr>
          <w:rStyle w:val="FootnoteReference"/>
        </w:rPr>
        <w:footnoteRef/>
      </w:r>
      <w:r>
        <w:t xml:space="preserve"> </w:t>
      </w:r>
      <w:r w:rsidRPr="00DA5E83">
        <w:t>Power ER, Mitchell E, Wiesel I</w:t>
      </w:r>
      <w:r w:rsidR="007D668D">
        <w:t xml:space="preserve"> and</w:t>
      </w:r>
      <w:r w:rsidRPr="00DA5E83">
        <w:t xml:space="preserve"> Mee KJ </w:t>
      </w:r>
      <w:r w:rsidR="007D668D">
        <w:t>(</w:t>
      </w:r>
      <w:r w:rsidRPr="00DA5E83">
        <w:t>2026</w:t>
      </w:r>
      <w:r w:rsidR="007D668D">
        <w:t>)</w:t>
      </w:r>
      <w:r w:rsidRPr="00DA5E83">
        <w:t xml:space="preserve"> </w:t>
      </w:r>
      <w:r w:rsidRPr="00DA5E83">
        <w:rPr>
          <w:i/>
          <w:iCs/>
        </w:rPr>
        <w:t>Surviving in a cost-of-living crisis: Australia’s fraying care infrastructures</w:t>
      </w:r>
      <w:r>
        <w:t xml:space="preserve">, </w:t>
      </w:r>
      <w:r w:rsidRPr="00DA5E83">
        <w:t>Western Sydney Universit</w:t>
      </w:r>
      <w:r>
        <w:t>y</w:t>
      </w:r>
      <w:r w:rsidR="00093A15">
        <w:t>.</w:t>
      </w:r>
    </w:p>
  </w:footnote>
  <w:footnote w:id="23">
    <w:p w14:paraId="65FB16E4" w14:textId="6FB995E0" w:rsidR="00C8575E" w:rsidRDefault="00C8575E" w:rsidP="00C8575E">
      <w:pPr>
        <w:pStyle w:val="FootnoteText"/>
      </w:pPr>
      <w:r>
        <w:rPr>
          <w:rStyle w:val="FootnoteReference"/>
        </w:rPr>
        <w:footnoteRef/>
      </w:r>
      <w:r>
        <w:t xml:space="preserve"> Commonwealth of Australia </w:t>
      </w:r>
      <w:r w:rsidR="007D668D">
        <w:t>(</w:t>
      </w:r>
      <w:r>
        <w:t>2024</w:t>
      </w:r>
      <w:r w:rsidR="007D668D">
        <w:t>)</w:t>
      </w:r>
      <w:r>
        <w:t xml:space="preserve">, </w:t>
      </w:r>
      <w:r>
        <w:rPr>
          <w:i/>
          <w:iCs/>
        </w:rPr>
        <w:t>The extent and nature of poverty in Australia: Final report</w:t>
      </w:r>
      <w:r>
        <w:t xml:space="preserve">, Senate Community Affairs Reference Committee. </w:t>
      </w:r>
    </w:p>
  </w:footnote>
  <w:footnote w:id="24">
    <w:p w14:paraId="72E77AC0" w14:textId="4936E183" w:rsidR="009A440F" w:rsidRDefault="009A440F" w:rsidP="009A440F">
      <w:pPr>
        <w:pStyle w:val="FootnoteText"/>
      </w:pPr>
      <w:r>
        <w:rPr>
          <w:rStyle w:val="FootnoteReference"/>
        </w:rPr>
        <w:footnoteRef/>
      </w:r>
      <w:r>
        <w:t xml:space="preserve"> </w:t>
      </w:r>
      <w:r w:rsidRPr="005E58FF">
        <w:t>Anglicare Australia</w:t>
      </w:r>
      <w:r>
        <w:t xml:space="preserve"> </w:t>
      </w:r>
      <w:r w:rsidR="00742E57">
        <w:t>(</w:t>
      </w:r>
      <w:r w:rsidRPr="005E58FF">
        <w:t>2025</w:t>
      </w:r>
      <w:r w:rsidR="00742E57">
        <w:t>)</w:t>
      </w:r>
      <w:r w:rsidRPr="005E58FF">
        <w:t xml:space="preserve"> </w:t>
      </w:r>
      <w:hyperlink r:id="rId17" w:history="1">
        <w:r w:rsidRPr="0078169C">
          <w:rPr>
            <w:rStyle w:val="Hyperlink"/>
            <w:i/>
            <w:iCs/>
          </w:rPr>
          <w:t>Investing in People: Anglicare Australia’s Plan for Australia’s Federal Budget</w:t>
        </w:r>
      </w:hyperlink>
      <w:r w:rsidR="00D26D04">
        <w:t>.</w:t>
      </w:r>
    </w:p>
  </w:footnote>
  <w:footnote w:id="25">
    <w:p w14:paraId="0B0188DE" w14:textId="7BD8B333" w:rsidR="00C8575E" w:rsidRDefault="00C8575E" w:rsidP="00C8575E">
      <w:pPr>
        <w:pStyle w:val="FootnoteText"/>
      </w:pPr>
      <w:r>
        <w:rPr>
          <w:rStyle w:val="FootnoteReference"/>
        </w:rPr>
        <w:footnoteRef/>
      </w:r>
      <w:r>
        <w:t xml:space="preserve"> Anglicare Tasmania </w:t>
      </w:r>
      <w:r w:rsidR="00742E57">
        <w:t>(</w:t>
      </w:r>
      <w:r>
        <w:t>2025</w:t>
      </w:r>
      <w:r w:rsidR="00742E57">
        <w:t>)</w:t>
      </w:r>
      <w:r>
        <w:t xml:space="preserve"> </w:t>
      </w:r>
      <w:hyperlink r:id="rId18" w:history="1">
        <w:r w:rsidRPr="00416FF4">
          <w:rPr>
            <w:rStyle w:val="Hyperlink"/>
            <w:i/>
            <w:iCs/>
          </w:rPr>
          <w:t>Housing Connect Front Door Service Snapshot September 2025</w:t>
        </w:r>
      </w:hyperlink>
      <w:r w:rsidR="00BD3A81">
        <w:t>, Social Action and Research Centre, Hobart</w:t>
      </w:r>
      <w:r>
        <w:t>.</w:t>
      </w:r>
    </w:p>
  </w:footnote>
  <w:footnote w:id="26">
    <w:p w14:paraId="43913EB4" w14:textId="17844D12" w:rsidR="00C8575E" w:rsidRDefault="00C8575E" w:rsidP="00C8575E">
      <w:pPr>
        <w:pStyle w:val="FootnoteText"/>
      </w:pPr>
      <w:r>
        <w:rPr>
          <w:rStyle w:val="FootnoteReference"/>
        </w:rPr>
        <w:footnoteRef/>
      </w:r>
      <w:r>
        <w:t xml:space="preserve"> Homes Tasmania </w:t>
      </w:r>
      <w:r w:rsidR="00E4477A">
        <w:t>(</w:t>
      </w:r>
      <w:r>
        <w:t>2026</w:t>
      </w:r>
      <w:r w:rsidR="00E4477A">
        <w:t>)</w:t>
      </w:r>
      <w:r>
        <w:t xml:space="preserve"> </w:t>
      </w:r>
      <w:hyperlink r:id="rId19" w:history="1">
        <w:r w:rsidR="00BD3A81" w:rsidRPr="008C6D51">
          <w:rPr>
            <w:rStyle w:val="Hyperlink"/>
            <w:i/>
            <w:iCs/>
          </w:rPr>
          <w:t xml:space="preserve">Homes Tasmania </w:t>
        </w:r>
        <w:r w:rsidRPr="008C6D51">
          <w:rPr>
            <w:rStyle w:val="Hyperlink"/>
            <w:i/>
            <w:iCs/>
          </w:rPr>
          <w:t>Dashboard January 2026</w:t>
        </w:r>
      </w:hyperlink>
      <w:r w:rsidR="00472CB0">
        <w:t>, accessed April 2026</w:t>
      </w:r>
      <w:r>
        <w:t>.</w:t>
      </w:r>
    </w:p>
  </w:footnote>
  <w:footnote w:id="27">
    <w:p w14:paraId="039DCA4D" w14:textId="39176E96" w:rsidR="00E43368" w:rsidRDefault="00E43368">
      <w:pPr>
        <w:pStyle w:val="FootnoteText"/>
      </w:pPr>
      <w:r>
        <w:rPr>
          <w:rStyle w:val="FootnoteReference"/>
        </w:rPr>
        <w:footnoteRef/>
      </w:r>
      <w:r>
        <w:t xml:space="preserve"> </w:t>
      </w:r>
      <w:r w:rsidRPr="008C6D51">
        <w:t xml:space="preserve">Homes Tasmania </w:t>
      </w:r>
      <w:r w:rsidR="00E4477A">
        <w:t>(</w:t>
      </w:r>
      <w:r w:rsidRPr="008C6D51">
        <w:t>2026</w:t>
      </w:r>
      <w:r w:rsidR="00E4477A">
        <w:t>)</w:t>
      </w:r>
      <w:r w:rsidRPr="008C6D51">
        <w:t xml:space="preserve"> </w:t>
      </w:r>
      <w:hyperlink r:id="rId20" w:history="1">
        <w:r w:rsidRPr="008C6D51">
          <w:rPr>
            <w:rStyle w:val="Hyperlink"/>
            <w:i/>
            <w:iCs/>
          </w:rPr>
          <w:t>Affordable private rentals</w:t>
        </w:r>
      </w:hyperlink>
      <w:r w:rsidRPr="008C6D51">
        <w:t>, accessed April 2026.</w:t>
      </w:r>
      <w:r>
        <w:t xml:space="preserve"> </w:t>
      </w:r>
    </w:p>
  </w:footnote>
  <w:footnote w:id="28">
    <w:p w14:paraId="01E6EAF4" w14:textId="3AAE5D05" w:rsidR="00BD3A81" w:rsidRDefault="00BD3A81">
      <w:pPr>
        <w:pStyle w:val="FootnoteText"/>
      </w:pPr>
      <w:r>
        <w:rPr>
          <w:rStyle w:val="FootnoteReference"/>
        </w:rPr>
        <w:footnoteRef/>
      </w:r>
      <w:r>
        <w:t xml:space="preserve"> Anglicare Tasmania </w:t>
      </w:r>
      <w:r w:rsidR="00DE2D97">
        <w:t>(</w:t>
      </w:r>
      <w:r>
        <w:t>2025</w:t>
      </w:r>
      <w:r w:rsidR="00DE2D97">
        <w:t>)</w:t>
      </w:r>
      <w:r>
        <w:t xml:space="preserve"> </w:t>
      </w:r>
      <w:hyperlink r:id="rId21" w:history="1">
        <w:r w:rsidRPr="00416FF4">
          <w:rPr>
            <w:rStyle w:val="Hyperlink"/>
            <w:i/>
            <w:iCs/>
          </w:rPr>
          <w:t>Housing Connect Front Door Service Snapshot September 2025</w:t>
        </w:r>
      </w:hyperlink>
      <w:r>
        <w:t xml:space="preserve">, Social Action and Research Centre, Hobart. </w:t>
      </w:r>
    </w:p>
  </w:footnote>
  <w:footnote w:id="29">
    <w:p w14:paraId="5EC17696" w14:textId="5B5C9974" w:rsidR="00731530" w:rsidRPr="00731530" w:rsidRDefault="00731530">
      <w:pPr>
        <w:pStyle w:val="FootnoteText"/>
        <w:rPr>
          <w:lang w:val="en-US"/>
        </w:rPr>
      </w:pPr>
      <w:r>
        <w:rPr>
          <w:rStyle w:val="FootnoteReference"/>
        </w:rPr>
        <w:footnoteRef/>
      </w:r>
      <w:r>
        <w:t xml:space="preserve"> </w:t>
      </w:r>
      <w:r>
        <w:rPr>
          <w:lang w:val="en-US"/>
        </w:rPr>
        <w:t xml:space="preserve">Tasmanian Government (2026) </w:t>
      </w:r>
      <w:hyperlink r:id="rId22" w:history="1">
        <w:r w:rsidRPr="00731530">
          <w:rPr>
            <w:rStyle w:val="Hyperlink"/>
            <w:i/>
            <w:iCs/>
            <w:lang w:val="en-US"/>
          </w:rPr>
          <w:t>Short Stay Levy Bill tabled in Parliament</w:t>
        </w:r>
      </w:hyperlink>
      <w:r>
        <w:rPr>
          <w:lang w:val="en-US"/>
        </w:rPr>
        <w:t>, accessed April 2026.</w:t>
      </w:r>
    </w:p>
  </w:footnote>
  <w:footnote w:id="30">
    <w:p w14:paraId="73032D4E" w14:textId="3AF83583" w:rsidR="3AD7D649" w:rsidRPr="008C6D51" w:rsidRDefault="3AD7D649" w:rsidP="3AD7D649">
      <w:pPr>
        <w:pStyle w:val="FootnoteText"/>
        <w:rPr>
          <w:b/>
          <w:bCs/>
        </w:rPr>
      </w:pPr>
      <w:r w:rsidRPr="3AD7D649">
        <w:rPr>
          <w:rStyle w:val="FootnoteReference"/>
        </w:rPr>
        <w:footnoteRef/>
      </w:r>
      <w:r>
        <w:t xml:space="preserve"> Tasmanian Government (2026) </w:t>
      </w:r>
      <w:hyperlink r:id="rId23">
        <w:r w:rsidRPr="3AD7D649">
          <w:rPr>
            <w:rStyle w:val="Hyperlink"/>
            <w:i/>
            <w:iCs/>
          </w:rPr>
          <w:t>Making it easier for Tasmanians to own their own home - 5% Short Stay Levy</w:t>
        </w:r>
      </w:hyperlink>
      <w:r>
        <w:t>, accessed April 2026.</w:t>
      </w:r>
    </w:p>
  </w:footnote>
  <w:footnote w:id="31">
    <w:p w14:paraId="17C4DB91" w14:textId="098C60AD" w:rsidR="000114A0" w:rsidRDefault="000114A0" w:rsidP="000114A0">
      <w:pPr>
        <w:pStyle w:val="FootnoteText"/>
      </w:pPr>
      <w:r>
        <w:rPr>
          <w:rStyle w:val="FootnoteReference"/>
        </w:rPr>
        <w:footnoteRef/>
      </w:r>
      <w:r>
        <w:t xml:space="preserve"> Anglicare Tasmania </w:t>
      </w:r>
      <w:r w:rsidR="00433D7C">
        <w:t>(</w:t>
      </w:r>
      <w:r>
        <w:t>2026</w:t>
      </w:r>
      <w:r w:rsidR="00433D7C">
        <w:t>)</w:t>
      </w:r>
      <w:r>
        <w:t xml:space="preserve"> </w:t>
      </w:r>
      <w:hyperlink r:id="rId24" w:history="1">
        <w:r w:rsidRPr="005141B6">
          <w:rPr>
            <w:rStyle w:val="Hyperlink"/>
            <w:i/>
            <w:iCs/>
          </w:rPr>
          <w:t>Submission to consultation on Short Stay Levy Bill 2025</w:t>
        </w:r>
      </w:hyperlink>
      <w:r>
        <w:t>.</w:t>
      </w:r>
    </w:p>
  </w:footnote>
  <w:footnote w:id="32">
    <w:p w14:paraId="5F8F75BD" w14:textId="2ED121B2" w:rsidR="00BF3C51" w:rsidRPr="00FF51A2" w:rsidRDefault="00BF3C51">
      <w:pPr>
        <w:pStyle w:val="FootnoteText"/>
        <w:rPr>
          <w:lang w:val="en-US"/>
        </w:rPr>
      </w:pPr>
      <w:r>
        <w:rPr>
          <w:rStyle w:val="FootnoteReference"/>
        </w:rPr>
        <w:footnoteRef/>
      </w:r>
      <w:r>
        <w:t xml:space="preserve"> </w:t>
      </w:r>
      <w:r w:rsidR="00FF51A2" w:rsidRPr="00FF51A2">
        <w:t>Azize, M</w:t>
      </w:r>
      <w:r w:rsidR="003000EE">
        <w:t xml:space="preserve"> (</w:t>
      </w:r>
      <w:r w:rsidR="00FF51A2" w:rsidRPr="00FF51A2">
        <w:t>2026</w:t>
      </w:r>
      <w:r w:rsidR="003000EE">
        <w:t>)</w:t>
      </w:r>
      <w:r w:rsidR="00FF51A2">
        <w:t xml:space="preserve"> </w:t>
      </w:r>
      <w:hyperlink r:id="rId25" w:history="1">
        <w:r w:rsidR="00FF51A2" w:rsidRPr="00FF51A2">
          <w:rPr>
            <w:rStyle w:val="Hyperlink"/>
            <w:i/>
            <w:iCs/>
          </w:rPr>
          <w:t>Rebalancing Capital Gains Tax: Housing, Inequality and the Case for Reform</w:t>
        </w:r>
      </w:hyperlink>
      <w:r w:rsidR="00FF51A2">
        <w:t>,</w:t>
      </w:r>
      <w:r w:rsidR="00FF51A2" w:rsidRPr="00FF51A2">
        <w:t xml:space="preserve"> Anglicare Australia</w:t>
      </w:r>
      <w:r w:rsidR="00FF51A2">
        <w:t>,</w:t>
      </w:r>
      <w:r w:rsidR="00FF51A2" w:rsidRPr="00FF51A2">
        <w:t xml:space="preserve"> Canberra.</w:t>
      </w:r>
    </w:p>
  </w:footnote>
  <w:footnote w:id="33">
    <w:p w14:paraId="2558D910" w14:textId="280682E8" w:rsidR="00E028E3" w:rsidRDefault="00E028E3" w:rsidP="00E028E3">
      <w:pPr>
        <w:pStyle w:val="FootnoteText"/>
      </w:pPr>
      <w:r>
        <w:rPr>
          <w:rStyle w:val="FootnoteReference"/>
        </w:rPr>
        <w:footnoteRef/>
      </w:r>
      <w:r>
        <w:t xml:space="preserve"> Eslake</w:t>
      </w:r>
      <w:r w:rsidR="003000EE">
        <w:t>, S</w:t>
      </w:r>
      <w:r>
        <w:t xml:space="preserve"> </w:t>
      </w:r>
      <w:r w:rsidR="003000EE">
        <w:t>(</w:t>
      </w:r>
      <w:r>
        <w:t>2024</w:t>
      </w:r>
      <w:r w:rsidR="003000EE">
        <w:t>)</w:t>
      </w:r>
      <w:r>
        <w:t xml:space="preserve"> </w:t>
      </w:r>
      <w:hyperlink r:id="rId26" w:history="1">
        <w:r w:rsidRPr="008C6D51">
          <w:rPr>
            <w:rStyle w:val="Hyperlink"/>
            <w:i/>
            <w:iCs/>
          </w:rPr>
          <w:t>Independent review of Tasmania’s state finances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9B"/>
    <w:multiLevelType w:val="hybridMultilevel"/>
    <w:tmpl w:val="840C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E2C85"/>
    <w:multiLevelType w:val="hybridMultilevel"/>
    <w:tmpl w:val="664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465AD"/>
    <w:multiLevelType w:val="hybridMultilevel"/>
    <w:tmpl w:val="E2848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D71F0"/>
    <w:multiLevelType w:val="hybridMultilevel"/>
    <w:tmpl w:val="62CCB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E1EF1"/>
    <w:multiLevelType w:val="hybridMultilevel"/>
    <w:tmpl w:val="6E262DC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1097306B"/>
    <w:multiLevelType w:val="hybridMultilevel"/>
    <w:tmpl w:val="1356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80F1F"/>
    <w:multiLevelType w:val="hybridMultilevel"/>
    <w:tmpl w:val="9FCC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11ECC"/>
    <w:multiLevelType w:val="hybridMultilevel"/>
    <w:tmpl w:val="4886C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8E75BA"/>
    <w:multiLevelType w:val="hybridMultilevel"/>
    <w:tmpl w:val="3E6AD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FE4D52"/>
    <w:multiLevelType w:val="hybridMultilevel"/>
    <w:tmpl w:val="2EAA9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677E7"/>
    <w:multiLevelType w:val="hybridMultilevel"/>
    <w:tmpl w:val="9C6A25B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B12278"/>
    <w:multiLevelType w:val="hybridMultilevel"/>
    <w:tmpl w:val="3CBC6B3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2E01BC7"/>
    <w:multiLevelType w:val="hybridMultilevel"/>
    <w:tmpl w:val="8BD63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A32CC0"/>
    <w:multiLevelType w:val="hybridMultilevel"/>
    <w:tmpl w:val="01C081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9710A22"/>
    <w:multiLevelType w:val="hybridMultilevel"/>
    <w:tmpl w:val="CBEC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452110"/>
    <w:multiLevelType w:val="hybridMultilevel"/>
    <w:tmpl w:val="1422C6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3B2230"/>
    <w:multiLevelType w:val="hybridMultilevel"/>
    <w:tmpl w:val="987A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9B4F4A"/>
    <w:multiLevelType w:val="hybridMultilevel"/>
    <w:tmpl w:val="23A2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643D0E"/>
    <w:multiLevelType w:val="hybridMultilevel"/>
    <w:tmpl w:val="C5F2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607E9"/>
    <w:multiLevelType w:val="hybridMultilevel"/>
    <w:tmpl w:val="C2DCF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E2402B"/>
    <w:multiLevelType w:val="hybridMultilevel"/>
    <w:tmpl w:val="E9F27F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2113B25"/>
    <w:multiLevelType w:val="hybridMultilevel"/>
    <w:tmpl w:val="87BCA0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F359B7"/>
    <w:multiLevelType w:val="hybridMultilevel"/>
    <w:tmpl w:val="08727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E96D5E"/>
    <w:multiLevelType w:val="hybridMultilevel"/>
    <w:tmpl w:val="06462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251D6C"/>
    <w:multiLevelType w:val="hybridMultilevel"/>
    <w:tmpl w:val="56546A94"/>
    <w:lvl w:ilvl="0" w:tplc="B28408D0">
      <w:numFmt w:val="bullet"/>
      <w:lvlText w:val="-"/>
      <w:lvlJc w:val="left"/>
      <w:pPr>
        <w:ind w:left="720" w:hanging="360"/>
      </w:pPr>
      <w:rPr>
        <w:rFonts w:ascii="Avenir Next LT Pro" w:eastAsiaTheme="minorHAnsi" w:hAnsi="Avenir Next LT Pro"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003350"/>
    <w:multiLevelType w:val="hybridMultilevel"/>
    <w:tmpl w:val="61A8C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8C478E"/>
    <w:multiLevelType w:val="hybridMultilevel"/>
    <w:tmpl w:val="C7C4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4C0D2E"/>
    <w:multiLevelType w:val="hybridMultilevel"/>
    <w:tmpl w:val="C26406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49F7E46"/>
    <w:multiLevelType w:val="hybridMultilevel"/>
    <w:tmpl w:val="142EA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6540E5"/>
    <w:multiLevelType w:val="hybridMultilevel"/>
    <w:tmpl w:val="D9B8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13A57"/>
    <w:multiLevelType w:val="hybridMultilevel"/>
    <w:tmpl w:val="C1F43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7E6988"/>
    <w:multiLevelType w:val="hybridMultilevel"/>
    <w:tmpl w:val="AAF8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F46306"/>
    <w:multiLevelType w:val="hybridMultilevel"/>
    <w:tmpl w:val="3A5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32491F"/>
    <w:multiLevelType w:val="hybridMultilevel"/>
    <w:tmpl w:val="C1243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8953151">
    <w:abstractNumId w:val="28"/>
  </w:num>
  <w:num w:numId="2" w16cid:durableId="409011989">
    <w:abstractNumId w:val="29"/>
  </w:num>
  <w:num w:numId="3" w16cid:durableId="957954093">
    <w:abstractNumId w:val="27"/>
  </w:num>
  <w:num w:numId="4" w16cid:durableId="1141314758">
    <w:abstractNumId w:val="15"/>
  </w:num>
  <w:num w:numId="5" w16cid:durableId="1573468765">
    <w:abstractNumId w:val="22"/>
  </w:num>
  <w:num w:numId="6" w16cid:durableId="580019529">
    <w:abstractNumId w:val="32"/>
  </w:num>
  <w:num w:numId="7" w16cid:durableId="663553149">
    <w:abstractNumId w:val="26"/>
  </w:num>
  <w:num w:numId="8" w16cid:durableId="779490262">
    <w:abstractNumId w:val="17"/>
  </w:num>
  <w:num w:numId="9" w16cid:durableId="945429239">
    <w:abstractNumId w:val="11"/>
  </w:num>
  <w:num w:numId="10" w16cid:durableId="460268029">
    <w:abstractNumId w:val="4"/>
  </w:num>
  <w:num w:numId="11" w16cid:durableId="1085684360">
    <w:abstractNumId w:val="12"/>
  </w:num>
  <w:num w:numId="12" w16cid:durableId="1350060062">
    <w:abstractNumId w:val="31"/>
  </w:num>
  <w:num w:numId="13" w16cid:durableId="799998772">
    <w:abstractNumId w:val="5"/>
  </w:num>
  <w:num w:numId="14" w16cid:durableId="1265382739">
    <w:abstractNumId w:val="0"/>
  </w:num>
  <w:num w:numId="15" w16cid:durableId="1446272219">
    <w:abstractNumId w:val="6"/>
  </w:num>
  <w:num w:numId="16" w16cid:durableId="1448892613">
    <w:abstractNumId w:val="19"/>
  </w:num>
  <w:num w:numId="17" w16cid:durableId="124784565">
    <w:abstractNumId w:val="21"/>
  </w:num>
  <w:num w:numId="18" w16cid:durableId="1784298925">
    <w:abstractNumId w:val="23"/>
  </w:num>
  <w:num w:numId="19" w16cid:durableId="1165826209">
    <w:abstractNumId w:val="7"/>
  </w:num>
  <w:num w:numId="20" w16cid:durableId="1025251537">
    <w:abstractNumId w:val="18"/>
  </w:num>
  <w:num w:numId="21" w16cid:durableId="11567009">
    <w:abstractNumId w:val="1"/>
  </w:num>
  <w:num w:numId="22" w16cid:durableId="814355">
    <w:abstractNumId w:val="3"/>
  </w:num>
  <w:num w:numId="23" w16cid:durableId="867527322">
    <w:abstractNumId w:val="25"/>
  </w:num>
  <w:num w:numId="24" w16cid:durableId="1481462301">
    <w:abstractNumId w:val="2"/>
  </w:num>
  <w:num w:numId="25" w16cid:durableId="1283145840">
    <w:abstractNumId w:val="20"/>
  </w:num>
  <w:num w:numId="26" w16cid:durableId="78911283">
    <w:abstractNumId w:val="16"/>
  </w:num>
  <w:num w:numId="27" w16cid:durableId="1630937214">
    <w:abstractNumId w:val="14"/>
  </w:num>
  <w:num w:numId="28" w16cid:durableId="435447085">
    <w:abstractNumId w:val="10"/>
  </w:num>
  <w:num w:numId="29" w16cid:durableId="1797285731">
    <w:abstractNumId w:val="8"/>
  </w:num>
  <w:num w:numId="30" w16cid:durableId="1597640474">
    <w:abstractNumId w:val="9"/>
  </w:num>
  <w:num w:numId="31" w16cid:durableId="1460879173">
    <w:abstractNumId w:val="33"/>
  </w:num>
  <w:num w:numId="32" w16cid:durableId="1901744589">
    <w:abstractNumId w:val="30"/>
  </w:num>
  <w:num w:numId="33" w16cid:durableId="82798060">
    <w:abstractNumId w:val="24"/>
  </w:num>
  <w:num w:numId="34" w16cid:durableId="10909286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D3"/>
    <w:rsid w:val="000004FE"/>
    <w:rsid w:val="0000110F"/>
    <w:rsid w:val="000019CC"/>
    <w:rsid w:val="00001B1E"/>
    <w:rsid w:val="000023AC"/>
    <w:rsid w:val="00002A4F"/>
    <w:rsid w:val="00003B37"/>
    <w:rsid w:val="000042BF"/>
    <w:rsid w:val="00004B70"/>
    <w:rsid w:val="00004BBE"/>
    <w:rsid w:val="0000533B"/>
    <w:rsid w:val="00005A33"/>
    <w:rsid w:val="00006208"/>
    <w:rsid w:val="000062F4"/>
    <w:rsid w:val="0000729C"/>
    <w:rsid w:val="000072B2"/>
    <w:rsid w:val="00010478"/>
    <w:rsid w:val="00011376"/>
    <w:rsid w:val="000114A0"/>
    <w:rsid w:val="00011A1E"/>
    <w:rsid w:val="00012665"/>
    <w:rsid w:val="0001307E"/>
    <w:rsid w:val="000148E1"/>
    <w:rsid w:val="00014981"/>
    <w:rsid w:val="00014C80"/>
    <w:rsid w:val="00015A6D"/>
    <w:rsid w:val="00016BE4"/>
    <w:rsid w:val="00016D5F"/>
    <w:rsid w:val="000172F2"/>
    <w:rsid w:val="00017D7D"/>
    <w:rsid w:val="00020CAF"/>
    <w:rsid w:val="00022148"/>
    <w:rsid w:val="00023324"/>
    <w:rsid w:val="000233C8"/>
    <w:rsid w:val="00023DC0"/>
    <w:rsid w:val="00023EB5"/>
    <w:rsid w:val="000244D8"/>
    <w:rsid w:val="00024A91"/>
    <w:rsid w:val="00025198"/>
    <w:rsid w:val="00025A75"/>
    <w:rsid w:val="00025D5D"/>
    <w:rsid w:val="00026453"/>
    <w:rsid w:val="000266C5"/>
    <w:rsid w:val="00027340"/>
    <w:rsid w:val="000309E2"/>
    <w:rsid w:val="00030D22"/>
    <w:rsid w:val="000310E7"/>
    <w:rsid w:val="00031740"/>
    <w:rsid w:val="0003197E"/>
    <w:rsid w:val="0003403C"/>
    <w:rsid w:val="00034280"/>
    <w:rsid w:val="000349D7"/>
    <w:rsid w:val="00034F58"/>
    <w:rsid w:val="00035000"/>
    <w:rsid w:val="000353E3"/>
    <w:rsid w:val="00035741"/>
    <w:rsid w:val="00036156"/>
    <w:rsid w:val="0003620E"/>
    <w:rsid w:val="0003672F"/>
    <w:rsid w:val="000367CB"/>
    <w:rsid w:val="00037428"/>
    <w:rsid w:val="000374B4"/>
    <w:rsid w:val="00037716"/>
    <w:rsid w:val="00037BD6"/>
    <w:rsid w:val="00040343"/>
    <w:rsid w:val="00040F68"/>
    <w:rsid w:val="000417EF"/>
    <w:rsid w:val="0004206C"/>
    <w:rsid w:val="0004486B"/>
    <w:rsid w:val="000449B3"/>
    <w:rsid w:val="00045A16"/>
    <w:rsid w:val="00045E44"/>
    <w:rsid w:val="00045ECD"/>
    <w:rsid w:val="00047EE0"/>
    <w:rsid w:val="00050A6C"/>
    <w:rsid w:val="000515D0"/>
    <w:rsid w:val="000528F8"/>
    <w:rsid w:val="00052D90"/>
    <w:rsid w:val="00053CB3"/>
    <w:rsid w:val="00054310"/>
    <w:rsid w:val="00054BCC"/>
    <w:rsid w:val="0005706D"/>
    <w:rsid w:val="0005721F"/>
    <w:rsid w:val="00057C8E"/>
    <w:rsid w:val="000600B7"/>
    <w:rsid w:val="00060925"/>
    <w:rsid w:val="00061E41"/>
    <w:rsid w:val="00062291"/>
    <w:rsid w:val="00062619"/>
    <w:rsid w:val="00063B92"/>
    <w:rsid w:val="00063E61"/>
    <w:rsid w:val="00064FC3"/>
    <w:rsid w:val="00065AE0"/>
    <w:rsid w:val="00065D22"/>
    <w:rsid w:val="00066803"/>
    <w:rsid w:val="00066F67"/>
    <w:rsid w:val="00067B11"/>
    <w:rsid w:val="00067BC8"/>
    <w:rsid w:val="00070CC6"/>
    <w:rsid w:val="00071A7B"/>
    <w:rsid w:val="00071B9F"/>
    <w:rsid w:val="00073A9B"/>
    <w:rsid w:val="00075111"/>
    <w:rsid w:val="000760F3"/>
    <w:rsid w:val="00076404"/>
    <w:rsid w:val="00076D2F"/>
    <w:rsid w:val="0008037A"/>
    <w:rsid w:val="0008199D"/>
    <w:rsid w:val="00081E33"/>
    <w:rsid w:val="00081F97"/>
    <w:rsid w:val="00082197"/>
    <w:rsid w:val="00082F71"/>
    <w:rsid w:val="0008312A"/>
    <w:rsid w:val="000831D4"/>
    <w:rsid w:val="00083322"/>
    <w:rsid w:val="00083AD1"/>
    <w:rsid w:val="00083C64"/>
    <w:rsid w:val="00083E76"/>
    <w:rsid w:val="000845C4"/>
    <w:rsid w:val="00084B96"/>
    <w:rsid w:val="00084C30"/>
    <w:rsid w:val="000856BA"/>
    <w:rsid w:val="00086526"/>
    <w:rsid w:val="000902CE"/>
    <w:rsid w:val="00091C5A"/>
    <w:rsid w:val="00092AC2"/>
    <w:rsid w:val="0009302F"/>
    <w:rsid w:val="00093086"/>
    <w:rsid w:val="00093172"/>
    <w:rsid w:val="00093A15"/>
    <w:rsid w:val="000954E0"/>
    <w:rsid w:val="00095AEF"/>
    <w:rsid w:val="00096F31"/>
    <w:rsid w:val="00097064"/>
    <w:rsid w:val="0009756B"/>
    <w:rsid w:val="00097ED1"/>
    <w:rsid w:val="000A0DAF"/>
    <w:rsid w:val="000A17FB"/>
    <w:rsid w:val="000A2AE9"/>
    <w:rsid w:val="000A2F5C"/>
    <w:rsid w:val="000A35CB"/>
    <w:rsid w:val="000A403E"/>
    <w:rsid w:val="000A417E"/>
    <w:rsid w:val="000A4BA5"/>
    <w:rsid w:val="000A4DBA"/>
    <w:rsid w:val="000A77D4"/>
    <w:rsid w:val="000A782A"/>
    <w:rsid w:val="000A7AC8"/>
    <w:rsid w:val="000A7AFD"/>
    <w:rsid w:val="000A7D37"/>
    <w:rsid w:val="000B076D"/>
    <w:rsid w:val="000B07A6"/>
    <w:rsid w:val="000B08A2"/>
    <w:rsid w:val="000B17A3"/>
    <w:rsid w:val="000B3366"/>
    <w:rsid w:val="000B347B"/>
    <w:rsid w:val="000B34E7"/>
    <w:rsid w:val="000B358F"/>
    <w:rsid w:val="000B39F3"/>
    <w:rsid w:val="000B3A29"/>
    <w:rsid w:val="000B4099"/>
    <w:rsid w:val="000B42B1"/>
    <w:rsid w:val="000B456A"/>
    <w:rsid w:val="000B505A"/>
    <w:rsid w:val="000B5118"/>
    <w:rsid w:val="000B5C89"/>
    <w:rsid w:val="000B5D7E"/>
    <w:rsid w:val="000B66EB"/>
    <w:rsid w:val="000B675F"/>
    <w:rsid w:val="000C0BE8"/>
    <w:rsid w:val="000C0E11"/>
    <w:rsid w:val="000C1AE0"/>
    <w:rsid w:val="000C2967"/>
    <w:rsid w:val="000C2E78"/>
    <w:rsid w:val="000C45EA"/>
    <w:rsid w:val="000C46FE"/>
    <w:rsid w:val="000C4CCB"/>
    <w:rsid w:val="000C512A"/>
    <w:rsid w:val="000C55EB"/>
    <w:rsid w:val="000C61A2"/>
    <w:rsid w:val="000C670C"/>
    <w:rsid w:val="000C69BD"/>
    <w:rsid w:val="000D0494"/>
    <w:rsid w:val="000D06C0"/>
    <w:rsid w:val="000D08B7"/>
    <w:rsid w:val="000D12A4"/>
    <w:rsid w:val="000D1C12"/>
    <w:rsid w:val="000D1F34"/>
    <w:rsid w:val="000D47C6"/>
    <w:rsid w:val="000D4B0F"/>
    <w:rsid w:val="000D587B"/>
    <w:rsid w:val="000D5A5E"/>
    <w:rsid w:val="000D5CE5"/>
    <w:rsid w:val="000D5D30"/>
    <w:rsid w:val="000D62D8"/>
    <w:rsid w:val="000D6F99"/>
    <w:rsid w:val="000D76E6"/>
    <w:rsid w:val="000D7A45"/>
    <w:rsid w:val="000E0099"/>
    <w:rsid w:val="000E12A9"/>
    <w:rsid w:val="000E2454"/>
    <w:rsid w:val="000E2B37"/>
    <w:rsid w:val="000E2E18"/>
    <w:rsid w:val="000E3BB1"/>
    <w:rsid w:val="000E4323"/>
    <w:rsid w:val="000E4748"/>
    <w:rsid w:val="000E4D1C"/>
    <w:rsid w:val="000E5188"/>
    <w:rsid w:val="000E5231"/>
    <w:rsid w:val="000E582F"/>
    <w:rsid w:val="000E6C42"/>
    <w:rsid w:val="000E6D63"/>
    <w:rsid w:val="000E766E"/>
    <w:rsid w:val="000E773A"/>
    <w:rsid w:val="000F0483"/>
    <w:rsid w:val="000F08EB"/>
    <w:rsid w:val="000F099D"/>
    <w:rsid w:val="000F0A82"/>
    <w:rsid w:val="000F1284"/>
    <w:rsid w:val="000F2006"/>
    <w:rsid w:val="000F247B"/>
    <w:rsid w:val="000F2E19"/>
    <w:rsid w:val="000F3EF0"/>
    <w:rsid w:val="000F3FB3"/>
    <w:rsid w:val="000F41D9"/>
    <w:rsid w:val="000F4969"/>
    <w:rsid w:val="000F4A01"/>
    <w:rsid w:val="000F505C"/>
    <w:rsid w:val="000F6576"/>
    <w:rsid w:val="00100030"/>
    <w:rsid w:val="001004E7"/>
    <w:rsid w:val="00100905"/>
    <w:rsid w:val="001017EE"/>
    <w:rsid w:val="00101FC4"/>
    <w:rsid w:val="00102632"/>
    <w:rsid w:val="00102C79"/>
    <w:rsid w:val="00102FF8"/>
    <w:rsid w:val="001031DD"/>
    <w:rsid w:val="001035AE"/>
    <w:rsid w:val="00104957"/>
    <w:rsid w:val="0010523A"/>
    <w:rsid w:val="0010563C"/>
    <w:rsid w:val="00105821"/>
    <w:rsid w:val="001061DA"/>
    <w:rsid w:val="0010663E"/>
    <w:rsid w:val="00106B4A"/>
    <w:rsid w:val="00110238"/>
    <w:rsid w:val="00111E0F"/>
    <w:rsid w:val="0011225B"/>
    <w:rsid w:val="0011245E"/>
    <w:rsid w:val="001124EE"/>
    <w:rsid w:val="00112616"/>
    <w:rsid w:val="0011405E"/>
    <w:rsid w:val="00114896"/>
    <w:rsid w:val="00114971"/>
    <w:rsid w:val="001167F7"/>
    <w:rsid w:val="0011722E"/>
    <w:rsid w:val="00117529"/>
    <w:rsid w:val="0012068C"/>
    <w:rsid w:val="00121018"/>
    <w:rsid w:val="00121E1E"/>
    <w:rsid w:val="00122F66"/>
    <w:rsid w:val="001242AF"/>
    <w:rsid w:val="00125264"/>
    <w:rsid w:val="00125A60"/>
    <w:rsid w:val="00126222"/>
    <w:rsid w:val="001273DF"/>
    <w:rsid w:val="00131446"/>
    <w:rsid w:val="00133988"/>
    <w:rsid w:val="00133A28"/>
    <w:rsid w:val="00133B82"/>
    <w:rsid w:val="00133F7D"/>
    <w:rsid w:val="001343CB"/>
    <w:rsid w:val="001353C6"/>
    <w:rsid w:val="001356DD"/>
    <w:rsid w:val="00135C1E"/>
    <w:rsid w:val="001361EE"/>
    <w:rsid w:val="001361FE"/>
    <w:rsid w:val="0013683D"/>
    <w:rsid w:val="0013786D"/>
    <w:rsid w:val="001404FD"/>
    <w:rsid w:val="00140E84"/>
    <w:rsid w:val="00142ABF"/>
    <w:rsid w:val="00142E80"/>
    <w:rsid w:val="001432B6"/>
    <w:rsid w:val="00144110"/>
    <w:rsid w:val="00144366"/>
    <w:rsid w:val="0014475A"/>
    <w:rsid w:val="00144764"/>
    <w:rsid w:val="00144B7C"/>
    <w:rsid w:val="00144FA9"/>
    <w:rsid w:val="00145C50"/>
    <w:rsid w:val="00146035"/>
    <w:rsid w:val="00147979"/>
    <w:rsid w:val="00147B0D"/>
    <w:rsid w:val="00150AF2"/>
    <w:rsid w:val="0015130F"/>
    <w:rsid w:val="00151782"/>
    <w:rsid w:val="001520B1"/>
    <w:rsid w:val="00152376"/>
    <w:rsid w:val="00153EE6"/>
    <w:rsid w:val="001551EA"/>
    <w:rsid w:val="00157655"/>
    <w:rsid w:val="00157AE1"/>
    <w:rsid w:val="00161117"/>
    <w:rsid w:val="001640FD"/>
    <w:rsid w:val="001643B4"/>
    <w:rsid w:val="001643C8"/>
    <w:rsid w:val="00165E81"/>
    <w:rsid w:val="00167A0C"/>
    <w:rsid w:val="00167C27"/>
    <w:rsid w:val="00167CFE"/>
    <w:rsid w:val="00170305"/>
    <w:rsid w:val="00170FDF"/>
    <w:rsid w:val="00171648"/>
    <w:rsid w:val="0017178D"/>
    <w:rsid w:val="0017191E"/>
    <w:rsid w:val="00172945"/>
    <w:rsid w:val="00172C84"/>
    <w:rsid w:val="00173252"/>
    <w:rsid w:val="00174330"/>
    <w:rsid w:val="00174795"/>
    <w:rsid w:val="001754A6"/>
    <w:rsid w:val="00176049"/>
    <w:rsid w:val="0017604D"/>
    <w:rsid w:val="00176A7F"/>
    <w:rsid w:val="00176E05"/>
    <w:rsid w:val="00176F07"/>
    <w:rsid w:val="0017746A"/>
    <w:rsid w:val="00177996"/>
    <w:rsid w:val="00180301"/>
    <w:rsid w:val="001824DC"/>
    <w:rsid w:val="00182FC1"/>
    <w:rsid w:val="00185796"/>
    <w:rsid w:val="001859FC"/>
    <w:rsid w:val="001866F3"/>
    <w:rsid w:val="00186928"/>
    <w:rsid w:val="001869AD"/>
    <w:rsid w:val="00186BE7"/>
    <w:rsid w:val="00187536"/>
    <w:rsid w:val="00187671"/>
    <w:rsid w:val="00190697"/>
    <w:rsid w:val="00190BA0"/>
    <w:rsid w:val="00191622"/>
    <w:rsid w:val="001928F2"/>
    <w:rsid w:val="00192F46"/>
    <w:rsid w:val="00193273"/>
    <w:rsid w:val="0019475B"/>
    <w:rsid w:val="00195034"/>
    <w:rsid w:val="00196324"/>
    <w:rsid w:val="00196E8B"/>
    <w:rsid w:val="00197339"/>
    <w:rsid w:val="001A0315"/>
    <w:rsid w:val="001A177F"/>
    <w:rsid w:val="001A224B"/>
    <w:rsid w:val="001A2779"/>
    <w:rsid w:val="001A307C"/>
    <w:rsid w:val="001A43C6"/>
    <w:rsid w:val="001A454D"/>
    <w:rsid w:val="001A5304"/>
    <w:rsid w:val="001A544C"/>
    <w:rsid w:val="001A5E89"/>
    <w:rsid w:val="001A6197"/>
    <w:rsid w:val="001A61E2"/>
    <w:rsid w:val="001A6719"/>
    <w:rsid w:val="001A6AA3"/>
    <w:rsid w:val="001A712E"/>
    <w:rsid w:val="001A7D31"/>
    <w:rsid w:val="001B10E9"/>
    <w:rsid w:val="001B116A"/>
    <w:rsid w:val="001B22D9"/>
    <w:rsid w:val="001B233A"/>
    <w:rsid w:val="001B2616"/>
    <w:rsid w:val="001B2C04"/>
    <w:rsid w:val="001B30BD"/>
    <w:rsid w:val="001B4465"/>
    <w:rsid w:val="001B4CC0"/>
    <w:rsid w:val="001B710B"/>
    <w:rsid w:val="001C02D9"/>
    <w:rsid w:val="001C15ED"/>
    <w:rsid w:val="001C1C85"/>
    <w:rsid w:val="001C251C"/>
    <w:rsid w:val="001C3686"/>
    <w:rsid w:val="001C36A8"/>
    <w:rsid w:val="001C3E32"/>
    <w:rsid w:val="001C4FA7"/>
    <w:rsid w:val="001C5132"/>
    <w:rsid w:val="001C6306"/>
    <w:rsid w:val="001C6AB7"/>
    <w:rsid w:val="001D0536"/>
    <w:rsid w:val="001D0F5B"/>
    <w:rsid w:val="001D21DF"/>
    <w:rsid w:val="001D2951"/>
    <w:rsid w:val="001D673E"/>
    <w:rsid w:val="001D67DE"/>
    <w:rsid w:val="001D748C"/>
    <w:rsid w:val="001D7D26"/>
    <w:rsid w:val="001E02F1"/>
    <w:rsid w:val="001E0489"/>
    <w:rsid w:val="001E45D9"/>
    <w:rsid w:val="001E4678"/>
    <w:rsid w:val="001E5001"/>
    <w:rsid w:val="001E5BA2"/>
    <w:rsid w:val="001E7255"/>
    <w:rsid w:val="001E73B3"/>
    <w:rsid w:val="001E7925"/>
    <w:rsid w:val="001F0642"/>
    <w:rsid w:val="001F08D0"/>
    <w:rsid w:val="001F0C17"/>
    <w:rsid w:val="001F18E9"/>
    <w:rsid w:val="001F1D2B"/>
    <w:rsid w:val="001F1FAA"/>
    <w:rsid w:val="001F26B2"/>
    <w:rsid w:val="001F306B"/>
    <w:rsid w:val="001F30E2"/>
    <w:rsid w:val="001F38E4"/>
    <w:rsid w:val="001F49F9"/>
    <w:rsid w:val="001F51A9"/>
    <w:rsid w:val="001F5A11"/>
    <w:rsid w:val="002010EB"/>
    <w:rsid w:val="002011A1"/>
    <w:rsid w:val="00202BDC"/>
    <w:rsid w:val="00202C12"/>
    <w:rsid w:val="00204EA5"/>
    <w:rsid w:val="00204FB8"/>
    <w:rsid w:val="00206342"/>
    <w:rsid w:val="002074E0"/>
    <w:rsid w:val="00207650"/>
    <w:rsid w:val="002103D0"/>
    <w:rsid w:val="00211250"/>
    <w:rsid w:val="002115A7"/>
    <w:rsid w:val="00211F0C"/>
    <w:rsid w:val="00212DA1"/>
    <w:rsid w:val="0021473F"/>
    <w:rsid w:val="002147F2"/>
    <w:rsid w:val="00214F2A"/>
    <w:rsid w:val="00215280"/>
    <w:rsid w:val="0021623B"/>
    <w:rsid w:val="002174A5"/>
    <w:rsid w:val="0022087A"/>
    <w:rsid w:val="00221FC0"/>
    <w:rsid w:val="00222162"/>
    <w:rsid w:val="00222975"/>
    <w:rsid w:val="00222F55"/>
    <w:rsid w:val="0022350C"/>
    <w:rsid w:val="00223E4F"/>
    <w:rsid w:val="00224285"/>
    <w:rsid w:val="0022494B"/>
    <w:rsid w:val="00224FB0"/>
    <w:rsid w:val="0022532E"/>
    <w:rsid w:val="00225CFE"/>
    <w:rsid w:val="00226E62"/>
    <w:rsid w:val="00227D5A"/>
    <w:rsid w:val="0022D70E"/>
    <w:rsid w:val="002306CF"/>
    <w:rsid w:val="0023201F"/>
    <w:rsid w:val="00236612"/>
    <w:rsid w:val="00236DED"/>
    <w:rsid w:val="00236F05"/>
    <w:rsid w:val="002373E2"/>
    <w:rsid w:val="002376F1"/>
    <w:rsid w:val="002378E5"/>
    <w:rsid w:val="00240517"/>
    <w:rsid w:val="00240D90"/>
    <w:rsid w:val="002426B3"/>
    <w:rsid w:val="00243E87"/>
    <w:rsid w:val="00243FB3"/>
    <w:rsid w:val="00245981"/>
    <w:rsid w:val="00245C7B"/>
    <w:rsid w:val="00246AD8"/>
    <w:rsid w:val="00246BB7"/>
    <w:rsid w:val="00246DCA"/>
    <w:rsid w:val="00247082"/>
    <w:rsid w:val="0024762F"/>
    <w:rsid w:val="002478A1"/>
    <w:rsid w:val="0025150A"/>
    <w:rsid w:val="00251A0E"/>
    <w:rsid w:val="00251AC5"/>
    <w:rsid w:val="002520DE"/>
    <w:rsid w:val="0025305F"/>
    <w:rsid w:val="0025378F"/>
    <w:rsid w:val="00253A24"/>
    <w:rsid w:val="00254CB0"/>
    <w:rsid w:val="002559C2"/>
    <w:rsid w:val="00255E4F"/>
    <w:rsid w:val="0025629B"/>
    <w:rsid w:val="002569B9"/>
    <w:rsid w:val="00256A92"/>
    <w:rsid w:val="0025706F"/>
    <w:rsid w:val="00257324"/>
    <w:rsid w:val="00261B5D"/>
    <w:rsid w:val="00262C90"/>
    <w:rsid w:val="00263806"/>
    <w:rsid w:val="00264748"/>
    <w:rsid w:val="00264805"/>
    <w:rsid w:val="00264A75"/>
    <w:rsid w:val="00264D74"/>
    <w:rsid w:val="00264DAB"/>
    <w:rsid w:val="0026600B"/>
    <w:rsid w:val="00266E5F"/>
    <w:rsid w:val="0026736C"/>
    <w:rsid w:val="00270EA5"/>
    <w:rsid w:val="0027218E"/>
    <w:rsid w:val="002726D7"/>
    <w:rsid w:val="002726D8"/>
    <w:rsid w:val="00272D3E"/>
    <w:rsid w:val="00275C63"/>
    <w:rsid w:val="00276949"/>
    <w:rsid w:val="00276AF6"/>
    <w:rsid w:val="002773E5"/>
    <w:rsid w:val="0027769D"/>
    <w:rsid w:val="00280A82"/>
    <w:rsid w:val="00282963"/>
    <w:rsid w:val="00282989"/>
    <w:rsid w:val="0028382F"/>
    <w:rsid w:val="00284004"/>
    <w:rsid w:val="0028430B"/>
    <w:rsid w:val="00284FB5"/>
    <w:rsid w:val="00285ADC"/>
    <w:rsid w:val="0028614E"/>
    <w:rsid w:val="00286E3D"/>
    <w:rsid w:val="00286F92"/>
    <w:rsid w:val="00287381"/>
    <w:rsid w:val="0029122A"/>
    <w:rsid w:val="002912EB"/>
    <w:rsid w:val="002917AD"/>
    <w:rsid w:val="00292066"/>
    <w:rsid w:val="00293466"/>
    <w:rsid w:val="0029368D"/>
    <w:rsid w:val="0029388C"/>
    <w:rsid w:val="002947FC"/>
    <w:rsid w:val="00294E6F"/>
    <w:rsid w:val="00295520"/>
    <w:rsid w:val="00295D6A"/>
    <w:rsid w:val="002979EC"/>
    <w:rsid w:val="002A017E"/>
    <w:rsid w:val="002A0446"/>
    <w:rsid w:val="002A08F9"/>
    <w:rsid w:val="002A118F"/>
    <w:rsid w:val="002A1393"/>
    <w:rsid w:val="002A1998"/>
    <w:rsid w:val="002A1C57"/>
    <w:rsid w:val="002A3763"/>
    <w:rsid w:val="002A4D5F"/>
    <w:rsid w:val="002A550A"/>
    <w:rsid w:val="002A64AD"/>
    <w:rsid w:val="002A720B"/>
    <w:rsid w:val="002A75E3"/>
    <w:rsid w:val="002A79B3"/>
    <w:rsid w:val="002B1C2B"/>
    <w:rsid w:val="002B1DAB"/>
    <w:rsid w:val="002B2415"/>
    <w:rsid w:val="002B2478"/>
    <w:rsid w:val="002B4920"/>
    <w:rsid w:val="002B4FDA"/>
    <w:rsid w:val="002B5EF9"/>
    <w:rsid w:val="002B6262"/>
    <w:rsid w:val="002B6A36"/>
    <w:rsid w:val="002C0E98"/>
    <w:rsid w:val="002C234C"/>
    <w:rsid w:val="002C27E6"/>
    <w:rsid w:val="002C5D56"/>
    <w:rsid w:val="002C67B4"/>
    <w:rsid w:val="002C71C0"/>
    <w:rsid w:val="002D1D19"/>
    <w:rsid w:val="002D1D55"/>
    <w:rsid w:val="002D1F2A"/>
    <w:rsid w:val="002D209E"/>
    <w:rsid w:val="002D2741"/>
    <w:rsid w:val="002D29E0"/>
    <w:rsid w:val="002D3B5A"/>
    <w:rsid w:val="002D4175"/>
    <w:rsid w:val="002D4C2A"/>
    <w:rsid w:val="002D4DBD"/>
    <w:rsid w:val="002D6411"/>
    <w:rsid w:val="002D6BAA"/>
    <w:rsid w:val="002D76B9"/>
    <w:rsid w:val="002D7CE5"/>
    <w:rsid w:val="002D7F8D"/>
    <w:rsid w:val="002E01E9"/>
    <w:rsid w:val="002E04D1"/>
    <w:rsid w:val="002E0CFE"/>
    <w:rsid w:val="002E1984"/>
    <w:rsid w:val="002E29E0"/>
    <w:rsid w:val="002E3AD0"/>
    <w:rsid w:val="002E3DB0"/>
    <w:rsid w:val="002E4B30"/>
    <w:rsid w:val="002E50B7"/>
    <w:rsid w:val="002E57B3"/>
    <w:rsid w:val="002E5EE1"/>
    <w:rsid w:val="002E732B"/>
    <w:rsid w:val="002E76B2"/>
    <w:rsid w:val="002E7809"/>
    <w:rsid w:val="002F0117"/>
    <w:rsid w:val="002F01BB"/>
    <w:rsid w:val="002F0DA9"/>
    <w:rsid w:val="002F26F4"/>
    <w:rsid w:val="002F2A07"/>
    <w:rsid w:val="002F3A61"/>
    <w:rsid w:val="002F4138"/>
    <w:rsid w:val="002F432E"/>
    <w:rsid w:val="002F4C65"/>
    <w:rsid w:val="002F4D14"/>
    <w:rsid w:val="002F5644"/>
    <w:rsid w:val="002F5E17"/>
    <w:rsid w:val="002F6B94"/>
    <w:rsid w:val="002F780F"/>
    <w:rsid w:val="002F7B62"/>
    <w:rsid w:val="002F7FE8"/>
    <w:rsid w:val="003000EE"/>
    <w:rsid w:val="00301732"/>
    <w:rsid w:val="0030297B"/>
    <w:rsid w:val="00302DB6"/>
    <w:rsid w:val="00302E98"/>
    <w:rsid w:val="003033B2"/>
    <w:rsid w:val="00303740"/>
    <w:rsid w:val="00303D51"/>
    <w:rsid w:val="00303E52"/>
    <w:rsid w:val="00304C1A"/>
    <w:rsid w:val="003054B0"/>
    <w:rsid w:val="003064C4"/>
    <w:rsid w:val="00307D32"/>
    <w:rsid w:val="00307F20"/>
    <w:rsid w:val="00310C79"/>
    <w:rsid w:val="003117D5"/>
    <w:rsid w:val="0031295A"/>
    <w:rsid w:val="00313BC7"/>
    <w:rsid w:val="00313C56"/>
    <w:rsid w:val="00315605"/>
    <w:rsid w:val="003156B4"/>
    <w:rsid w:val="00320251"/>
    <w:rsid w:val="00320677"/>
    <w:rsid w:val="00320837"/>
    <w:rsid w:val="00321684"/>
    <w:rsid w:val="00322083"/>
    <w:rsid w:val="003225E2"/>
    <w:rsid w:val="00324C69"/>
    <w:rsid w:val="00326F1C"/>
    <w:rsid w:val="003274BD"/>
    <w:rsid w:val="00327507"/>
    <w:rsid w:val="00327E19"/>
    <w:rsid w:val="003312F1"/>
    <w:rsid w:val="00331753"/>
    <w:rsid w:val="00332BA4"/>
    <w:rsid w:val="00332CE9"/>
    <w:rsid w:val="00332FA4"/>
    <w:rsid w:val="0033315C"/>
    <w:rsid w:val="00334520"/>
    <w:rsid w:val="00335073"/>
    <w:rsid w:val="0033764C"/>
    <w:rsid w:val="00337FE3"/>
    <w:rsid w:val="00340564"/>
    <w:rsid w:val="00340842"/>
    <w:rsid w:val="00340B26"/>
    <w:rsid w:val="00340D45"/>
    <w:rsid w:val="00341064"/>
    <w:rsid w:val="00343516"/>
    <w:rsid w:val="00343A1F"/>
    <w:rsid w:val="00343C20"/>
    <w:rsid w:val="00344202"/>
    <w:rsid w:val="00344634"/>
    <w:rsid w:val="0034673D"/>
    <w:rsid w:val="0034702B"/>
    <w:rsid w:val="0034742D"/>
    <w:rsid w:val="00347B80"/>
    <w:rsid w:val="00347C9A"/>
    <w:rsid w:val="003507A8"/>
    <w:rsid w:val="00350A72"/>
    <w:rsid w:val="00351BE4"/>
    <w:rsid w:val="00352411"/>
    <w:rsid w:val="00353DB2"/>
    <w:rsid w:val="0035516D"/>
    <w:rsid w:val="00356A05"/>
    <w:rsid w:val="0035761E"/>
    <w:rsid w:val="00357F51"/>
    <w:rsid w:val="00360D1D"/>
    <w:rsid w:val="00360D22"/>
    <w:rsid w:val="0036262E"/>
    <w:rsid w:val="00362748"/>
    <w:rsid w:val="00362856"/>
    <w:rsid w:val="003646DF"/>
    <w:rsid w:val="0036474A"/>
    <w:rsid w:val="0036478D"/>
    <w:rsid w:val="0036561B"/>
    <w:rsid w:val="0036562B"/>
    <w:rsid w:val="003666F0"/>
    <w:rsid w:val="00366A7F"/>
    <w:rsid w:val="00366AE9"/>
    <w:rsid w:val="00367658"/>
    <w:rsid w:val="00367FA0"/>
    <w:rsid w:val="00370065"/>
    <w:rsid w:val="00370689"/>
    <w:rsid w:val="00372132"/>
    <w:rsid w:val="00372803"/>
    <w:rsid w:val="00372A9A"/>
    <w:rsid w:val="00372DED"/>
    <w:rsid w:val="00374023"/>
    <w:rsid w:val="00374A7A"/>
    <w:rsid w:val="00375FBF"/>
    <w:rsid w:val="0037676D"/>
    <w:rsid w:val="00376BD2"/>
    <w:rsid w:val="003801BB"/>
    <w:rsid w:val="003804B9"/>
    <w:rsid w:val="0038100C"/>
    <w:rsid w:val="003816F4"/>
    <w:rsid w:val="0038277F"/>
    <w:rsid w:val="00385DD6"/>
    <w:rsid w:val="00385F91"/>
    <w:rsid w:val="00386D16"/>
    <w:rsid w:val="00387D29"/>
    <w:rsid w:val="0039008B"/>
    <w:rsid w:val="0039074A"/>
    <w:rsid w:val="003908B4"/>
    <w:rsid w:val="00391EEF"/>
    <w:rsid w:val="0039294C"/>
    <w:rsid w:val="00392AB2"/>
    <w:rsid w:val="003943C0"/>
    <w:rsid w:val="00397628"/>
    <w:rsid w:val="00397ED8"/>
    <w:rsid w:val="003A0868"/>
    <w:rsid w:val="003A1036"/>
    <w:rsid w:val="003A1EF1"/>
    <w:rsid w:val="003A2B26"/>
    <w:rsid w:val="003A2D9D"/>
    <w:rsid w:val="003A3BAE"/>
    <w:rsid w:val="003A4238"/>
    <w:rsid w:val="003A4AF1"/>
    <w:rsid w:val="003A54B4"/>
    <w:rsid w:val="003A5BF6"/>
    <w:rsid w:val="003A5DD6"/>
    <w:rsid w:val="003A6BC8"/>
    <w:rsid w:val="003B12AA"/>
    <w:rsid w:val="003B37C1"/>
    <w:rsid w:val="003B48CE"/>
    <w:rsid w:val="003B4A76"/>
    <w:rsid w:val="003B4C4C"/>
    <w:rsid w:val="003B4EAC"/>
    <w:rsid w:val="003B6006"/>
    <w:rsid w:val="003B63AE"/>
    <w:rsid w:val="003B7F88"/>
    <w:rsid w:val="003C130F"/>
    <w:rsid w:val="003C136E"/>
    <w:rsid w:val="003C1A59"/>
    <w:rsid w:val="003C2AD5"/>
    <w:rsid w:val="003C2DF8"/>
    <w:rsid w:val="003C4729"/>
    <w:rsid w:val="003C4AA1"/>
    <w:rsid w:val="003C53E0"/>
    <w:rsid w:val="003C55C9"/>
    <w:rsid w:val="003C561F"/>
    <w:rsid w:val="003C57DE"/>
    <w:rsid w:val="003C61D1"/>
    <w:rsid w:val="003C6689"/>
    <w:rsid w:val="003C78CB"/>
    <w:rsid w:val="003C78E7"/>
    <w:rsid w:val="003C7C88"/>
    <w:rsid w:val="003D051A"/>
    <w:rsid w:val="003D2142"/>
    <w:rsid w:val="003D225D"/>
    <w:rsid w:val="003D25C8"/>
    <w:rsid w:val="003D2F87"/>
    <w:rsid w:val="003D3174"/>
    <w:rsid w:val="003D317E"/>
    <w:rsid w:val="003D4334"/>
    <w:rsid w:val="003D4422"/>
    <w:rsid w:val="003D4CB2"/>
    <w:rsid w:val="003D5643"/>
    <w:rsid w:val="003D5B0C"/>
    <w:rsid w:val="003D5FE1"/>
    <w:rsid w:val="003D6BA4"/>
    <w:rsid w:val="003D7095"/>
    <w:rsid w:val="003D7BBE"/>
    <w:rsid w:val="003E0359"/>
    <w:rsid w:val="003E0C10"/>
    <w:rsid w:val="003E16E3"/>
    <w:rsid w:val="003E2031"/>
    <w:rsid w:val="003E327A"/>
    <w:rsid w:val="003E3496"/>
    <w:rsid w:val="003E35C1"/>
    <w:rsid w:val="003E4496"/>
    <w:rsid w:val="003E44E4"/>
    <w:rsid w:val="003E465C"/>
    <w:rsid w:val="003E4DD1"/>
    <w:rsid w:val="003E4FE2"/>
    <w:rsid w:val="003E5554"/>
    <w:rsid w:val="003E6EBF"/>
    <w:rsid w:val="003E71AC"/>
    <w:rsid w:val="003E7792"/>
    <w:rsid w:val="003F0373"/>
    <w:rsid w:val="003F0652"/>
    <w:rsid w:val="003F0DFB"/>
    <w:rsid w:val="003F0E75"/>
    <w:rsid w:val="003F1C4B"/>
    <w:rsid w:val="003F1FED"/>
    <w:rsid w:val="003F234C"/>
    <w:rsid w:val="003F2493"/>
    <w:rsid w:val="003F2909"/>
    <w:rsid w:val="003F2F6F"/>
    <w:rsid w:val="003F3A3F"/>
    <w:rsid w:val="003F3F20"/>
    <w:rsid w:val="003F49A8"/>
    <w:rsid w:val="003F54EC"/>
    <w:rsid w:val="003F572E"/>
    <w:rsid w:val="003F5CCD"/>
    <w:rsid w:val="003F659C"/>
    <w:rsid w:val="003F6BB8"/>
    <w:rsid w:val="003F6CB4"/>
    <w:rsid w:val="003F78E3"/>
    <w:rsid w:val="003F7A68"/>
    <w:rsid w:val="003F7D52"/>
    <w:rsid w:val="0040227B"/>
    <w:rsid w:val="00402C77"/>
    <w:rsid w:val="00402E2E"/>
    <w:rsid w:val="00404168"/>
    <w:rsid w:val="004046B3"/>
    <w:rsid w:val="00405BD7"/>
    <w:rsid w:val="00405E71"/>
    <w:rsid w:val="00407070"/>
    <w:rsid w:val="00410274"/>
    <w:rsid w:val="00410C12"/>
    <w:rsid w:val="004114DE"/>
    <w:rsid w:val="00411547"/>
    <w:rsid w:val="0041182F"/>
    <w:rsid w:val="00411DE2"/>
    <w:rsid w:val="00412615"/>
    <w:rsid w:val="00412B29"/>
    <w:rsid w:val="00412D32"/>
    <w:rsid w:val="004135B6"/>
    <w:rsid w:val="00413C94"/>
    <w:rsid w:val="004146D5"/>
    <w:rsid w:val="00415A32"/>
    <w:rsid w:val="00416FF4"/>
    <w:rsid w:val="0042151B"/>
    <w:rsid w:val="00421FCF"/>
    <w:rsid w:val="00422270"/>
    <w:rsid w:val="004222D9"/>
    <w:rsid w:val="004225B8"/>
    <w:rsid w:val="00423492"/>
    <w:rsid w:val="0042498A"/>
    <w:rsid w:val="00425028"/>
    <w:rsid w:val="00426D4A"/>
    <w:rsid w:val="00426F45"/>
    <w:rsid w:val="00427A7F"/>
    <w:rsid w:val="004304B3"/>
    <w:rsid w:val="00431A24"/>
    <w:rsid w:val="00431F93"/>
    <w:rsid w:val="0043270B"/>
    <w:rsid w:val="00432FB2"/>
    <w:rsid w:val="00433D7C"/>
    <w:rsid w:val="00434012"/>
    <w:rsid w:val="004343AE"/>
    <w:rsid w:val="00435245"/>
    <w:rsid w:val="004358DE"/>
    <w:rsid w:val="0043591D"/>
    <w:rsid w:val="00436029"/>
    <w:rsid w:val="00436483"/>
    <w:rsid w:val="00436AFD"/>
    <w:rsid w:val="00440C00"/>
    <w:rsid w:val="004416BA"/>
    <w:rsid w:val="00441FC0"/>
    <w:rsid w:val="004429A8"/>
    <w:rsid w:val="00442AC8"/>
    <w:rsid w:val="00442B36"/>
    <w:rsid w:val="0044325C"/>
    <w:rsid w:val="004435FF"/>
    <w:rsid w:val="004448CC"/>
    <w:rsid w:val="00446A4C"/>
    <w:rsid w:val="00446AF2"/>
    <w:rsid w:val="00447DDC"/>
    <w:rsid w:val="004505AC"/>
    <w:rsid w:val="004514B2"/>
    <w:rsid w:val="00451E00"/>
    <w:rsid w:val="00453463"/>
    <w:rsid w:val="0045370D"/>
    <w:rsid w:val="00453870"/>
    <w:rsid w:val="0045572B"/>
    <w:rsid w:val="004557E7"/>
    <w:rsid w:val="00455991"/>
    <w:rsid w:val="00456343"/>
    <w:rsid w:val="00457126"/>
    <w:rsid w:val="00457F88"/>
    <w:rsid w:val="004604AF"/>
    <w:rsid w:val="00460854"/>
    <w:rsid w:val="004608A2"/>
    <w:rsid w:val="004619F7"/>
    <w:rsid w:val="00461A6A"/>
    <w:rsid w:val="00461BA8"/>
    <w:rsid w:val="00461DAC"/>
    <w:rsid w:val="00462609"/>
    <w:rsid w:val="0046296D"/>
    <w:rsid w:val="00465E24"/>
    <w:rsid w:val="00466B2C"/>
    <w:rsid w:val="00471467"/>
    <w:rsid w:val="0047166F"/>
    <w:rsid w:val="00472311"/>
    <w:rsid w:val="00472C4E"/>
    <w:rsid w:val="00472CB0"/>
    <w:rsid w:val="0047302A"/>
    <w:rsid w:val="004761D8"/>
    <w:rsid w:val="00477163"/>
    <w:rsid w:val="004774AE"/>
    <w:rsid w:val="004778B6"/>
    <w:rsid w:val="00481687"/>
    <w:rsid w:val="00481963"/>
    <w:rsid w:val="00481AF0"/>
    <w:rsid w:val="00481D0B"/>
    <w:rsid w:val="00481D6A"/>
    <w:rsid w:val="00481E7F"/>
    <w:rsid w:val="00483A0B"/>
    <w:rsid w:val="00484C4B"/>
    <w:rsid w:val="00486E01"/>
    <w:rsid w:val="00487169"/>
    <w:rsid w:val="0048755E"/>
    <w:rsid w:val="004875F1"/>
    <w:rsid w:val="004875F5"/>
    <w:rsid w:val="0048763B"/>
    <w:rsid w:val="00487B21"/>
    <w:rsid w:val="0049135F"/>
    <w:rsid w:val="004932C8"/>
    <w:rsid w:val="004934EF"/>
    <w:rsid w:val="00493B77"/>
    <w:rsid w:val="00493B97"/>
    <w:rsid w:val="00493D1E"/>
    <w:rsid w:val="004950F9"/>
    <w:rsid w:val="004955A2"/>
    <w:rsid w:val="00496030"/>
    <w:rsid w:val="0049610C"/>
    <w:rsid w:val="00497701"/>
    <w:rsid w:val="004977B5"/>
    <w:rsid w:val="004A2DB2"/>
    <w:rsid w:val="004A2F55"/>
    <w:rsid w:val="004A4180"/>
    <w:rsid w:val="004A5296"/>
    <w:rsid w:val="004A5A35"/>
    <w:rsid w:val="004A5BDA"/>
    <w:rsid w:val="004A5D03"/>
    <w:rsid w:val="004A62C3"/>
    <w:rsid w:val="004A662B"/>
    <w:rsid w:val="004A6BD3"/>
    <w:rsid w:val="004A7892"/>
    <w:rsid w:val="004B0866"/>
    <w:rsid w:val="004B10A7"/>
    <w:rsid w:val="004B1AD5"/>
    <w:rsid w:val="004B268D"/>
    <w:rsid w:val="004B28B0"/>
    <w:rsid w:val="004B4141"/>
    <w:rsid w:val="004B41E7"/>
    <w:rsid w:val="004B4A4D"/>
    <w:rsid w:val="004B5C92"/>
    <w:rsid w:val="004B6281"/>
    <w:rsid w:val="004B6438"/>
    <w:rsid w:val="004C02D8"/>
    <w:rsid w:val="004C0651"/>
    <w:rsid w:val="004C08E9"/>
    <w:rsid w:val="004C0A49"/>
    <w:rsid w:val="004C0B05"/>
    <w:rsid w:val="004C0EAB"/>
    <w:rsid w:val="004C1114"/>
    <w:rsid w:val="004C1A56"/>
    <w:rsid w:val="004C2391"/>
    <w:rsid w:val="004C3926"/>
    <w:rsid w:val="004C3B8D"/>
    <w:rsid w:val="004C5B62"/>
    <w:rsid w:val="004C6C85"/>
    <w:rsid w:val="004C745D"/>
    <w:rsid w:val="004D03F3"/>
    <w:rsid w:val="004D0BD1"/>
    <w:rsid w:val="004D0C7A"/>
    <w:rsid w:val="004D112B"/>
    <w:rsid w:val="004D2259"/>
    <w:rsid w:val="004D3030"/>
    <w:rsid w:val="004D3337"/>
    <w:rsid w:val="004D342A"/>
    <w:rsid w:val="004D3DE3"/>
    <w:rsid w:val="004D475A"/>
    <w:rsid w:val="004D4871"/>
    <w:rsid w:val="004D57CC"/>
    <w:rsid w:val="004D57D9"/>
    <w:rsid w:val="004D66A2"/>
    <w:rsid w:val="004D7131"/>
    <w:rsid w:val="004D7A02"/>
    <w:rsid w:val="004E05A8"/>
    <w:rsid w:val="004E1536"/>
    <w:rsid w:val="004E352B"/>
    <w:rsid w:val="004E3663"/>
    <w:rsid w:val="004E3922"/>
    <w:rsid w:val="004E41F0"/>
    <w:rsid w:val="004E5391"/>
    <w:rsid w:val="004E5902"/>
    <w:rsid w:val="004E5BD2"/>
    <w:rsid w:val="004E6722"/>
    <w:rsid w:val="004F26D1"/>
    <w:rsid w:val="004F2FA6"/>
    <w:rsid w:val="004F452E"/>
    <w:rsid w:val="004F4935"/>
    <w:rsid w:val="004F691F"/>
    <w:rsid w:val="004F6C30"/>
    <w:rsid w:val="004F7AC7"/>
    <w:rsid w:val="004F7B9E"/>
    <w:rsid w:val="00501689"/>
    <w:rsid w:val="00501D34"/>
    <w:rsid w:val="00502FC4"/>
    <w:rsid w:val="00503B32"/>
    <w:rsid w:val="00504FE0"/>
    <w:rsid w:val="005051E5"/>
    <w:rsid w:val="00505CED"/>
    <w:rsid w:val="00506B08"/>
    <w:rsid w:val="00506DDB"/>
    <w:rsid w:val="00512387"/>
    <w:rsid w:val="00512F63"/>
    <w:rsid w:val="00513169"/>
    <w:rsid w:val="005136DB"/>
    <w:rsid w:val="005141B6"/>
    <w:rsid w:val="005144DE"/>
    <w:rsid w:val="00514684"/>
    <w:rsid w:val="005153F8"/>
    <w:rsid w:val="00515AAF"/>
    <w:rsid w:val="00515DCE"/>
    <w:rsid w:val="00515F5F"/>
    <w:rsid w:val="00516266"/>
    <w:rsid w:val="0051642F"/>
    <w:rsid w:val="00516B5C"/>
    <w:rsid w:val="00517B3D"/>
    <w:rsid w:val="00521B88"/>
    <w:rsid w:val="00521E20"/>
    <w:rsid w:val="00521ED1"/>
    <w:rsid w:val="005228C7"/>
    <w:rsid w:val="00523075"/>
    <w:rsid w:val="005234D9"/>
    <w:rsid w:val="005235D3"/>
    <w:rsid w:val="00523D89"/>
    <w:rsid w:val="00523D90"/>
    <w:rsid w:val="0052434A"/>
    <w:rsid w:val="00525216"/>
    <w:rsid w:val="0052674A"/>
    <w:rsid w:val="00526CA6"/>
    <w:rsid w:val="00526CE0"/>
    <w:rsid w:val="005303EB"/>
    <w:rsid w:val="00531251"/>
    <w:rsid w:val="00531283"/>
    <w:rsid w:val="005316FC"/>
    <w:rsid w:val="005321BE"/>
    <w:rsid w:val="00532AAC"/>
    <w:rsid w:val="005331C4"/>
    <w:rsid w:val="00533F34"/>
    <w:rsid w:val="005344D4"/>
    <w:rsid w:val="00535EFE"/>
    <w:rsid w:val="00536720"/>
    <w:rsid w:val="00536ACD"/>
    <w:rsid w:val="00536AE8"/>
    <w:rsid w:val="00536D93"/>
    <w:rsid w:val="0053777A"/>
    <w:rsid w:val="00540822"/>
    <w:rsid w:val="00540A85"/>
    <w:rsid w:val="00541C0F"/>
    <w:rsid w:val="0054248D"/>
    <w:rsid w:val="0054262A"/>
    <w:rsid w:val="00542D14"/>
    <w:rsid w:val="00543822"/>
    <w:rsid w:val="00543D46"/>
    <w:rsid w:val="00544CA8"/>
    <w:rsid w:val="00544F63"/>
    <w:rsid w:val="00545016"/>
    <w:rsid w:val="00545A4C"/>
    <w:rsid w:val="005464A9"/>
    <w:rsid w:val="005467AA"/>
    <w:rsid w:val="005500FC"/>
    <w:rsid w:val="00550C24"/>
    <w:rsid w:val="0055106C"/>
    <w:rsid w:val="00551BE7"/>
    <w:rsid w:val="00552E5A"/>
    <w:rsid w:val="00553A2B"/>
    <w:rsid w:val="00554235"/>
    <w:rsid w:val="00554E63"/>
    <w:rsid w:val="005552CF"/>
    <w:rsid w:val="00555321"/>
    <w:rsid w:val="00555495"/>
    <w:rsid w:val="00555B24"/>
    <w:rsid w:val="00555CB3"/>
    <w:rsid w:val="005570C2"/>
    <w:rsid w:val="00557197"/>
    <w:rsid w:val="00560C13"/>
    <w:rsid w:val="005615EC"/>
    <w:rsid w:val="005619DD"/>
    <w:rsid w:val="00562CD1"/>
    <w:rsid w:val="00564989"/>
    <w:rsid w:val="005649C5"/>
    <w:rsid w:val="00564B54"/>
    <w:rsid w:val="00565787"/>
    <w:rsid w:val="005658C4"/>
    <w:rsid w:val="00566D99"/>
    <w:rsid w:val="00567080"/>
    <w:rsid w:val="005673F4"/>
    <w:rsid w:val="00567A73"/>
    <w:rsid w:val="00570580"/>
    <w:rsid w:val="00570C67"/>
    <w:rsid w:val="00571656"/>
    <w:rsid w:val="0057177E"/>
    <w:rsid w:val="00571EA3"/>
    <w:rsid w:val="00572942"/>
    <w:rsid w:val="00572FAD"/>
    <w:rsid w:val="00574301"/>
    <w:rsid w:val="0057546A"/>
    <w:rsid w:val="00581260"/>
    <w:rsid w:val="005815C6"/>
    <w:rsid w:val="00581EBB"/>
    <w:rsid w:val="00581FBB"/>
    <w:rsid w:val="00582040"/>
    <w:rsid w:val="00583ED6"/>
    <w:rsid w:val="00583FA7"/>
    <w:rsid w:val="00584250"/>
    <w:rsid w:val="005844B0"/>
    <w:rsid w:val="00584F80"/>
    <w:rsid w:val="0058505C"/>
    <w:rsid w:val="00585310"/>
    <w:rsid w:val="0058539F"/>
    <w:rsid w:val="00585524"/>
    <w:rsid w:val="00585A51"/>
    <w:rsid w:val="00586CDF"/>
    <w:rsid w:val="00587E5F"/>
    <w:rsid w:val="00591966"/>
    <w:rsid w:val="00591B23"/>
    <w:rsid w:val="00591E18"/>
    <w:rsid w:val="00592209"/>
    <w:rsid w:val="00593179"/>
    <w:rsid w:val="00593B5F"/>
    <w:rsid w:val="005943EE"/>
    <w:rsid w:val="00595740"/>
    <w:rsid w:val="00595EB5"/>
    <w:rsid w:val="005A066A"/>
    <w:rsid w:val="005A0BB9"/>
    <w:rsid w:val="005A1568"/>
    <w:rsid w:val="005A1697"/>
    <w:rsid w:val="005A1FA7"/>
    <w:rsid w:val="005A27CD"/>
    <w:rsid w:val="005A2FB6"/>
    <w:rsid w:val="005A45B8"/>
    <w:rsid w:val="005A5576"/>
    <w:rsid w:val="005A7759"/>
    <w:rsid w:val="005B0AEF"/>
    <w:rsid w:val="005B10C8"/>
    <w:rsid w:val="005B11C0"/>
    <w:rsid w:val="005B276B"/>
    <w:rsid w:val="005B2835"/>
    <w:rsid w:val="005B2DA6"/>
    <w:rsid w:val="005B321F"/>
    <w:rsid w:val="005B4BA7"/>
    <w:rsid w:val="005B4BC9"/>
    <w:rsid w:val="005B4EB8"/>
    <w:rsid w:val="005B4EE3"/>
    <w:rsid w:val="005B4F73"/>
    <w:rsid w:val="005B502C"/>
    <w:rsid w:val="005B5094"/>
    <w:rsid w:val="005B53F2"/>
    <w:rsid w:val="005B5994"/>
    <w:rsid w:val="005B5C66"/>
    <w:rsid w:val="005C043F"/>
    <w:rsid w:val="005C1E29"/>
    <w:rsid w:val="005C2207"/>
    <w:rsid w:val="005C2CFD"/>
    <w:rsid w:val="005C37D8"/>
    <w:rsid w:val="005C3834"/>
    <w:rsid w:val="005C4E39"/>
    <w:rsid w:val="005C6A29"/>
    <w:rsid w:val="005C6C58"/>
    <w:rsid w:val="005C6D59"/>
    <w:rsid w:val="005C75BB"/>
    <w:rsid w:val="005C775B"/>
    <w:rsid w:val="005C7BEF"/>
    <w:rsid w:val="005D10EE"/>
    <w:rsid w:val="005D1660"/>
    <w:rsid w:val="005D187F"/>
    <w:rsid w:val="005D1BE1"/>
    <w:rsid w:val="005D3365"/>
    <w:rsid w:val="005D3B9C"/>
    <w:rsid w:val="005D3D38"/>
    <w:rsid w:val="005D4C69"/>
    <w:rsid w:val="005D4C9A"/>
    <w:rsid w:val="005D4D5A"/>
    <w:rsid w:val="005D51D6"/>
    <w:rsid w:val="005D59CB"/>
    <w:rsid w:val="005D5C29"/>
    <w:rsid w:val="005D624D"/>
    <w:rsid w:val="005D6DCE"/>
    <w:rsid w:val="005D6E1F"/>
    <w:rsid w:val="005E137F"/>
    <w:rsid w:val="005E368C"/>
    <w:rsid w:val="005E3709"/>
    <w:rsid w:val="005E37A0"/>
    <w:rsid w:val="005E3E52"/>
    <w:rsid w:val="005E457D"/>
    <w:rsid w:val="005E48F7"/>
    <w:rsid w:val="005E53C6"/>
    <w:rsid w:val="005E58FF"/>
    <w:rsid w:val="005E6562"/>
    <w:rsid w:val="005E6DE9"/>
    <w:rsid w:val="005F0CDB"/>
    <w:rsid w:val="005F1D6B"/>
    <w:rsid w:val="005F2124"/>
    <w:rsid w:val="005F528D"/>
    <w:rsid w:val="005F6425"/>
    <w:rsid w:val="005F74F9"/>
    <w:rsid w:val="005F75DE"/>
    <w:rsid w:val="005F79A0"/>
    <w:rsid w:val="00601272"/>
    <w:rsid w:val="00601655"/>
    <w:rsid w:val="0060196E"/>
    <w:rsid w:val="00602644"/>
    <w:rsid w:val="00604185"/>
    <w:rsid w:val="00604673"/>
    <w:rsid w:val="00604D85"/>
    <w:rsid w:val="00605CDE"/>
    <w:rsid w:val="0060612F"/>
    <w:rsid w:val="00606B44"/>
    <w:rsid w:val="00606B74"/>
    <w:rsid w:val="00606C86"/>
    <w:rsid w:val="00606EA4"/>
    <w:rsid w:val="00611CC3"/>
    <w:rsid w:val="00611D4E"/>
    <w:rsid w:val="00612050"/>
    <w:rsid w:val="00612AA4"/>
    <w:rsid w:val="00613744"/>
    <w:rsid w:val="00613D5C"/>
    <w:rsid w:val="00614A68"/>
    <w:rsid w:val="00614C72"/>
    <w:rsid w:val="00614DEE"/>
    <w:rsid w:val="00614E68"/>
    <w:rsid w:val="00616169"/>
    <w:rsid w:val="0061761F"/>
    <w:rsid w:val="00617E39"/>
    <w:rsid w:val="00620E91"/>
    <w:rsid w:val="006211B2"/>
    <w:rsid w:val="006227DE"/>
    <w:rsid w:val="006232A4"/>
    <w:rsid w:val="0062370E"/>
    <w:rsid w:val="00623885"/>
    <w:rsid w:val="00623A64"/>
    <w:rsid w:val="00623B39"/>
    <w:rsid w:val="00624105"/>
    <w:rsid w:val="00624B14"/>
    <w:rsid w:val="00624F8B"/>
    <w:rsid w:val="00625461"/>
    <w:rsid w:val="00625E49"/>
    <w:rsid w:val="00626AD6"/>
    <w:rsid w:val="006270BC"/>
    <w:rsid w:val="0062763C"/>
    <w:rsid w:val="00627C1D"/>
    <w:rsid w:val="00631393"/>
    <w:rsid w:val="00632104"/>
    <w:rsid w:val="00632235"/>
    <w:rsid w:val="00632351"/>
    <w:rsid w:val="006324C9"/>
    <w:rsid w:val="0063287A"/>
    <w:rsid w:val="006328B6"/>
    <w:rsid w:val="006332DD"/>
    <w:rsid w:val="00633F5E"/>
    <w:rsid w:val="006340E6"/>
    <w:rsid w:val="0063456C"/>
    <w:rsid w:val="00634BA8"/>
    <w:rsid w:val="006356CF"/>
    <w:rsid w:val="00637CF7"/>
    <w:rsid w:val="00640273"/>
    <w:rsid w:val="006402E8"/>
    <w:rsid w:val="006406E3"/>
    <w:rsid w:val="0064163C"/>
    <w:rsid w:val="00641BB3"/>
    <w:rsid w:val="00646EC7"/>
    <w:rsid w:val="00646FD2"/>
    <w:rsid w:val="00647152"/>
    <w:rsid w:val="0064758C"/>
    <w:rsid w:val="0065000B"/>
    <w:rsid w:val="0065063E"/>
    <w:rsid w:val="00652DB4"/>
    <w:rsid w:val="00652F6D"/>
    <w:rsid w:val="006539BF"/>
    <w:rsid w:val="00653D69"/>
    <w:rsid w:val="00657239"/>
    <w:rsid w:val="0065794C"/>
    <w:rsid w:val="00657FA1"/>
    <w:rsid w:val="0066032E"/>
    <w:rsid w:val="00660BD5"/>
    <w:rsid w:val="00660E45"/>
    <w:rsid w:val="00660F76"/>
    <w:rsid w:val="00661515"/>
    <w:rsid w:val="00661D28"/>
    <w:rsid w:val="006623C1"/>
    <w:rsid w:val="006625ED"/>
    <w:rsid w:val="00664166"/>
    <w:rsid w:val="00666DBB"/>
    <w:rsid w:val="00667912"/>
    <w:rsid w:val="00670332"/>
    <w:rsid w:val="006711CF"/>
    <w:rsid w:val="00671C39"/>
    <w:rsid w:val="00671EDE"/>
    <w:rsid w:val="00673541"/>
    <w:rsid w:val="006739E1"/>
    <w:rsid w:val="00674C39"/>
    <w:rsid w:val="00675044"/>
    <w:rsid w:val="0067586F"/>
    <w:rsid w:val="0067758C"/>
    <w:rsid w:val="006779F3"/>
    <w:rsid w:val="00677D7C"/>
    <w:rsid w:val="0068066A"/>
    <w:rsid w:val="00680863"/>
    <w:rsid w:val="006812F7"/>
    <w:rsid w:val="006814A2"/>
    <w:rsid w:val="00681A4F"/>
    <w:rsid w:val="00681BCA"/>
    <w:rsid w:val="00682728"/>
    <w:rsid w:val="00683EEB"/>
    <w:rsid w:val="00686CB2"/>
    <w:rsid w:val="00687813"/>
    <w:rsid w:val="00687F45"/>
    <w:rsid w:val="00690D16"/>
    <w:rsid w:val="00691133"/>
    <w:rsid w:val="0069231C"/>
    <w:rsid w:val="00692EE2"/>
    <w:rsid w:val="00693652"/>
    <w:rsid w:val="00695133"/>
    <w:rsid w:val="006954CF"/>
    <w:rsid w:val="006958D9"/>
    <w:rsid w:val="00696E11"/>
    <w:rsid w:val="006A09C5"/>
    <w:rsid w:val="006A1150"/>
    <w:rsid w:val="006A1527"/>
    <w:rsid w:val="006A1572"/>
    <w:rsid w:val="006A181E"/>
    <w:rsid w:val="006A2D25"/>
    <w:rsid w:val="006A2F82"/>
    <w:rsid w:val="006A3673"/>
    <w:rsid w:val="006A49A6"/>
    <w:rsid w:val="006A4AB5"/>
    <w:rsid w:val="006A53D1"/>
    <w:rsid w:val="006A5DB5"/>
    <w:rsid w:val="006A6743"/>
    <w:rsid w:val="006B01A3"/>
    <w:rsid w:val="006B1AA0"/>
    <w:rsid w:val="006B2892"/>
    <w:rsid w:val="006B2910"/>
    <w:rsid w:val="006B3D36"/>
    <w:rsid w:val="006B4DE9"/>
    <w:rsid w:val="006B544A"/>
    <w:rsid w:val="006B6A93"/>
    <w:rsid w:val="006B6A96"/>
    <w:rsid w:val="006B7EC4"/>
    <w:rsid w:val="006C201A"/>
    <w:rsid w:val="006C30B2"/>
    <w:rsid w:val="006C3F0D"/>
    <w:rsid w:val="006C440A"/>
    <w:rsid w:val="006C4B14"/>
    <w:rsid w:val="006C5704"/>
    <w:rsid w:val="006C5C08"/>
    <w:rsid w:val="006C5FF1"/>
    <w:rsid w:val="006C751A"/>
    <w:rsid w:val="006C776E"/>
    <w:rsid w:val="006D08D0"/>
    <w:rsid w:val="006D0A58"/>
    <w:rsid w:val="006D15DD"/>
    <w:rsid w:val="006D1E8B"/>
    <w:rsid w:val="006D2A70"/>
    <w:rsid w:val="006D3059"/>
    <w:rsid w:val="006D4663"/>
    <w:rsid w:val="006D4F54"/>
    <w:rsid w:val="006D73EF"/>
    <w:rsid w:val="006D742A"/>
    <w:rsid w:val="006D7D0F"/>
    <w:rsid w:val="006E07C4"/>
    <w:rsid w:val="006E0CAE"/>
    <w:rsid w:val="006E1995"/>
    <w:rsid w:val="006E1CA4"/>
    <w:rsid w:val="006E23CA"/>
    <w:rsid w:val="006E249D"/>
    <w:rsid w:val="006E29EB"/>
    <w:rsid w:val="006E35AB"/>
    <w:rsid w:val="006E3DB5"/>
    <w:rsid w:val="006E3E31"/>
    <w:rsid w:val="006E4541"/>
    <w:rsid w:val="006E6C39"/>
    <w:rsid w:val="006E74DE"/>
    <w:rsid w:val="006F0672"/>
    <w:rsid w:val="006F089C"/>
    <w:rsid w:val="006F0F5E"/>
    <w:rsid w:val="006F10F1"/>
    <w:rsid w:val="006F29D8"/>
    <w:rsid w:val="006F2ACB"/>
    <w:rsid w:val="006F2DAF"/>
    <w:rsid w:val="006F39DE"/>
    <w:rsid w:val="006F3AF5"/>
    <w:rsid w:val="006F44FA"/>
    <w:rsid w:val="006F4D9B"/>
    <w:rsid w:val="006F5BC4"/>
    <w:rsid w:val="006F6111"/>
    <w:rsid w:val="006F628D"/>
    <w:rsid w:val="006F6DB5"/>
    <w:rsid w:val="007005D3"/>
    <w:rsid w:val="00700CCE"/>
    <w:rsid w:val="007016BB"/>
    <w:rsid w:val="00701C1A"/>
    <w:rsid w:val="007028C8"/>
    <w:rsid w:val="00703293"/>
    <w:rsid w:val="00703FC7"/>
    <w:rsid w:val="007053F2"/>
    <w:rsid w:val="00705F97"/>
    <w:rsid w:val="00706C04"/>
    <w:rsid w:val="00710581"/>
    <w:rsid w:val="00711659"/>
    <w:rsid w:val="00711F04"/>
    <w:rsid w:val="00712207"/>
    <w:rsid w:val="0071472F"/>
    <w:rsid w:val="00714D67"/>
    <w:rsid w:val="00714E5A"/>
    <w:rsid w:val="00714F8D"/>
    <w:rsid w:val="00715087"/>
    <w:rsid w:val="007159C1"/>
    <w:rsid w:val="00716528"/>
    <w:rsid w:val="00720B3C"/>
    <w:rsid w:val="00720DA8"/>
    <w:rsid w:val="007210AF"/>
    <w:rsid w:val="00721286"/>
    <w:rsid w:val="00721BEC"/>
    <w:rsid w:val="00721BEF"/>
    <w:rsid w:val="00721D1F"/>
    <w:rsid w:val="00724075"/>
    <w:rsid w:val="00724F98"/>
    <w:rsid w:val="00725152"/>
    <w:rsid w:val="00725403"/>
    <w:rsid w:val="00727061"/>
    <w:rsid w:val="0072728E"/>
    <w:rsid w:val="007276AB"/>
    <w:rsid w:val="00727A8B"/>
    <w:rsid w:val="00727BA4"/>
    <w:rsid w:val="007300E9"/>
    <w:rsid w:val="00730833"/>
    <w:rsid w:val="00730D1B"/>
    <w:rsid w:val="00731530"/>
    <w:rsid w:val="00732978"/>
    <w:rsid w:val="00732D16"/>
    <w:rsid w:val="00733B94"/>
    <w:rsid w:val="00733F33"/>
    <w:rsid w:val="007356C3"/>
    <w:rsid w:val="007374B1"/>
    <w:rsid w:val="00740192"/>
    <w:rsid w:val="00741825"/>
    <w:rsid w:val="00741E25"/>
    <w:rsid w:val="00741E30"/>
    <w:rsid w:val="00742041"/>
    <w:rsid w:val="0074269D"/>
    <w:rsid w:val="00742E57"/>
    <w:rsid w:val="0074394A"/>
    <w:rsid w:val="00743DAB"/>
    <w:rsid w:val="007445F5"/>
    <w:rsid w:val="00745258"/>
    <w:rsid w:val="007459A4"/>
    <w:rsid w:val="007463F9"/>
    <w:rsid w:val="00747A3B"/>
    <w:rsid w:val="00750E96"/>
    <w:rsid w:val="0075119D"/>
    <w:rsid w:val="00752A0C"/>
    <w:rsid w:val="00753227"/>
    <w:rsid w:val="007533F1"/>
    <w:rsid w:val="00753EBB"/>
    <w:rsid w:val="00753ECD"/>
    <w:rsid w:val="0075444D"/>
    <w:rsid w:val="0075507A"/>
    <w:rsid w:val="0075544F"/>
    <w:rsid w:val="00755BC8"/>
    <w:rsid w:val="007568F2"/>
    <w:rsid w:val="0075796E"/>
    <w:rsid w:val="00757F6B"/>
    <w:rsid w:val="00760624"/>
    <w:rsid w:val="00761B62"/>
    <w:rsid w:val="007626F0"/>
    <w:rsid w:val="00763786"/>
    <w:rsid w:val="00763F1A"/>
    <w:rsid w:val="007641B4"/>
    <w:rsid w:val="00764B44"/>
    <w:rsid w:val="0076571B"/>
    <w:rsid w:val="00766A9D"/>
    <w:rsid w:val="007700EE"/>
    <w:rsid w:val="00770475"/>
    <w:rsid w:val="00770A51"/>
    <w:rsid w:val="00771145"/>
    <w:rsid w:val="007713CC"/>
    <w:rsid w:val="00771BAA"/>
    <w:rsid w:val="00774CE1"/>
    <w:rsid w:val="00775BEB"/>
    <w:rsid w:val="007765FD"/>
    <w:rsid w:val="007772C4"/>
    <w:rsid w:val="00780A2D"/>
    <w:rsid w:val="00780BFC"/>
    <w:rsid w:val="00780DE6"/>
    <w:rsid w:val="0078169C"/>
    <w:rsid w:val="00784094"/>
    <w:rsid w:val="007840D3"/>
    <w:rsid w:val="00785145"/>
    <w:rsid w:val="00785B4C"/>
    <w:rsid w:val="00785B91"/>
    <w:rsid w:val="0078693E"/>
    <w:rsid w:val="00786B4D"/>
    <w:rsid w:val="00786D24"/>
    <w:rsid w:val="007873A6"/>
    <w:rsid w:val="00790DE6"/>
    <w:rsid w:val="007910B0"/>
    <w:rsid w:val="0079192F"/>
    <w:rsid w:val="00791B4B"/>
    <w:rsid w:val="00791D8C"/>
    <w:rsid w:val="007920D1"/>
    <w:rsid w:val="007920FF"/>
    <w:rsid w:val="00792A7F"/>
    <w:rsid w:val="00792A97"/>
    <w:rsid w:val="00792F8E"/>
    <w:rsid w:val="007935F1"/>
    <w:rsid w:val="0079362E"/>
    <w:rsid w:val="007937BB"/>
    <w:rsid w:val="00793DF6"/>
    <w:rsid w:val="00793F95"/>
    <w:rsid w:val="0079424F"/>
    <w:rsid w:val="0079440F"/>
    <w:rsid w:val="007946D5"/>
    <w:rsid w:val="0079498B"/>
    <w:rsid w:val="007953D6"/>
    <w:rsid w:val="007960C6"/>
    <w:rsid w:val="00796897"/>
    <w:rsid w:val="00796BC2"/>
    <w:rsid w:val="00796C44"/>
    <w:rsid w:val="0079718D"/>
    <w:rsid w:val="00797562"/>
    <w:rsid w:val="00797759"/>
    <w:rsid w:val="007A1E9C"/>
    <w:rsid w:val="007A2423"/>
    <w:rsid w:val="007A2FB0"/>
    <w:rsid w:val="007A3E0C"/>
    <w:rsid w:val="007A55A0"/>
    <w:rsid w:val="007A6C9A"/>
    <w:rsid w:val="007A6F69"/>
    <w:rsid w:val="007A7E6D"/>
    <w:rsid w:val="007B0263"/>
    <w:rsid w:val="007B07AF"/>
    <w:rsid w:val="007B1682"/>
    <w:rsid w:val="007B2051"/>
    <w:rsid w:val="007B2394"/>
    <w:rsid w:val="007B2405"/>
    <w:rsid w:val="007B2DC3"/>
    <w:rsid w:val="007B3D29"/>
    <w:rsid w:val="007B412B"/>
    <w:rsid w:val="007B4BE8"/>
    <w:rsid w:val="007B55E5"/>
    <w:rsid w:val="007B5625"/>
    <w:rsid w:val="007B5C22"/>
    <w:rsid w:val="007B6036"/>
    <w:rsid w:val="007B6D0F"/>
    <w:rsid w:val="007B757A"/>
    <w:rsid w:val="007B7BC2"/>
    <w:rsid w:val="007C0195"/>
    <w:rsid w:val="007C2794"/>
    <w:rsid w:val="007C2980"/>
    <w:rsid w:val="007C367E"/>
    <w:rsid w:val="007C5089"/>
    <w:rsid w:val="007C5783"/>
    <w:rsid w:val="007C57B2"/>
    <w:rsid w:val="007C597F"/>
    <w:rsid w:val="007C6DE6"/>
    <w:rsid w:val="007C6FA3"/>
    <w:rsid w:val="007C74BD"/>
    <w:rsid w:val="007C7849"/>
    <w:rsid w:val="007D0103"/>
    <w:rsid w:val="007D0A50"/>
    <w:rsid w:val="007D3926"/>
    <w:rsid w:val="007D418E"/>
    <w:rsid w:val="007D466D"/>
    <w:rsid w:val="007D668D"/>
    <w:rsid w:val="007D6948"/>
    <w:rsid w:val="007D763C"/>
    <w:rsid w:val="007E0AC6"/>
    <w:rsid w:val="007E119F"/>
    <w:rsid w:val="007E12BC"/>
    <w:rsid w:val="007E1724"/>
    <w:rsid w:val="007E1CCA"/>
    <w:rsid w:val="007E32C9"/>
    <w:rsid w:val="007E38DC"/>
    <w:rsid w:val="007E415A"/>
    <w:rsid w:val="007E46CD"/>
    <w:rsid w:val="007E4E8B"/>
    <w:rsid w:val="007E6088"/>
    <w:rsid w:val="007E65C5"/>
    <w:rsid w:val="007E69E0"/>
    <w:rsid w:val="007E6E43"/>
    <w:rsid w:val="007E79E5"/>
    <w:rsid w:val="007F157F"/>
    <w:rsid w:val="007F2DE9"/>
    <w:rsid w:val="007F3545"/>
    <w:rsid w:val="007F3EE4"/>
    <w:rsid w:val="007F426F"/>
    <w:rsid w:val="007F44C3"/>
    <w:rsid w:val="007F51E8"/>
    <w:rsid w:val="007F56CB"/>
    <w:rsid w:val="007F6081"/>
    <w:rsid w:val="007F7B7D"/>
    <w:rsid w:val="00801BA0"/>
    <w:rsid w:val="00802E6B"/>
    <w:rsid w:val="00802E9B"/>
    <w:rsid w:val="008033A6"/>
    <w:rsid w:val="0080375E"/>
    <w:rsid w:val="0080462B"/>
    <w:rsid w:val="00806631"/>
    <w:rsid w:val="0080704D"/>
    <w:rsid w:val="008071D9"/>
    <w:rsid w:val="00810C1E"/>
    <w:rsid w:val="008111A9"/>
    <w:rsid w:val="00812D82"/>
    <w:rsid w:val="00812F63"/>
    <w:rsid w:val="00813D57"/>
    <w:rsid w:val="00814245"/>
    <w:rsid w:val="00814762"/>
    <w:rsid w:val="00814A70"/>
    <w:rsid w:val="008158CC"/>
    <w:rsid w:val="00815DB6"/>
    <w:rsid w:val="00815DEB"/>
    <w:rsid w:val="00816DF2"/>
    <w:rsid w:val="00816F3E"/>
    <w:rsid w:val="008201C7"/>
    <w:rsid w:val="00820892"/>
    <w:rsid w:val="008210F3"/>
    <w:rsid w:val="00821419"/>
    <w:rsid w:val="0082199A"/>
    <w:rsid w:val="008223B6"/>
    <w:rsid w:val="00823249"/>
    <w:rsid w:val="00823F1B"/>
    <w:rsid w:val="0082432A"/>
    <w:rsid w:val="008249CF"/>
    <w:rsid w:val="00824E3D"/>
    <w:rsid w:val="00825156"/>
    <w:rsid w:val="0082630D"/>
    <w:rsid w:val="00826CB1"/>
    <w:rsid w:val="00827025"/>
    <w:rsid w:val="008277AA"/>
    <w:rsid w:val="00827D6B"/>
    <w:rsid w:val="0083100B"/>
    <w:rsid w:val="00831617"/>
    <w:rsid w:val="00834A4A"/>
    <w:rsid w:val="00834C6B"/>
    <w:rsid w:val="008363F8"/>
    <w:rsid w:val="00837361"/>
    <w:rsid w:val="00840565"/>
    <w:rsid w:val="00841C99"/>
    <w:rsid w:val="008441BE"/>
    <w:rsid w:val="008447E4"/>
    <w:rsid w:val="00845C9B"/>
    <w:rsid w:val="00845D63"/>
    <w:rsid w:val="00845EF4"/>
    <w:rsid w:val="00845F66"/>
    <w:rsid w:val="0084751F"/>
    <w:rsid w:val="00847CA8"/>
    <w:rsid w:val="00850521"/>
    <w:rsid w:val="00850869"/>
    <w:rsid w:val="00850958"/>
    <w:rsid w:val="00850B28"/>
    <w:rsid w:val="0085133F"/>
    <w:rsid w:val="00851532"/>
    <w:rsid w:val="00854639"/>
    <w:rsid w:val="00854DB5"/>
    <w:rsid w:val="00854DFE"/>
    <w:rsid w:val="008553CE"/>
    <w:rsid w:val="00857ED0"/>
    <w:rsid w:val="008601AB"/>
    <w:rsid w:val="008618EA"/>
    <w:rsid w:val="00861C12"/>
    <w:rsid w:val="00861E77"/>
    <w:rsid w:val="008621C8"/>
    <w:rsid w:val="00862207"/>
    <w:rsid w:val="00862AEF"/>
    <w:rsid w:val="0086302F"/>
    <w:rsid w:val="0086327C"/>
    <w:rsid w:val="00863375"/>
    <w:rsid w:val="00865A2C"/>
    <w:rsid w:val="0086602E"/>
    <w:rsid w:val="00866679"/>
    <w:rsid w:val="008666D3"/>
    <w:rsid w:val="0086694C"/>
    <w:rsid w:val="00867343"/>
    <w:rsid w:val="008674BC"/>
    <w:rsid w:val="00870912"/>
    <w:rsid w:val="00871048"/>
    <w:rsid w:val="00872B50"/>
    <w:rsid w:val="00874FB9"/>
    <w:rsid w:val="0087528C"/>
    <w:rsid w:val="00875363"/>
    <w:rsid w:val="0087542D"/>
    <w:rsid w:val="00875499"/>
    <w:rsid w:val="0087560E"/>
    <w:rsid w:val="008772AF"/>
    <w:rsid w:val="0088013C"/>
    <w:rsid w:val="00880FE2"/>
    <w:rsid w:val="008813FB"/>
    <w:rsid w:val="008818BF"/>
    <w:rsid w:val="00881DA8"/>
    <w:rsid w:val="00883F09"/>
    <w:rsid w:val="008841E3"/>
    <w:rsid w:val="008848A7"/>
    <w:rsid w:val="00885B1E"/>
    <w:rsid w:val="00886B91"/>
    <w:rsid w:val="00890E7B"/>
    <w:rsid w:val="0089109A"/>
    <w:rsid w:val="00892153"/>
    <w:rsid w:val="00892256"/>
    <w:rsid w:val="0089319B"/>
    <w:rsid w:val="008935F5"/>
    <w:rsid w:val="0089452F"/>
    <w:rsid w:val="0089581B"/>
    <w:rsid w:val="00895857"/>
    <w:rsid w:val="00895B40"/>
    <w:rsid w:val="008967D3"/>
    <w:rsid w:val="00896B5B"/>
    <w:rsid w:val="00896E8B"/>
    <w:rsid w:val="008A0260"/>
    <w:rsid w:val="008A047B"/>
    <w:rsid w:val="008A0A3D"/>
    <w:rsid w:val="008A0EAF"/>
    <w:rsid w:val="008A1275"/>
    <w:rsid w:val="008A1393"/>
    <w:rsid w:val="008A2202"/>
    <w:rsid w:val="008A29F3"/>
    <w:rsid w:val="008A2C26"/>
    <w:rsid w:val="008A301A"/>
    <w:rsid w:val="008A3F36"/>
    <w:rsid w:val="008A47A3"/>
    <w:rsid w:val="008A4D8A"/>
    <w:rsid w:val="008A65F8"/>
    <w:rsid w:val="008A6B92"/>
    <w:rsid w:val="008A732C"/>
    <w:rsid w:val="008A7476"/>
    <w:rsid w:val="008A74B5"/>
    <w:rsid w:val="008B2058"/>
    <w:rsid w:val="008B264D"/>
    <w:rsid w:val="008B2C1F"/>
    <w:rsid w:val="008B4E79"/>
    <w:rsid w:val="008B5B0D"/>
    <w:rsid w:val="008B705C"/>
    <w:rsid w:val="008B7D00"/>
    <w:rsid w:val="008C0220"/>
    <w:rsid w:val="008C0719"/>
    <w:rsid w:val="008C07B0"/>
    <w:rsid w:val="008C0E2B"/>
    <w:rsid w:val="008C187C"/>
    <w:rsid w:val="008C204D"/>
    <w:rsid w:val="008C3511"/>
    <w:rsid w:val="008C4294"/>
    <w:rsid w:val="008C4966"/>
    <w:rsid w:val="008C6718"/>
    <w:rsid w:val="008C6D51"/>
    <w:rsid w:val="008C759E"/>
    <w:rsid w:val="008D00E4"/>
    <w:rsid w:val="008D03E8"/>
    <w:rsid w:val="008D0931"/>
    <w:rsid w:val="008D0B8A"/>
    <w:rsid w:val="008D1282"/>
    <w:rsid w:val="008D17D2"/>
    <w:rsid w:val="008D1C15"/>
    <w:rsid w:val="008D21AD"/>
    <w:rsid w:val="008D2221"/>
    <w:rsid w:val="008D2263"/>
    <w:rsid w:val="008D25A9"/>
    <w:rsid w:val="008D27CA"/>
    <w:rsid w:val="008D3176"/>
    <w:rsid w:val="008D3E1F"/>
    <w:rsid w:val="008D5076"/>
    <w:rsid w:val="008E0D56"/>
    <w:rsid w:val="008E0F15"/>
    <w:rsid w:val="008E123D"/>
    <w:rsid w:val="008E1A95"/>
    <w:rsid w:val="008E1E36"/>
    <w:rsid w:val="008E253F"/>
    <w:rsid w:val="008E2D41"/>
    <w:rsid w:val="008E38D7"/>
    <w:rsid w:val="008E44BC"/>
    <w:rsid w:val="008E549E"/>
    <w:rsid w:val="008E56DC"/>
    <w:rsid w:val="008E698D"/>
    <w:rsid w:val="008E7795"/>
    <w:rsid w:val="008F02F2"/>
    <w:rsid w:val="008F06B6"/>
    <w:rsid w:val="008F0C5B"/>
    <w:rsid w:val="008F17C7"/>
    <w:rsid w:val="008F23CB"/>
    <w:rsid w:val="008F330B"/>
    <w:rsid w:val="008F3695"/>
    <w:rsid w:val="008F3703"/>
    <w:rsid w:val="008F3ED0"/>
    <w:rsid w:val="008F3FB2"/>
    <w:rsid w:val="008F55EE"/>
    <w:rsid w:val="008F5C5F"/>
    <w:rsid w:val="008F6F48"/>
    <w:rsid w:val="008F7796"/>
    <w:rsid w:val="008F7D2D"/>
    <w:rsid w:val="008F7F55"/>
    <w:rsid w:val="0090065C"/>
    <w:rsid w:val="0090270D"/>
    <w:rsid w:val="00902A6E"/>
    <w:rsid w:val="0090312C"/>
    <w:rsid w:val="009039B8"/>
    <w:rsid w:val="0090414D"/>
    <w:rsid w:val="00904B9F"/>
    <w:rsid w:val="00905068"/>
    <w:rsid w:val="009053C5"/>
    <w:rsid w:val="009056C6"/>
    <w:rsid w:val="00905C54"/>
    <w:rsid w:val="009070A7"/>
    <w:rsid w:val="009072C1"/>
    <w:rsid w:val="00907E42"/>
    <w:rsid w:val="009113D5"/>
    <w:rsid w:val="00911B36"/>
    <w:rsid w:val="009129B6"/>
    <w:rsid w:val="00912F91"/>
    <w:rsid w:val="00914678"/>
    <w:rsid w:val="00915207"/>
    <w:rsid w:val="00915C6D"/>
    <w:rsid w:val="00916ADA"/>
    <w:rsid w:val="009175DE"/>
    <w:rsid w:val="00917F69"/>
    <w:rsid w:val="00920741"/>
    <w:rsid w:val="00920C52"/>
    <w:rsid w:val="009217C9"/>
    <w:rsid w:val="00923C41"/>
    <w:rsid w:val="00923D18"/>
    <w:rsid w:val="00923F6C"/>
    <w:rsid w:val="009264C5"/>
    <w:rsid w:val="0092658A"/>
    <w:rsid w:val="00926C3E"/>
    <w:rsid w:val="0092728F"/>
    <w:rsid w:val="00930917"/>
    <w:rsid w:val="009313B7"/>
    <w:rsid w:val="0093171C"/>
    <w:rsid w:val="00931BA9"/>
    <w:rsid w:val="00931D07"/>
    <w:rsid w:val="00932C2A"/>
    <w:rsid w:val="00932E52"/>
    <w:rsid w:val="00933EDE"/>
    <w:rsid w:val="0093465A"/>
    <w:rsid w:val="00935124"/>
    <w:rsid w:val="009400EC"/>
    <w:rsid w:val="00941119"/>
    <w:rsid w:val="00941C24"/>
    <w:rsid w:val="009426D5"/>
    <w:rsid w:val="009429D4"/>
    <w:rsid w:val="00943055"/>
    <w:rsid w:val="00943D82"/>
    <w:rsid w:val="0094420A"/>
    <w:rsid w:val="009447A1"/>
    <w:rsid w:val="00944EB9"/>
    <w:rsid w:val="00945083"/>
    <w:rsid w:val="00945786"/>
    <w:rsid w:val="00946522"/>
    <w:rsid w:val="00946A3B"/>
    <w:rsid w:val="00950384"/>
    <w:rsid w:val="009507DB"/>
    <w:rsid w:val="00950D13"/>
    <w:rsid w:val="00951BC1"/>
    <w:rsid w:val="009523AE"/>
    <w:rsid w:val="00955A8E"/>
    <w:rsid w:val="00955F51"/>
    <w:rsid w:val="00956141"/>
    <w:rsid w:val="0095695B"/>
    <w:rsid w:val="0095717B"/>
    <w:rsid w:val="00960584"/>
    <w:rsid w:val="0096221D"/>
    <w:rsid w:val="009632B6"/>
    <w:rsid w:val="009632E0"/>
    <w:rsid w:val="009640AB"/>
    <w:rsid w:val="00967044"/>
    <w:rsid w:val="0096748B"/>
    <w:rsid w:val="0096789A"/>
    <w:rsid w:val="00970342"/>
    <w:rsid w:val="009718C8"/>
    <w:rsid w:val="00972424"/>
    <w:rsid w:val="009733CC"/>
    <w:rsid w:val="0097528A"/>
    <w:rsid w:val="00976B4E"/>
    <w:rsid w:val="0097713F"/>
    <w:rsid w:val="009773D7"/>
    <w:rsid w:val="00977867"/>
    <w:rsid w:val="00980844"/>
    <w:rsid w:val="00980997"/>
    <w:rsid w:val="00981184"/>
    <w:rsid w:val="0098136C"/>
    <w:rsid w:val="0098152E"/>
    <w:rsid w:val="009817FE"/>
    <w:rsid w:val="00984D2E"/>
    <w:rsid w:val="00986758"/>
    <w:rsid w:val="00986C75"/>
    <w:rsid w:val="00987C80"/>
    <w:rsid w:val="00987EFF"/>
    <w:rsid w:val="0099006D"/>
    <w:rsid w:val="00990616"/>
    <w:rsid w:val="0099062B"/>
    <w:rsid w:val="009906F3"/>
    <w:rsid w:val="0099086B"/>
    <w:rsid w:val="00990EBE"/>
    <w:rsid w:val="00991FE1"/>
    <w:rsid w:val="0099262E"/>
    <w:rsid w:val="00994000"/>
    <w:rsid w:val="0099637B"/>
    <w:rsid w:val="00996C61"/>
    <w:rsid w:val="00997532"/>
    <w:rsid w:val="009A06D5"/>
    <w:rsid w:val="009A11D2"/>
    <w:rsid w:val="009A1951"/>
    <w:rsid w:val="009A1D3E"/>
    <w:rsid w:val="009A20E0"/>
    <w:rsid w:val="009A2EE3"/>
    <w:rsid w:val="009A3DB3"/>
    <w:rsid w:val="009A3F5A"/>
    <w:rsid w:val="009A440F"/>
    <w:rsid w:val="009A53A8"/>
    <w:rsid w:val="009B07CB"/>
    <w:rsid w:val="009B2177"/>
    <w:rsid w:val="009B23B6"/>
    <w:rsid w:val="009B2441"/>
    <w:rsid w:val="009B2762"/>
    <w:rsid w:val="009B2BD6"/>
    <w:rsid w:val="009B2F6E"/>
    <w:rsid w:val="009B36FF"/>
    <w:rsid w:val="009B396D"/>
    <w:rsid w:val="009B5274"/>
    <w:rsid w:val="009B5672"/>
    <w:rsid w:val="009B5723"/>
    <w:rsid w:val="009B585D"/>
    <w:rsid w:val="009B604E"/>
    <w:rsid w:val="009B6177"/>
    <w:rsid w:val="009B686C"/>
    <w:rsid w:val="009B75CC"/>
    <w:rsid w:val="009C0024"/>
    <w:rsid w:val="009C0A39"/>
    <w:rsid w:val="009C1FE8"/>
    <w:rsid w:val="009C2BF3"/>
    <w:rsid w:val="009C3A3E"/>
    <w:rsid w:val="009C3E9D"/>
    <w:rsid w:val="009C463F"/>
    <w:rsid w:val="009C47D0"/>
    <w:rsid w:val="009C4BE7"/>
    <w:rsid w:val="009C4C78"/>
    <w:rsid w:val="009C54C5"/>
    <w:rsid w:val="009C59BB"/>
    <w:rsid w:val="009C6D2E"/>
    <w:rsid w:val="009D0582"/>
    <w:rsid w:val="009D0CAA"/>
    <w:rsid w:val="009D18AB"/>
    <w:rsid w:val="009D3D8C"/>
    <w:rsid w:val="009D3E4F"/>
    <w:rsid w:val="009D4059"/>
    <w:rsid w:val="009D4D95"/>
    <w:rsid w:val="009D58E5"/>
    <w:rsid w:val="009D59B9"/>
    <w:rsid w:val="009D634A"/>
    <w:rsid w:val="009D68D0"/>
    <w:rsid w:val="009D6A2F"/>
    <w:rsid w:val="009D6B7C"/>
    <w:rsid w:val="009D7392"/>
    <w:rsid w:val="009E1965"/>
    <w:rsid w:val="009E1B34"/>
    <w:rsid w:val="009E2542"/>
    <w:rsid w:val="009E26A5"/>
    <w:rsid w:val="009E270E"/>
    <w:rsid w:val="009E3148"/>
    <w:rsid w:val="009E35E5"/>
    <w:rsid w:val="009E3B8F"/>
    <w:rsid w:val="009E41B0"/>
    <w:rsid w:val="009E4BFD"/>
    <w:rsid w:val="009E4DBB"/>
    <w:rsid w:val="009E4EEA"/>
    <w:rsid w:val="009E5C54"/>
    <w:rsid w:val="009E7257"/>
    <w:rsid w:val="009E7274"/>
    <w:rsid w:val="009E771C"/>
    <w:rsid w:val="009F04B4"/>
    <w:rsid w:val="009F0880"/>
    <w:rsid w:val="009F0C9F"/>
    <w:rsid w:val="009F18D0"/>
    <w:rsid w:val="009F1DCD"/>
    <w:rsid w:val="009F2278"/>
    <w:rsid w:val="009F23AF"/>
    <w:rsid w:val="009F30C7"/>
    <w:rsid w:val="009F4190"/>
    <w:rsid w:val="009F42FC"/>
    <w:rsid w:val="009F5729"/>
    <w:rsid w:val="009F6355"/>
    <w:rsid w:val="009F73CA"/>
    <w:rsid w:val="009F756C"/>
    <w:rsid w:val="009F7869"/>
    <w:rsid w:val="009F7B8E"/>
    <w:rsid w:val="009F7EBD"/>
    <w:rsid w:val="00A00F81"/>
    <w:rsid w:val="00A025E0"/>
    <w:rsid w:val="00A02BDA"/>
    <w:rsid w:val="00A02EC7"/>
    <w:rsid w:val="00A03C15"/>
    <w:rsid w:val="00A04BCF"/>
    <w:rsid w:val="00A05750"/>
    <w:rsid w:val="00A05D6F"/>
    <w:rsid w:val="00A05FC7"/>
    <w:rsid w:val="00A06D88"/>
    <w:rsid w:val="00A07363"/>
    <w:rsid w:val="00A07A73"/>
    <w:rsid w:val="00A1135D"/>
    <w:rsid w:val="00A118A2"/>
    <w:rsid w:val="00A11E72"/>
    <w:rsid w:val="00A120F1"/>
    <w:rsid w:val="00A12E6B"/>
    <w:rsid w:val="00A12F38"/>
    <w:rsid w:val="00A1301A"/>
    <w:rsid w:val="00A13BA8"/>
    <w:rsid w:val="00A15139"/>
    <w:rsid w:val="00A15653"/>
    <w:rsid w:val="00A1576A"/>
    <w:rsid w:val="00A157B1"/>
    <w:rsid w:val="00A161A9"/>
    <w:rsid w:val="00A162C7"/>
    <w:rsid w:val="00A175C9"/>
    <w:rsid w:val="00A207F3"/>
    <w:rsid w:val="00A20A9D"/>
    <w:rsid w:val="00A21884"/>
    <w:rsid w:val="00A223FD"/>
    <w:rsid w:val="00A22EFF"/>
    <w:rsid w:val="00A23BB4"/>
    <w:rsid w:val="00A24A8A"/>
    <w:rsid w:val="00A30703"/>
    <w:rsid w:val="00A30C8B"/>
    <w:rsid w:val="00A310AB"/>
    <w:rsid w:val="00A31FE9"/>
    <w:rsid w:val="00A320EE"/>
    <w:rsid w:val="00A32A13"/>
    <w:rsid w:val="00A33A41"/>
    <w:rsid w:val="00A3401F"/>
    <w:rsid w:val="00A342A5"/>
    <w:rsid w:val="00A352A7"/>
    <w:rsid w:val="00A3576C"/>
    <w:rsid w:val="00A35B5C"/>
    <w:rsid w:val="00A36981"/>
    <w:rsid w:val="00A36B5C"/>
    <w:rsid w:val="00A40244"/>
    <w:rsid w:val="00A413C1"/>
    <w:rsid w:val="00A416C2"/>
    <w:rsid w:val="00A42547"/>
    <w:rsid w:val="00A457F2"/>
    <w:rsid w:val="00A458F5"/>
    <w:rsid w:val="00A468A5"/>
    <w:rsid w:val="00A473B5"/>
    <w:rsid w:val="00A47427"/>
    <w:rsid w:val="00A47671"/>
    <w:rsid w:val="00A504AF"/>
    <w:rsid w:val="00A51A13"/>
    <w:rsid w:val="00A524A1"/>
    <w:rsid w:val="00A53C98"/>
    <w:rsid w:val="00A542A4"/>
    <w:rsid w:val="00A54894"/>
    <w:rsid w:val="00A5514E"/>
    <w:rsid w:val="00A5559F"/>
    <w:rsid w:val="00A559D4"/>
    <w:rsid w:val="00A55D59"/>
    <w:rsid w:val="00A574E1"/>
    <w:rsid w:val="00A578CA"/>
    <w:rsid w:val="00A607C2"/>
    <w:rsid w:val="00A612E2"/>
    <w:rsid w:val="00A61E02"/>
    <w:rsid w:val="00A62328"/>
    <w:rsid w:val="00A645D3"/>
    <w:rsid w:val="00A65A07"/>
    <w:rsid w:val="00A6654B"/>
    <w:rsid w:val="00A70BF7"/>
    <w:rsid w:val="00A70CFE"/>
    <w:rsid w:val="00A710C3"/>
    <w:rsid w:val="00A71B83"/>
    <w:rsid w:val="00A732B2"/>
    <w:rsid w:val="00A73910"/>
    <w:rsid w:val="00A75200"/>
    <w:rsid w:val="00A75540"/>
    <w:rsid w:val="00A775B4"/>
    <w:rsid w:val="00A77B83"/>
    <w:rsid w:val="00A80644"/>
    <w:rsid w:val="00A80B7E"/>
    <w:rsid w:val="00A80D02"/>
    <w:rsid w:val="00A8166F"/>
    <w:rsid w:val="00A829C3"/>
    <w:rsid w:val="00A82E73"/>
    <w:rsid w:val="00A8373E"/>
    <w:rsid w:val="00A8382D"/>
    <w:rsid w:val="00A83F8A"/>
    <w:rsid w:val="00A84E41"/>
    <w:rsid w:val="00A8503D"/>
    <w:rsid w:val="00A8547E"/>
    <w:rsid w:val="00A85481"/>
    <w:rsid w:val="00A856B0"/>
    <w:rsid w:val="00A87CFC"/>
    <w:rsid w:val="00A9008F"/>
    <w:rsid w:val="00A90253"/>
    <w:rsid w:val="00A90545"/>
    <w:rsid w:val="00A91082"/>
    <w:rsid w:val="00A9122E"/>
    <w:rsid w:val="00A918A3"/>
    <w:rsid w:val="00A933C4"/>
    <w:rsid w:val="00A9360F"/>
    <w:rsid w:val="00A93E3E"/>
    <w:rsid w:val="00A93FC6"/>
    <w:rsid w:val="00A9467E"/>
    <w:rsid w:val="00A95407"/>
    <w:rsid w:val="00A957AE"/>
    <w:rsid w:val="00A966D1"/>
    <w:rsid w:val="00A9752C"/>
    <w:rsid w:val="00A97CF9"/>
    <w:rsid w:val="00AA0620"/>
    <w:rsid w:val="00AA08CC"/>
    <w:rsid w:val="00AA0984"/>
    <w:rsid w:val="00AA11B1"/>
    <w:rsid w:val="00AA1CAE"/>
    <w:rsid w:val="00AA1E70"/>
    <w:rsid w:val="00AA1F22"/>
    <w:rsid w:val="00AA35A1"/>
    <w:rsid w:val="00AA38A0"/>
    <w:rsid w:val="00AA38AE"/>
    <w:rsid w:val="00AA5030"/>
    <w:rsid w:val="00AA5464"/>
    <w:rsid w:val="00AA58AF"/>
    <w:rsid w:val="00AA6177"/>
    <w:rsid w:val="00AA6182"/>
    <w:rsid w:val="00AB1878"/>
    <w:rsid w:val="00AB1908"/>
    <w:rsid w:val="00AB1BBA"/>
    <w:rsid w:val="00AB21D8"/>
    <w:rsid w:val="00AB2961"/>
    <w:rsid w:val="00AB2B50"/>
    <w:rsid w:val="00AB3550"/>
    <w:rsid w:val="00AB3D8F"/>
    <w:rsid w:val="00AB4780"/>
    <w:rsid w:val="00AB4786"/>
    <w:rsid w:val="00AB5578"/>
    <w:rsid w:val="00AB676E"/>
    <w:rsid w:val="00AB6ABB"/>
    <w:rsid w:val="00AB6C8C"/>
    <w:rsid w:val="00AB713B"/>
    <w:rsid w:val="00AB7199"/>
    <w:rsid w:val="00AB73C4"/>
    <w:rsid w:val="00AB785D"/>
    <w:rsid w:val="00AC0549"/>
    <w:rsid w:val="00AC09A9"/>
    <w:rsid w:val="00AC1614"/>
    <w:rsid w:val="00AC27C5"/>
    <w:rsid w:val="00AC321C"/>
    <w:rsid w:val="00AC3E92"/>
    <w:rsid w:val="00AC426A"/>
    <w:rsid w:val="00AC42C7"/>
    <w:rsid w:val="00AC43AD"/>
    <w:rsid w:val="00AC51F4"/>
    <w:rsid w:val="00AC538D"/>
    <w:rsid w:val="00AC5B28"/>
    <w:rsid w:val="00AC6E46"/>
    <w:rsid w:val="00AC73D8"/>
    <w:rsid w:val="00AC7CB3"/>
    <w:rsid w:val="00AD0C25"/>
    <w:rsid w:val="00AD289C"/>
    <w:rsid w:val="00AD4C9A"/>
    <w:rsid w:val="00AD50C7"/>
    <w:rsid w:val="00AD523B"/>
    <w:rsid w:val="00AD5C32"/>
    <w:rsid w:val="00AD5E89"/>
    <w:rsid w:val="00AD605B"/>
    <w:rsid w:val="00AD6ED5"/>
    <w:rsid w:val="00AD7DB5"/>
    <w:rsid w:val="00AE08A4"/>
    <w:rsid w:val="00AE1AC8"/>
    <w:rsid w:val="00AE1DE2"/>
    <w:rsid w:val="00AE3778"/>
    <w:rsid w:val="00AE3ACB"/>
    <w:rsid w:val="00AE40B8"/>
    <w:rsid w:val="00AE4BAD"/>
    <w:rsid w:val="00AE50E4"/>
    <w:rsid w:val="00AE5B93"/>
    <w:rsid w:val="00AE5E24"/>
    <w:rsid w:val="00AE60DE"/>
    <w:rsid w:val="00AE74AF"/>
    <w:rsid w:val="00AE7AC8"/>
    <w:rsid w:val="00AF0C61"/>
    <w:rsid w:val="00AF136B"/>
    <w:rsid w:val="00AF2139"/>
    <w:rsid w:val="00AF248C"/>
    <w:rsid w:val="00AF270F"/>
    <w:rsid w:val="00AF2ABC"/>
    <w:rsid w:val="00AF3252"/>
    <w:rsid w:val="00AF4098"/>
    <w:rsid w:val="00AF4AEB"/>
    <w:rsid w:val="00AF4BCC"/>
    <w:rsid w:val="00AF505A"/>
    <w:rsid w:val="00AF5129"/>
    <w:rsid w:val="00AF5238"/>
    <w:rsid w:val="00AF5693"/>
    <w:rsid w:val="00AF6152"/>
    <w:rsid w:val="00AF638F"/>
    <w:rsid w:val="00AF76D2"/>
    <w:rsid w:val="00AF7770"/>
    <w:rsid w:val="00B00393"/>
    <w:rsid w:val="00B0071A"/>
    <w:rsid w:val="00B00C8D"/>
    <w:rsid w:val="00B028CD"/>
    <w:rsid w:val="00B032E1"/>
    <w:rsid w:val="00B0357A"/>
    <w:rsid w:val="00B03A71"/>
    <w:rsid w:val="00B041C6"/>
    <w:rsid w:val="00B048E4"/>
    <w:rsid w:val="00B04923"/>
    <w:rsid w:val="00B055FE"/>
    <w:rsid w:val="00B05AE9"/>
    <w:rsid w:val="00B05E23"/>
    <w:rsid w:val="00B05E46"/>
    <w:rsid w:val="00B06267"/>
    <w:rsid w:val="00B06748"/>
    <w:rsid w:val="00B06D59"/>
    <w:rsid w:val="00B1034C"/>
    <w:rsid w:val="00B10427"/>
    <w:rsid w:val="00B10895"/>
    <w:rsid w:val="00B10B5B"/>
    <w:rsid w:val="00B123C9"/>
    <w:rsid w:val="00B1277C"/>
    <w:rsid w:val="00B13714"/>
    <w:rsid w:val="00B137C7"/>
    <w:rsid w:val="00B13A90"/>
    <w:rsid w:val="00B13E45"/>
    <w:rsid w:val="00B14602"/>
    <w:rsid w:val="00B14910"/>
    <w:rsid w:val="00B1586F"/>
    <w:rsid w:val="00B15B12"/>
    <w:rsid w:val="00B172ED"/>
    <w:rsid w:val="00B178CE"/>
    <w:rsid w:val="00B17924"/>
    <w:rsid w:val="00B17E56"/>
    <w:rsid w:val="00B205CD"/>
    <w:rsid w:val="00B2077A"/>
    <w:rsid w:val="00B214A0"/>
    <w:rsid w:val="00B21907"/>
    <w:rsid w:val="00B2399C"/>
    <w:rsid w:val="00B2448B"/>
    <w:rsid w:val="00B24A4D"/>
    <w:rsid w:val="00B2512B"/>
    <w:rsid w:val="00B25298"/>
    <w:rsid w:val="00B25E4E"/>
    <w:rsid w:val="00B262FB"/>
    <w:rsid w:val="00B27AC9"/>
    <w:rsid w:val="00B27B90"/>
    <w:rsid w:val="00B27CA8"/>
    <w:rsid w:val="00B30BDD"/>
    <w:rsid w:val="00B311E5"/>
    <w:rsid w:val="00B32374"/>
    <w:rsid w:val="00B3271E"/>
    <w:rsid w:val="00B32AEB"/>
    <w:rsid w:val="00B35B05"/>
    <w:rsid w:val="00B35F49"/>
    <w:rsid w:val="00B3672C"/>
    <w:rsid w:val="00B369AC"/>
    <w:rsid w:val="00B36DBC"/>
    <w:rsid w:val="00B37768"/>
    <w:rsid w:val="00B37D50"/>
    <w:rsid w:val="00B40ED3"/>
    <w:rsid w:val="00B416FF"/>
    <w:rsid w:val="00B42505"/>
    <w:rsid w:val="00B425F2"/>
    <w:rsid w:val="00B426CB"/>
    <w:rsid w:val="00B43828"/>
    <w:rsid w:val="00B43B44"/>
    <w:rsid w:val="00B44D33"/>
    <w:rsid w:val="00B4648A"/>
    <w:rsid w:val="00B46E58"/>
    <w:rsid w:val="00B477B5"/>
    <w:rsid w:val="00B511D9"/>
    <w:rsid w:val="00B515D0"/>
    <w:rsid w:val="00B51C86"/>
    <w:rsid w:val="00B524C2"/>
    <w:rsid w:val="00B52673"/>
    <w:rsid w:val="00B54D86"/>
    <w:rsid w:val="00B54FB2"/>
    <w:rsid w:val="00B557CC"/>
    <w:rsid w:val="00B55D9A"/>
    <w:rsid w:val="00B55DED"/>
    <w:rsid w:val="00B55F3B"/>
    <w:rsid w:val="00B57ECE"/>
    <w:rsid w:val="00B60292"/>
    <w:rsid w:val="00B605CD"/>
    <w:rsid w:val="00B60CFF"/>
    <w:rsid w:val="00B61282"/>
    <w:rsid w:val="00B62024"/>
    <w:rsid w:val="00B621F2"/>
    <w:rsid w:val="00B62325"/>
    <w:rsid w:val="00B62641"/>
    <w:rsid w:val="00B64713"/>
    <w:rsid w:val="00B64F0D"/>
    <w:rsid w:val="00B65793"/>
    <w:rsid w:val="00B65FCE"/>
    <w:rsid w:val="00B660A0"/>
    <w:rsid w:val="00B669A1"/>
    <w:rsid w:val="00B7138F"/>
    <w:rsid w:val="00B7172C"/>
    <w:rsid w:val="00B71E3A"/>
    <w:rsid w:val="00B71E6B"/>
    <w:rsid w:val="00B71EFA"/>
    <w:rsid w:val="00B72B55"/>
    <w:rsid w:val="00B72EA7"/>
    <w:rsid w:val="00B7419D"/>
    <w:rsid w:val="00B74856"/>
    <w:rsid w:val="00B755D1"/>
    <w:rsid w:val="00B75686"/>
    <w:rsid w:val="00B75FBB"/>
    <w:rsid w:val="00B768EF"/>
    <w:rsid w:val="00B76E38"/>
    <w:rsid w:val="00B7730A"/>
    <w:rsid w:val="00B7730E"/>
    <w:rsid w:val="00B80683"/>
    <w:rsid w:val="00B807C6"/>
    <w:rsid w:val="00B814D5"/>
    <w:rsid w:val="00B816E2"/>
    <w:rsid w:val="00B81E36"/>
    <w:rsid w:val="00B82268"/>
    <w:rsid w:val="00B82802"/>
    <w:rsid w:val="00B82889"/>
    <w:rsid w:val="00B829A6"/>
    <w:rsid w:val="00B82EAA"/>
    <w:rsid w:val="00B83AF4"/>
    <w:rsid w:val="00B87661"/>
    <w:rsid w:val="00B877D7"/>
    <w:rsid w:val="00B87869"/>
    <w:rsid w:val="00B9018F"/>
    <w:rsid w:val="00B9051A"/>
    <w:rsid w:val="00B92193"/>
    <w:rsid w:val="00B9229A"/>
    <w:rsid w:val="00B925B8"/>
    <w:rsid w:val="00B92F26"/>
    <w:rsid w:val="00B93893"/>
    <w:rsid w:val="00B94760"/>
    <w:rsid w:val="00B95A09"/>
    <w:rsid w:val="00B9606F"/>
    <w:rsid w:val="00B970C0"/>
    <w:rsid w:val="00B9722B"/>
    <w:rsid w:val="00BA038C"/>
    <w:rsid w:val="00BA2920"/>
    <w:rsid w:val="00BA348F"/>
    <w:rsid w:val="00BA3852"/>
    <w:rsid w:val="00BA406C"/>
    <w:rsid w:val="00BA4CB0"/>
    <w:rsid w:val="00BA5302"/>
    <w:rsid w:val="00BA6EBD"/>
    <w:rsid w:val="00BA74E8"/>
    <w:rsid w:val="00BB00C7"/>
    <w:rsid w:val="00BB0DBB"/>
    <w:rsid w:val="00BB0EB6"/>
    <w:rsid w:val="00BB1403"/>
    <w:rsid w:val="00BB2B32"/>
    <w:rsid w:val="00BB30EB"/>
    <w:rsid w:val="00BB4F5D"/>
    <w:rsid w:val="00BB5100"/>
    <w:rsid w:val="00BB54D2"/>
    <w:rsid w:val="00BB5A36"/>
    <w:rsid w:val="00BB5E7F"/>
    <w:rsid w:val="00BB5ED1"/>
    <w:rsid w:val="00BB6A32"/>
    <w:rsid w:val="00BB7F0A"/>
    <w:rsid w:val="00BC0404"/>
    <w:rsid w:val="00BC0F00"/>
    <w:rsid w:val="00BC12F4"/>
    <w:rsid w:val="00BC14D8"/>
    <w:rsid w:val="00BC2037"/>
    <w:rsid w:val="00BC286C"/>
    <w:rsid w:val="00BC29D0"/>
    <w:rsid w:val="00BC4289"/>
    <w:rsid w:val="00BC4C02"/>
    <w:rsid w:val="00BC5010"/>
    <w:rsid w:val="00BC5265"/>
    <w:rsid w:val="00BC5494"/>
    <w:rsid w:val="00BC5D7B"/>
    <w:rsid w:val="00BC5DB7"/>
    <w:rsid w:val="00BC5FA7"/>
    <w:rsid w:val="00BC627B"/>
    <w:rsid w:val="00BC661E"/>
    <w:rsid w:val="00BC6697"/>
    <w:rsid w:val="00BC7D71"/>
    <w:rsid w:val="00BD0068"/>
    <w:rsid w:val="00BD0CB3"/>
    <w:rsid w:val="00BD1192"/>
    <w:rsid w:val="00BD3A81"/>
    <w:rsid w:val="00BD3BEB"/>
    <w:rsid w:val="00BD3E9A"/>
    <w:rsid w:val="00BD4460"/>
    <w:rsid w:val="00BD4F9D"/>
    <w:rsid w:val="00BD52EC"/>
    <w:rsid w:val="00BD5558"/>
    <w:rsid w:val="00BD56EA"/>
    <w:rsid w:val="00BD5EBE"/>
    <w:rsid w:val="00BD6426"/>
    <w:rsid w:val="00BD6F27"/>
    <w:rsid w:val="00BE0377"/>
    <w:rsid w:val="00BE05DA"/>
    <w:rsid w:val="00BE1488"/>
    <w:rsid w:val="00BE17A6"/>
    <w:rsid w:val="00BE191D"/>
    <w:rsid w:val="00BE1A70"/>
    <w:rsid w:val="00BE2BCA"/>
    <w:rsid w:val="00BE3475"/>
    <w:rsid w:val="00BE3480"/>
    <w:rsid w:val="00BE3E69"/>
    <w:rsid w:val="00BE40C8"/>
    <w:rsid w:val="00BE4F69"/>
    <w:rsid w:val="00BE75B4"/>
    <w:rsid w:val="00BE7AA9"/>
    <w:rsid w:val="00BE7C96"/>
    <w:rsid w:val="00BF0843"/>
    <w:rsid w:val="00BF1CCB"/>
    <w:rsid w:val="00BF1E3F"/>
    <w:rsid w:val="00BF29AF"/>
    <w:rsid w:val="00BF3C51"/>
    <w:rsid w:val="00BF5A6F"/>
    <w:rsid w:val="00BF6C94"/>
    <w:rsid w:val="00BF7B37"/>
    <w:rsid w:val="00BF82B3"/>
    <w:rsid w:val="00C00037"/>
    <w:rsid w:val="00C0089E"/>
    <w:rsid w:val="00C00BFB"/>
    <w:rsid w:val="00C01386"/>
    <w:rsid w:val="00C0158E"/>
    <w:rsid w:val="00C01883"/>
    <w:rsid w:val="00C01926"/>
    <w:rsid w:val="00C021CF"/>
    <w:rsid w:val="00C02D5A"/>
    <w:rsid w:val="00C04C6A"/>
    <w:rsid w:val="00C05D3A"/>
    <w:rsid w:val="00C05FA1"/>
    <w:rsid w:val="00C06556"/>
    <w:rsid w:val="00C1071C"/>
    <w:rsid w:val="00C107BD"/>
    <w:rsid w:val="00C1094F"/>
    <w:rsid w:val="00C10FEE"/>
    <w:rsid w:val="00C119AC"/>
    <w:rsid w:val="00C11CB6"/>
    <w:rsid w:val="00C11E1D"/>
    <w:rsid w:val="00C11EDF"/>
    <w:rsid w:val="00C12353"/>
    <w:rsid w:val="00C13094"/>
    <w:rsid w:val="00C14E3B"/>
    <w:rsid w:val="00C150EE"/>
    <w:rsid w:val="00C15C70"/>
    <w:rsid w:val="00C16759"/>
    <w:rsid w:val="00C16EF0"/>
    <w:rsid w:val="00C20329"/>
    <w:rsid w:val="00C22E02"/>
    <w:rsid w:val="00C234A4"/>
    <w:rsid w:val="00C23587"/>
    <w:rsid w:val="00C2375C"/>
    <w:rsid w:val="00C25A92"/>
    <w:rsid w:val="00C25EB6"/>
    <w:rsid w:val="00C26476"/>
    <w:rsid w:val="00C26C9B"/>
    <w:rsid w:val="00C2790E"/>
    <w:rsid w:val="00C30B7A"/>
    <w:rsid w:val="00C31052"/>
    <w:rsid w:val="00C33634"/>
    <w:rsid w:val="00C33648"/>
    <w:rsid w:val="00C337BD"/>
    <w:rsid w:val="00C33887"/>
    <w:rsid w:val="00C34167"/>
    <w:rsid w:val="00C345D1"/>
    <w:rsid w:val="00C3497A"/>
    <w:rsid w:val="00C35E15"/>
    <w:rsid w:val="00C35E41"/>
    <w:rsid w:val="00C37117"/>
    <w:rsid w:val="00C3774F"/>
    <w:rsid w:val="00C4043D"/>
    <w:rsid w:val="00C41FF3"/>
    <w:rsid w:val="00C43992"/>
    <w:rsid w:val="00C44625"/>
    <w:rsid w:val="00C44D06"/>
    <w:rsid w:val="00C46892"/>
    <w:rsid w:val="00C46BF2"/>
    <w:rsid w:val="00C46F8E"/>
    <w:rsid w:val="00C47E91"/>
    <w:rsid w:val="00C50093"/>
    <w:rsid w:val="00C50BD0"/>
    <w:rsid w:val="00C522E2"/>
    <w:rsid w:val="00C536C7"/>
    <w:rsid w:val="00C53E57"/>
    <w:rsid w:val="00C54658"/>
    <w:rsid w:val="00C549D1"/>
    <w:rsid w:val="00C54D7F"/>
    <w:rsid w:val="00C552BF"/>
    <w:rsid w:val="00C554F1"/>
    <w:rsid w:val="00C55545"/>
    <w:rsid w:val="00C55D0B"/>
    <w:rsid w:val="00C56B77"/>
    <w:rsid w:val="00C56CEA"/>
    <w:rsid w:val="00C61332"/>
    <w:rsid w:val="00C61F12"/>
    <w:rsid w:val="00C62822"/>
    <w:rsid w:val="00C6319A"/>
    <w:rsid w:val="00C63440"/>
    <w:rsid w:val="00C6352C"/>
    <w:rsid w:val="00C63A2B"/>
    <w:rsid w:val="00C63B38"/>
    <w:rsid w:val="00C63C02"/>
    <w:rsid w:val="00C63DCB"/>
    <w:rsid w:val="00C64E6E"/>
    <w:rsid w:val="00C656C8"/>
    <w:rsid w:val="00C6605A"/>
    <w:rsid w:val="00C67BF0"/>
    <w:rsid w:val="00C73509"/>
    <w:rsid w:val="00C73D12"/>
    <w:rsid w:val="00C74088"/>
    <w:rsid w:val="00C740E4"/>
    <w:rsid w:val="00C7461A"/>
    <w:rsid w:val="00C746AF"/>
    <w:rsid w:val="00C74861"/>
    <w:rsid w:val="00C74DF7"/>
    <w:rsid w:val="00C75767"/>
    <w:rsid w:val="00C75C44"/>
    <w:rsid w:val="00C76B67"/>
    <w:rsid w:val="00C76C23"/>
    <w:rsid w:val="00C80079"/>
    <w:rsid w:val="00C80097"/>
    <w:rsid w:val="00C80305"/>
    <w:rsid w:val="00C80D6D"/>
    <w:rsid w:val="00C80DF0"/>
    <w:rsid w:val="00C80FBC"/>
    <w:rsid w:val="00C82823"/>
    <w:rsid w:val="00C82AD5"/>
    <w:rsid w:val="00C82E54"/>
    <w:rsid w:val="00C83072"/>
    <w:rsid w:val="00C83F75"/>
    <w:rsid w:val="00C83FE0"/>
    <w:rsid w:val="00C8575E"/>
    <w:rsid w:val="00C85CB0"/>
    <w:rsid w:val="00C86030"/>
    <w:rsid w:val="00C8674A"/>
    <w:rsid w:val="00C874F1"/>
    <w:rsid w:val="00C87716"/>
    <w:rsid w:val="00C90AE1"/>
    <w:rsid w:val="00C919DB"/>
    <w:rsid w:val="00C930FE"/>
    <w:rsid w:val="00C93603"/>
    <w:rsid w:val="00C9381E"/>
    <w:rsid w:val="00C94027"/>
    <w:rsid w:val="00C944EA"/>
    <w:rsid w:val="00C94E6C"/>
    <w:rsid w:val="00C9546A"/>
    <w:rsid w:val="00C95757"/>
    <w:rsid w:val="00C96E52"/>
    <w:rsid w:val="00C96FB9"/>
    <w:rsid w:val="00CA1C09"/>
    <w:rsid w:val="00CA23B5"/>
    <w:rsid w:val="00CA298E"/>
    <w:rsid w:val="00CA29A2"/>
    <w:rsid w:val="00CA43A1"/>
    <w:rsid w:val="00CA43FB"/>
    <w:rsid w:val="00CA51F6"/>
    <w:rsid w:val="00CA54D1"/>
    <w:rsid w:val="00CA607A"/>
    <w:rsid w:val="00CA7034"/>
    <w:rsid w:val="00CA778E"/>
    <w:rsid w:val="00CA7A67"/>
    <w:rsid w:val="00CB0288"/>
    <w:rsid w:val="00CB0949"/>
    <w:rsid w:val="00CB16AC"/>
    <w:rsid w:val="00CB16D4"/>
    <w:rsid w:val="00CB26EF"/>
    <w:rsid w:val="00CB2703"/>
    <w:rsid w:val="00CB3449"/>
    <w:rsid w:val="00CB358A"/>
    <w:rsid w:val="00CB35C0"/>
    <w:rsid w:val="00CB3BE1"/>
    <w:rsid w:val="00CB42DB"/>
    <w:rsid w:val="00CB568E"/>
    <w:rsid w:val="00CB68EA"/>
    <w:rsid w:val="00CB6C6F"/>
    <w:rsid w:val="00CB7126"/>
    <w:rsid w:val="00CB7980"/>
    <w:rsid w:val="00CC05D7"/>
    <w:rsid w:val="00CC0D04"/>
    <w:rsid w:val="00CC19B6"/>
    <w:rsid w:val="00CC2CEF"/>
    <w:rsid w:val="00CC354B"/>
    <w:rsid w:val="00CC378A"/>
    <w:rsid w:val="00CC396E"/>
    <w:rsid w:val="00CC425B"/>
    <w:rsid w:val="00CC4C57"/>
    <w:rsid w:val="00CC5171"/>
    <w:rsid w:val="00CC5ED7"/>
    <w:rsid w:val="00CC5F27"/>
    <w:rsid w:val="00CC7368"/>
    <w:rsid w:val="00CC7519"/>
    <w:rsid w:val="00CC7861"/>
    <w:rsid w:val="00CD06D4"/>
    <w:rsid w:val="00CD1414"/>
    <w:rsid w:val="00CD1503"/>
    <w:rsid w:val="00CD168D"/>
    <w:rsid w:val="00CD1719"/>
    <w:rsid w:val="00CD1ABA"/>
    <w:rsid w:val="00CD1E59"/>
    <w:rsid w:val="00CD260C"/>
    <w:rsid w:val="00CD3305"/>
    <w:rsid w:val="00CD3482"/>
    <w:rsid w:val="00CD3786"/>
    <w:rsid w:val="00CD3C3D"/>
    <w:rsid w:val="00CD3D4A"/>
    <w:rsid w:val="00CD497E"/>
    <w:rsid w:val="00CD53BA"/>
    <w:rsid w:val="00CD6633"/>
    <w:rsid w:val="00CD68A4"/>
    <w:rsid w:val="00CD6C11"/>
    <w:rsid w:val="00CD726F"/>
    <w:rsid w:val="00CD7777"/>
    <w:rsid w:val="00CD7CDF"/>
    <w:rsid w:val="00CE0199"/>
    <w:rsid w:val="00CE109B"/>
    <w:rsid w:val="00CE146C"/>
    <w:rsid w:val="00CE1820"/>
    <w:rsid w:val="00CE1DC5"/>
    <w:rsid w:val="00CE1E1E"/>
    <w:rsid w:val="00CE50EB"/>
    <w:rsid w:val="00CE5B02"/>
    <w:rsid w:val="00CE5DA6"/>
    <w:rsid w:val="00CE5EC6"/>
    <w:rsid w:val="00CE631A"/>
    <w:rsid w:val="00CE6B9D"/>
    <w:rsid w:val="00CF0965"/>
    <w:rsid w:val="00CF2384"/>
    <w:rsid w:val="00CF2722"/>
    <w:rsid w:val="00CF27A7"/>
    <w:rsid w:val="00CF37F0"/>
    <w:rsid w:val="00CF3EBB"/>
    <w:rsid w:val="00CF4FC5"/>
    <w:rsid w:val="00CF5350"/>
    <w:rsid w:val="00CF574B"/>
    <w:rsid w:val="00CF5797"/>
    <w:rsid w:val="00CF6390"/>
    <w:rsid w:val="00CF682A"/>
    <w:rsid w:val="00CF6D74"/>
    <w:rsid w:val="00D00036"/>
    <w:rsid w:val="00D00806"/>
    <w:rsid w:val="00D0087A"/>
    <w:rsid w:val="00D00987"/>
    <w:rsid w:val="00D0144F"/>
    <w:rsid w:val="00D014FB"/>
    <w:rsid w:val="00D01BF6"/>
    <w:rsid w:val="00D01D67"/>
    <w:rsid w:val="00D028E0"/>
    <w:rsid w:val="00D02A60"/>
    <w:rsid w:val="00D02C28"/>
    <w:rsid w:val="00D03DF1"/>
    <w:rsid w:val="00D05C62"/>
    <w:rsid w:val="00D063D5"/>
    <w:rsid w:val="00D06CE3"/>
    <w:rsid w:val="00D07AAE"/>
    <w:rsid w:val="00D1021B"/>
    <w:rsid w:val="00D10AC4"/>
    <w:rsid w:val="00D11D1D"/>
    <w:rsid w:val="00D126F9"/>
    <w:rsid w:val="00D14BA5"/>
    <w:rsid w:val="00D15126"/>
    <w:rsid w:val="00D15152"/>
    <w:rsid w:val="00D16BD4"/>
    <w:rsid w:val="00D16CC9"/>
    <w:rsid w:val="00D17108"/>
    <w:rsid w:val="00D1739C"/>
    <w:rsid w:val="00D17D48"/>
    <w:rsid w:val="00D204A8"/>
    <w:rsid w:val="00D20FF5"/>
    <w:rsid w:val="00D22106"/>
    <w:rsid w:val="00D2284C"/>
    <w:rsid w:val="00D2287C"/>
    <w:rsid w:val="00D22A45"/>
    <w:rsid w:val="00D23A0A"/>
    <w:rsid w:val="00D23A37"/>
    <w:rsid w:val="00D2465F"/>
    <w:rsid w:val="00D249C4"/>
    <w:rsid w:val="00D26338"/>
    <w:rsid w:val="00D26AC2"/>
    <w:rsid w:val="00D26D04"/>
    <w:rsid w:val="00D2720B"/>
    <w:rsid w:val="00D303CA"/>
    <w:rsid w:val="00D30542"/>
    <w:rsid w:val="00D3145C"/>
    <w:rsid w:val="00D3146B"/>
    <w:rsid w:val="00D31CAB"/>
    <w:rsid w:val="00D31D2C"/>
    <w:rsid w:val="00D32C7F"/>
    <w:rsid w:val="00D32E8F"/>
    <w:rsid w:val="00D33F39"/>
    <w:rsid w:val="00D34EE2"/>
    <w:rsid w:val="00D3534A"/>
    <w:rsid w:val="00D356D6"/>
    <w:rsid w:val="00D35D38"/>
    <w:rsid w:val="00D362F9"/>
    <w:rsid w:val="00D3779B"/>
    <w:rsid w:val="00D4003F"/>
    <w:rsid w:val="00D40727"/>
    <w:rsid w:val="00D40D6E"/>
    <w:rsid w:val="00D4181F"/>
    <w:rsid w:val="00D41FAF"/>
    <w:rsid w:val="00D426FB"/>
    <w:rsid w:val="00D42CA4"/>
    <w:rsid w:val="00D440FB"/>
    <w:rsid w:val="00D4463D"/>
    <w:rsid w:val="00D4548D"/>
    <w:rsid w:val="00D456D5"/>
    <w:rsid w:val="00D4695A"/>
    <w:rsid w:val="00D46A75"/>
    <w:rsid w:val="00D477BC"/>
    <w:rsid w:val="00D47BBC"/>
    <w:rsid w:val="00D50E74"/>
    <w:rsid w:val="00D51042"/>
    <w:rsid w:val="00D51CD9"/>
    <w:rsid w:val="00D52011"/>
    <w:rsid w:val="00D52D70"/>
    <w:rsid w:val="00D5394B"/>
    <w:rsid w:val="00D54828"/>
    <w:rsid w:val="00D54D5C"/>
    <w:rsid w:val="00D55C96"/>
    <w:rsid w:val="00D62A17"/>
    <w:rsid w:val="00D6357D"/>
    <w:rsid w:val="00D650F1"/>
    <w:rsid w:val="00D65A63"/>
    <w:rsid w:val="00D6750E"/>
    <w:rsid w:val="00D67650"/>
    <w:rsid w:val="00D711A5"/>
    <w:rsid w:val="00D71C12"/>
    <w:rsid w:val="00D71CB2"/>
    <w:rsid w:val="00D7275A"/>
    <w:rsid w:val="00D74C02"/>
    <w:rsid w:val="00D75726"/>
    <w:rsid w:val="00D75C6B"/>
    <w:rsid w:val="00D75F06"/>
    <w:rsid w:val="00D7659E"/>
    <w:rsid w:val="00D76830"/>
    <w:rsid w:val="00D778BC"/>
    <w:rsid w:val="00D77AFF"/>
    <w:rsid w:val="00D81130"/>
    <w:rsid w:val="00D82AF5"/>
    <w:rsid w:val="00D8432B"/>
    <w:rsid w:val="00D8504F"/>
    <w:rsid w:val="00D85273"/>
    <w:rsid w:val="00D85E02"/>
    <w:rsid w:val="00D86052"/>
    <w:rsid w:val="00D87582"/>
    <w:rsid w:val="00D87F53"/>
    <w:rsid w:val="00D91D07"/>
    <w:rsid w:val="00D94FAD"/>
    <w:rsid w:val="00D95723"/>
    <w:rsid w:val="00D95E57"/>
    <w:rsid w:val="00D96020"/>
    <w:rsid w:val="00D97116"/>
    <w:rsid w:val="00D97E7F"/>
    <w:rsid w:val="00DA00CB"/>
    <w:rsid w:val="00DA064F"/>
    <w:rsid w:val="00DA180B"/>
    <w:rsid w:val="00DA21FB"/>
    <w:rsid w:val="00DA2562"/>
    <w:rsid w:val="00DA26BA"/>
    <w:rsid w:val="00DA26D3"/>
    <w:rsid w:val="00DA270A"/>
    <w:rsid w:val="00DA2E62"/>
    <w:rsid w:val="00DA3EA3"/>
    <w:rsid w:val="00DA4273"/>
    <w:rsid w:val="00DA4966"/>
    <w:rsid w:val="00DA4981"/>
    <w:rsid w:val="00DA5145"/>
    <w:rsid w:val="00DA6036"/>
    <w:rsid w:val="00DA60E3"/>
    <w:rsid w:val="00DA66BA"/>
    <w:rsid w:val="00DA79C3"/>
    <w:rsid w:val="00DB1007"/>
    <w:rsid w:val="00DB13E1"/>
    <w:rsid w:val="00DB1CEA"/>
    <w:rsid w:val="00DB1FF1"/>
    <w:rsid w:val="00DB2733"/>
    <w:rsid w:val="00DB2896"/>
    <w:rsid w:val="00DB2D8E"/>
    <w:rsid w:val="00DB2DD9"/>
    <w:rsid w:val="00DB44B0"/>
    <w:rsid w:val="00DB512C"/>
    <w:rsid w:val="00DB5730"/>
    <w:rsid w:val="00DB5AF4"/>
    <w:rsid w:val="00DB6942"/>
    <w:rsid w:val="00DB76B6"/>
    <w:rsid w:val="00DC0401"/>
    <w:rsid w:val="00DC0AC1"/>
    <w:rsid w:val="00DC0E4F"/>
    <w:rsid w:val="00DC16DB"/>
    <w:rsid w:val="00DC28FE"/>
    <w:rsid w:val="00DC2AB3"/>
    <w:rsid w:val="00DC3280"/>
    <w:rsid w:val="00DC36C4"/>
    <w:rsid w:val="00DC579F"/>
    <w:rsid w:val="00DC5BBF"/>
    <w:rsid w:val="00DC5EED"/>
    <w:rsid w:val="00DC6081"/>
    <w:rsid w:val="00DC6F39"/>
    <w:rsid w:val="00DC711A"/>
    <w:rsid w:val="00DC72B9"/>
    <w:rsid w:val="00DC7822"/>
    <w:rsid w:val="00DC79F7"/>
    <w:rsid w:val="00DC7CF5"/>
    <w:rsid w:val="00DC7D7D"/>
    <w:rsid w:val="00DC7F1B"/>
    <w:rsid w:val="00DD1386"/>
    <w:rsid w:val="00DD209D"/>
    <w:rsid w:val="00DD2270"/>
    <w:rsid w:val="00DD2B89"/>
    <w:rsid w:val="00DD2D15"/>
    <w:rsid w:val="00DD3715"/>
    <w:rsid w:val="00DD3A6E"/>
    <w:rsid w:val="00DD3D09"/>
    <w:rsid w:val="00DD41F1"/>
    <w:rsid w:val="00DD4B76"/>
    <w:rsid w:val="00DD52DD"/>
    <w:rsid w:val="00DD56E4"/>
    <w:rsid w:val="00DD572E"/>
    <w:rsid w:val="00DD5C57"/>
    <w:rsid w:val="00DD723A"/>
    <w:rsid w:val="00DD7847"/>
    <w:rsid w:val="00DE1022"/>
    <w:rsid w:val="00DE22EC"/>
    <w:rsid w:val="00DE2D97"/>
    <w:rsid w:val="00DE33FC"/>
    <w:rsid w:val="00DE4B2C"/>
    <w:rsid w:val="00DE51E2"/>
    <w:rsid w:val="00DE5B09"/>
    <w:rsid w:val="00DE6061"/>
    <w:rsid w:val="00DE6169"/>
    <w:rsid w:val="00DE623D"/>
    <w:rsid w:val="00DE6E0F"/>
    <w:rsid w:val="00DE70EA"/>
    <w:rsid w:val="00DE7165"/>
    <w:rsid w:val="00DE75E4"/>
    <w:rsid w:val="00DF07BB"/>
    <w:rsid w:val="00DF14CF"/>
    <w:rsid w:val="00DF1C8C"/>
    <w:rsid w:val="00DF1DED"/>
    <w:rsid w:val="00DF221D"/>
    <w:rsid w:val="00DF2CAE"/>
    <w:rsid w:val="00DF2E83"/>
    <w:rsid w:val="00DF4335"/>
    <w:rsid w:val="00DF48FC"/>
    <w:rsid w:val="00DF6BEE"/>
    <w:rsid w:val="00DF7ACA"/>
    <w:rsid w:val="00E0062A"/>
    <w:rsid w:val="00E02023"/>
    <w:rsid w:val="00E027B8"/>
    <w:rsid w:val="00E028E3"/>
    <w:rsid w:val="00E031F0"/>
    <w:rsid w:val="00E03866"/>
    <w:rsid w:val="00E03A7F"/>
    <w:rsid w:val="00E042D9"/>
    <w:rsid w:val="00E04BC6"/>
    <w:rsid w:val="00E058BF"/>
    <w:rsid w:val="00E07F9F"/>
    <w:rsid w:val="00E11DF8"/>
    <w:rsid w:val="00E12AA7"/>
    <w:rsid w:val="00E13892"/>
    <w:rsid w:val="00E13CE7"/>
    <w:rsid w:val="00E1435C"/>
    <w:rsid w:val="00E145E0"/>
    <w:rsid w:val="00E14CB5"/>
    <w:rsid w:val="00E158B5"/>
    <w:rsid w:val="00E16633"/>
    <w:rsid w:val="00E17429"/>
    <w:rsid w:val="00E20391"/>
    <w:rsid w:val="00E2068D"/>
    <w:rsid w:val="00E20B24"/>
    <w:rsid w:val="00E215A8"/>
    <w:rsid w:val="00E215FC"/>
    <w:rsid w:val="00E217B1"/>
    <w:rsid w:val="00E245EC"/>
    <w:rsid w:val="00E255C7"/>
    <w:rsid w:val="00E26E0B"/>
    <w:rsid w:val="00E2770A"/>
    <w:rsid w:val="00E27ADA"/>
    <w:rsid w:val="00E27D94"/>
    <w:rsid w:val="00E310B7"/>
    <w:rsid w:val="00E31849"/>
    <w:rsid w:val="00E32E68"/>
    <w:rsid w:val="00E32F08"/>
    <w:rsid w:val="00E331BF"/>
    <w:rsid w:val="00E331D6"/>
    <w:rsid w:val="00E336CC"/>
    <w:rsid w:val="00E33847"/>
    <w:rsid w:val="00E341B8"/>
    <w:rsid w:val="00E34666"/>
    <w:rsid w:val="00E35C5B"/>
    <w:rsid w:val="00E36436"/>
    <w:rsid w:val="00E37523"/>
    <w:rsid w:val="00E3787F"/>
    <w:rsid w:val="00E406AD"/>
    <w:rsid w:val="00E40AD7"/>
    <w:rsid w:val="00E41162"/>
    <w:rsid w:val="00E415CD"/>
    <w:rsid w:val="00E41A7C"/>
    <w:rsid w:val="00E4296B"/>
    <w:rsid w:val="00E4328B"/>
    <w:rsid w:val="00E43368"/>
    <w:rsid w:val="00E443AB"/>
    <w:rsid w:val="00E4477A"/>
    <w:rsid w:val="00E4522F"/>
    <w:rsid w:val="00E4530E"/>
    <w:rsid w:val="00E45EC1"/>
    <w:rsid w:val="00E46D49"/>
    <w:rsid w:val="00E4710B"/>
    <w:rsid w:val="00E47217"/>
    <w:rsid w:val="00E473D1"/>
    <w:rsid w:val="00E477A7"/>
    <w:rsid w:val="00E47AF7"/>
    <w:rsid w:val="00E47C35"/>
    <w:rsid w:val="00E47EA6"/>
    <w:rsid w:val="00E50390"/>
    <w:rsid w:val="00E505B0"/>
    <w:rsid w:val="00E50AF8"/>
    <w:rsid w:val="00E50CC8"/>
    <w:rsid w:val="00E523D2"/>
    <w:rsid w:val="00E53582"/>
    <w:rsid w:val="00E53D9F"/>
    <w:rsid w:val="00E54BBF"/>
    <w:rsid w:val="00E551A9"/>
    <w:rsid w:val="00E55D34"/>
    <w:rsid w:val="00E55F2D"/>
    <w:rsid w:val="00E562B0"/>
    <w:rsid w:val="00E60287"/>
    <w:rsid w:val="00E6068F"/>
    <w:rsid w:val="00E612C0"/>
    <w:rsid w:val="00E61B3E"/>
    <w:rsid w:val="00E61E93"/>
    <w:rsid w:val="00E61FAA"/>
    <w:rsid w:val="00E6297E"/>
    <w:rsid w:val="00E63123"/>
    <w:rsid w:val="00E64BCA"/>
    <w:rsid w:val="00E65965"/>
    <w:rsid w:val="00E65E9F"/>
    <w:rsid w:val="00E66CB3"/>
    <w:rsid w:val="00E66F22"/>
    <w:rsid w:val="00E67568"/>
    <w:rsid w:val="00E67DA8"/>
    <w:rsid w:val="00E67EFF"/>
    <w:rsid w:val="00E716A0"/>
    <w:rsid w:val="00E72526"/>
    <w:rsid w:val="00E731C7"/>
    <w:rsid w:val="00E7344F"/>
    <w:rsid w:val="00E75074"/>
    <w:rsid w:val="00E77118"/>
    <w:rsid w:val="00E773E5"/>
    <w:rsid w:val="00E77746"/>
    <w:rsid w:val="00E80AE6"/>
    <w:rsid w:val="00E81617"/>
    <w:rsid w:val="00E8175C"/>
    <w:rsid w:val="00E81A97"/>
    <w:rsid w:val="00E81BC2"/>
    <w:rsid w:val="00E81C05"/>
    <w:rsid w:val="00E82505"/>
    <w:rsid w:val="00E82691"/>
    <w:rsid w:val="00E82B72"/>
    <w:rsid w:val="00E82C27"/>
    <w:rsid w:val="00E86FFA"/>
    <w:rsid w:val="00E8758A"/>
    <w:rsid w:val="00E878D4"/>
    <w:rsid w:val="00E878F6"/>
    <w:rsid w:val="00E90950"/>
    <w:rsid w:val="00E9099C"/>
    <w:rsid w:val="00E9099E"/>
    <w:rsid w:val="00E90B1A"/>
    <w:rsid w:val="00E90F17"/>
    <w:rsid w:val="00E92729"/>
    <w:rsid w:val="00E93530"/>
    <w:rsid w:val="00E9397D"/>
    <w:rsid w:val="00E94C7E"/>
    <w:rsid w:val="00E95106"/>
    <w:rsid w:val="00E955F8"/>
    <w:rsid w:val="00E95FA4"/>
    <w:rsid w:val="00E961F5"/>
    <w:rsid w:val="00E965D4"/>
    <w:rsid w:val="00EA0764"/>
    <w:rsid w:val="00EA1E69"/>
    <w:rsid w:val="00EA2196"/>
    <w:rsid w:val="00EA24E6"/>
    <w:rsid w:val="00EA2A67"/>
    <w:rsid w:val="00EA3D43"/>
    <w:rsid w:val="00EA48EE"/>
    <w:rsid w:val="00EA5966"/>
    <w:rsid w:val="00EA5A2A"/>
    <w:rsid w:val="00EA60AB"/>
    <w:rsid w:val="00EA63C5"/>
    <w:rsid w:val="00EA7029"/>
    <w:rsid w:val="00EA7926"/>
    <w:rsid w:val="00EA7DA9"/>
    <w:rsid w:val="00EB0398"/>
    <w:rsid w:val="00EB1035"/>
    <w:rsid w:val="00EB15E2"/>
    <w:rsid w:val="00EB1C6B"/>
    <w:rsid w:val="00EB28C7"/>
    <w:rsid w:val="00EB29DD"/>
    <w:rsid w:val="00EB2F35"/>
    <w:rsid w:val="00EB3196"/>
    <w:rsid w:val="00EB32B8"/>
    <w:rsid w:val="00EB380A"/>
    <w:rsid w:val="00EB3C3C"/>
    <w:rsid w:val="00EB3DF4"/>
    <w:rsid w:val="00EB4732"/>
    <w:rsid w:val="00EB4FBE"/>
    <w:rsid w:val="00EB69C4"/>
    <w:rsid w:val="00EB7A34"/>
    <w:rsid w:val="00EB7ECE"/>
    <w:rsid w:val="00EC00A1"/>
    <w:rsid w:val="00EC105F"/>
    <w:rsid w:val="00EC1EB4"/>
    <w:rsid w:val="00EC28D6"/>
    <w:rsid w:val="00EC336A"/>
    <w:rsid w:val="00EC3868"/>
    <w:rsid w:val="00EC40CD"/>
    <w:rsid w:val="00EC46FF"/>
    <w:rsid w:val="00EC48CD"/>
    <w:rsid w:val="00EC5704"/>
    <w:rsid w:val="00EC5DB1"/>
    <w:rsid w:val="00EC611C"/>
    <w:rsid w:val="00EC6B5C"/>
    <w:rsid w:val="00EC7271"/>
    <w:rsid w:val="00EC78F0"/>
    <w:rsid w:val="00ED01EF"/>
    <w:rsid w:val="00ED0AA9"/>
    <w:rsid w:val="00ED0CA5"/>
    <w:rsid w:val="00ED18A2"/>
    <w:rsid w:val="00ED1906"/>
    <w:rsid w:val="00ED248A"/>
    <w:rsid w:val="00ED3176"/>
    <w:rsid w:val="00ED3A09"/>
    <w:rsid w:val="00ED5316"/>
    <w:rsid w:val="00ED5AED"/>
    <w:rsid w:val="00ED60AA"/>
    <w:rsid w:val="00ED6D2A"/>
    <w:rsid w:val="00ED742C"/>
    <w:rsid w:val="00ED7884"/>
    <w:rsid w:val="00ED7901"/>
    <w:rsid w:val="00ED7D48"/>
    <w:rsid w:val="00ED7EE9"/>
    <w:rsid w:val="00EE0639"/>
    <w:rsid w:val="00EE0FD9"/>
    <w:rsid w:val="00EE2C6F"/>
    <w:rsid w:val="00EE3753"/>
    <w:rsid w:val="00EE42F2"/>
    <w:rsid w:val="00EE43FA"/>
    <w:rsid w:val="00EE4442"/>
    <w:rsid w:val="00EE476E"/>
    <w:rsid w:val="00EE579D"/>
    <w:rsid w:val="00EE6120"/>
    <w:rsid w:val="00EE6390"/>
    <w:rsid w:val="00EE66DD"/>
    <w:rsid w:val="00EE6FC7"/>
    <w:rsid w:val="00EE7510"/>
    <w:rsid w:val="00EE785C"/>
    <w:rsid w:val="00EE7860"/>
    <w:rsid w:val="00EE78BD"/>
    <w:rsid w:val="00EE7FED"/>
    <w:rsid w:val="00EF072A"/>
    <w:rsid w:val="00EF0F4D"/>
    <w:rsid w:val="00EF1027"/>
    <w:rsid w:val="00EF1960"/>
    <w:rsid w:val="00EF2253"/>
    <w:rsid w:val="00EF2340"/>
    <w:rsid w:val="00EF2E5B"/>
    <w:rsid w:val="00EF37F1"/>
    <w:rsid w:val="00EF3ED9"/>
    <w:rsid w:val="00EF4723"/>
    <w:rsid w:val="00EF535B"/>
    <w:rsid w:val="00EF55FA"/>
    <w:rsid w:val="00EF56B5"/>
    <w:rsid w:val="00EF5806"/>
    <w:rsid w:val="00F00E91"/>
    <w:rsid w:val="00F01959"/>
    <w:rsid w:val="00F024A5"/>
    <w:rsid w:val="00F0344B"/>
    <w:rsid w:val="00F03B4E"/>
    <w:rsid w:val="00F03C0A"/>
    <w:rsid w:val="00F060D4"/>
    <w:rsid w:val="00F0610C"/>
    <w:rsid w:val="00F11919"/>
    <w:rsid w:val="00F127B5"/>
    <w:rsid w:val="00F12A57"/>
    <w:rsid w:val="00F12D1D"/>
    <w:rsid w:val="00F12F2F"/>
    <w:rsid w:val="00F1373D"/>
    <w:rsid w:val="00F13E85"/>
    <w:rsid w:val="00F14489"/>
    <w:rsid w:val="00F14DFA"/>
    <w:rsid w:val="00F1500D"/>
    <w:rsid w:val="00F161EA"/>
    <w:rsid w:val="00F16F4A"/>
    <w:rsid w:val="00F17694"/>
    <w:rsid w:val="00F202A9"/>
    <w:rsid w:val="00F21B2B"/>
    <w:rsid w:val="00F21D7E"/>
    <w:rsid w:val="00F221DC"/>
    <w:rsid w:val="00F22E88"/>
    <w:rsid w:val="00F235D7"/>
    <w:rsid w:val="00F235FD"/>
    <w:rsid w:val="00F23800"/>
    <w:rsid w:val="00F2593E"/>
    <w:rsid w:val="00F26A4E"/>
    <w:rsid w:val="00F330A3"/>
    <w:rsid w:val="00F33551"/>
    <w:rsid w:val="00F33A1D"/>
    <w:rsid w:val="00F34634"/>
    <w:rsid w:val="00F34D59"/>
    <w:rsid w:val="00F34FC0"/>
    <w:rsid w:val="00F363D8"/>
    <w:rsid w:val="00F36C4E"/>
    <w:rsid w:val="00F37F49"/>
    <w:rsid w:val="00F405B8"/>
    <w:rsid w:val="00F40F5F"/>
    <w:rsid w:val="00F41E52"/>
    <w:rsid w:val="00F422A6"/>
    <w:rsid w:val="00F423CE"/>
    <w:rsid w:val="00F429EB"/>
    <w:rsid w:val="00F42C0A"/>
    <w:rsid w:val="00F44836"/>
    <w:rsid w:val="00F448F1"/>
    <w:rsid w:val="00F449F7"/>
    <w:rsid w:val="00F44CF0"/>
    <w:rsid w:val="00F44D7D"/>
    <w:rsid w:val="00F44DA5"/>
    <w:rsid w:val="00F45A14"/>
    <w:rsid w:val="00F4601C"/>
    <w:rsid w:val="00F462B0"/>
    <w:rsid w:val="00F46B5C"/>
    <w:rsid w:val="00F46EC2"/>
    <w:rsid w:val="00F46FE1"/>
    <w:rsid w:val="00F4746F"/>
    <w:rsid w:val="00F47F87"/>
    <w:rsid w:val="00F5027A"/>
    <w:rsid w:val="00F5047F"/>
    <w:rsid w:val="00F51EA4"/>
    <w:rsid w:val="00F52151"/>
    <w:rsid w:val="00F53692"/>
    <w:rsid w:val="00F54130"/>
    <w:rsid w:val="00F553AD"/>
    <w:rsid w:val="00F55763"/>
    <w:rsid w:val="00F55F47"/>
    <w:rsid w:val="00F56235"/>
    <w:rsid w:val="00F5757B"/>
    <w:rsid w:val="00F57A42"/>
    <w:rsid w:val="00F57F56"/>
    <w:rsid w:val="00F60C09"/>
    <w:rsid w:val="00F6121A"/>
    <w:rsid w:val="00F61396"/>
    <w:rsid w:val="00F616BA"/>
    <w:rsid w:val="00F61723"/>
    <w:rsid w:val="00F61DA4"/>
    <w:rsid w:val="00F62BD1"/>
    <w:rsid w:val="00F63B95"/>
    <w:rsid w:val="00F64299"/>
    <w:rsid w:val="00F643D3"/>
    <w:rsid w:val="00F6586F"/>
    <w:rsid w:val="00F661F5"/>
    <w:rsid w:val="00F715BB"/>
    <w:rsid w:val="00F73059"/>
    <w:rsid w:val="00F761AE"/>
    <w:rsid w:val="00F77C20"/>
    <w:rsid w:val="00F8063F"/>
    <w:rsid w:val="00F80BF0"/>
    <w:rsid w:val="00F81464"/>
    <w:rsid w:val="00F81B9B"/>
    <w:rsid w:val="00F81DC1"/>
    <w:rsid w:val="00F83B01"/>
    <w:rsid w:val="00F83E09"/>
    <w:rsid w:val="00F84089"/>
    <w:rsid w:val="00F85271"/>
    <w:rsid w:val="00F85AFC"/>
    <w:rsid w:val="00F86A59"/>
    <w:rsid w:val="00F878EC"/>
    <w:rsid w:val="00F87AAF"/>
    <w:rsid w:val="00F87ECB"/>
    <w:rsid w:val="00F90B99"/>
    <w:rsid w:val="00F90D2C"/>
    <w:rsid w:val="00F91D50"/>
    <w:rsid w:val="00F91DF6"/>
    <w:rsid w:val="00F92497"/>
    <w:rsid w:val="00F9268D"/>
    <w:rsid w:val="00F93C1C"/>
    <w:rsid w:val="00F94E7D"/>
    <w:rsid w:val="00F9523C"/>
    <w:rsid w:val="00F95A5E"/>
    <w:rsid w:val="00F9658C"/>
    <w:rsid w:val="00F97386"/>
    <w:rsid w:val="00F97787"/>
    <w:rsid w:val="00FA04F0"/>
    <w:rsid w:val="00FA107D"/>
    <w:rsid w:val="00FA2773"/>
    <w:rsid w:val="00FA369C"/>
    <w:rsid w:val="00FA3C15"/>
    <w:rsid w:val="00FA4002"/>
    <w:rsid w:val="00FA4028"/>
    <w:rsid w:val="00FA63B5"/>
    <w:rsid w:val="00FA6659"/>
    <w:rsid w:val="00FA7296"/>
    <w:rsid w:val="00FB09D1"/>
    <w:rsid w:val="00FB09DF"/>
    <w:rsid w:val="00FB0FDB"/>
    <w:rsid w:val="00FB10C3"/>
    <w:rsid w:val="00FB2566"/>
    <w:rsid w:val="00FB257C"/>
    <w:rsid w:val="00FB3910"/>
    <w:rsid w:val="00FB4F64"/>
    <w:rsid w:val="00FB5177"/>
    <w:rsid w:val="00FB59A4"/>
    <w:rsid w:val="00FB59B8"/>
    <w:rsid w:val="00FB5E26"/>
    <w:rsid w:val="00FB6400"/>
    <w:rsid w:val="00FB6AE9"/>
    <w:rsid w:val="00FC036F"/>
    <w:rsid w:val="00FC164B"/>
    <w:rsid w:val="00FC200E"/>
    <w:rsid w:val="00FC2BD5"/>
    <w:rsid w:val="00FC3011"/>
    <w:rsid w:val="00FC38EE"/>
    <w:rsid w:val="00FC4B9C"/>
    <w:rsid w:val="00FC529C"/>
    <w:rsid w:val="00FC5C87"/>
    <w:rsid w:val="00FC6348"/>
    <w:rsid w:val="00FC65B8"/>
    <w:rsid w:val="00FC67C6"/>
    <w:rsid w:val="00FC6D00"/>
    <w:rsid w:val="00FC6ECB"/>
    <w:rsid w:val="00FC6F04"/>
    <w:rsid w:val="00FC7DAB"/>
    <w:rsid w:val="00FC7ED0"/>
    <w:rsid w:val="00FD096F"/>
    <w:rsid w:val="00FD19DA"/>
    <w:rsid w:val="00FD268C"/>
    <w:rsid w:val="00FD2FFF"/>
    <w:rsid w:val="00FD310E"/>
    <w:rsid w:val="00FD411F"/>
    <w:rsid w:val="00FD4D30"/>
    <w:rsid w:val="00FD68B2"/>
    <w:rsid w:val="00FD7138"/>
    <w:rsid w:val="00FD75AB"/>
    <w:rsid w:val="00FE0706"/>
    <w:rsid w:val="00FE213F"/>
    <w:rsid w:val="00FE243F"/>
    <w:rsid w:val="00FE2506"/>
    <w:rsid w:val="00FE3C75"/>
    <w:rsid w:val="00FE47D3"/>
    <w:rsid w:val="00FE55DA"/>
    <w:rsid w:val="00FE5FFD"/>
    <w:rsid w:val="00FE6A42"/>
    <w:rsid w:val="00FE7378"/>
    <w:rsid w:val="00FF00FA"/>
    <w:rsid w:val="00FF04FF"/>
    <w:rsid w:val="00FF065F"/>
    <w:rsid w:val="00FF0784"/>
    <w:rsid w:val="00FF1909"/>
    <w:rsid w:val="00FF1AB7"/>
    <w:rsid w:val="00FF26E9"/>
    <w:rsid w:val="00FF2933"/>
    <w:rsid w:val="00FF2BAC"/>
    <w:rsid w:val="00FF38E1"/>
    <w:rsid w:val="00FF4351"/>
    <w:rsid w:val="00FF4D91"/>
    <w:rsid w:val="00FF51A2"/>
    <w:rsid w:val="00FF5DC1"/>
    <w:rsid w:val="00FF63ED"/>
    <w:rsid w:val="011C6786"/>
    <w:rsid w:val="01202176"/>
    <w:rsid w:val="016A1D35"/>
    <w:rsid w:val="02871FB5"/>
    <w:rsid w:val="029E2AA7"/>
    <w:rsid w:val="02AA09C7"/>
    <w:rsid w:val="02D31513"/>
    <w:rsid w:val="0311F9FE"/>
    <w:rsid w:val="039208B9"/>
    <w:rsid w:val="03E4B5BE"/>
    <w:rsid w:val="03EFB2D0"/>
    <w:rsid w:val="0403D446"/>
    <w:rsid w:val="044CA649"/>
    <w:rsid w:val="0480FF67"/>
    <w:rsid w:val="049BC298"/>
    <w:rsid w:val="049D6D26"/>
    <w:rsid w:val="04F8DBDA"/>
    <w:rsid w:val="050C42F1"/>
    <w:rsid w:val="0585CA9E"/>
    <w:rsid w:val="0596C5C2"/>
    <w:rsid w:val="05CE8918"/>
    <w:rsid w:val="05DCD925"/>
    <w:rsid w:val="060CE5FE"/>
    <w:rsid w:val="0659045C"/>
    <w:rsid w:val="0672FCC0"/>
    <w:rsid w:val="07184FB5"/>
    <w:rsid w:val="07637F30"/>
    <w:rsid w:val="081C0B86"/>
    <w:rsid w:val="0839481C"/>
    <w:rsid w:val="0849391C"/>
    <w:rsid w:val="084ACD19"/>
    <w:rsid w:val="088AC181"/>
    <w:rsid w:val="08980BD0"/>
    <w:rsid w:val="08EB3768"/>
    <w:rsid w:val="09083B7D"/>
    <w:rsid w:val="09211AD9"/>
    <w:rsid w:val="094E865E"/>
    <w:rsid w:val="099CA9BA"/>
    <w:rsid w:val="09B10B62"/>
    <w:rsid w:val="09BCFCC3"/>
    <w:rsid w:val="09F2D70A"/>
    <w:rsid w:val="0AE14DFA"/>
    <w:rsid w:val="0B03C0A0"/>
    <w:rsid w:val="0B52D56A"/>
    <w:rsid w:val="0B9B5EFB"/>
    <w:rsid w:val="0CD5D828"/>
    <w:rsid w:val="0CD8DE5E"/>
    <w:rsid w:val="0CEF827D"/>
    <w:rsid w:val="0D014E1D"/>
    <w:rsid w:val="0D48AD25"/>
    <w:rsid w:val="0D93B877"/>
    <w:rsid w:val="0DD6D96D"/>
    <w:rsid w:val="0DE60969"/>
    <w:rsid w:val="0DE76D15"/>
    <w:rsid w:val="0E9D072E"/>
    <w:rsid w:val="0EB041B2"/>
    <w:rsid w:val="0EE37CEE"/>
    <w:rsid w:val="0F14471F"/>
    <w:rsid w:val="0F60A597"/>
    <w:rsid w:val="0F87322E"/>
    <w:rsid w:val="0FF988C0"/>
    <w:rsid w:val="106682B5"/>
    <w:rsid w:val="106E87DC"/>
    <w:rsid w:val="106F0FBF"/>
    <w:rsid w:val="107D2DB9"/>
    <w:rsid w:val="108C5C3A"/>
    <w:rsid w:val="10C29395"/>
    <w:rsid w:val="10EA2498"/>
    <w:rsid w:val="11041824"/>
    <w:rsid w:val="11079063"/>
    <w:rsid w:val="11607A7D"/>
    <w:rsid w:val="119210D8"/>
    <w:rsid w:val="11B5383D"/>
    <w:rsid w:val="11EB83D9"/>
    <w:rsid w:val="12053631"/>
    <w:rsid w:val="122AD097"/>
    <w:rsid w:val="125F2321"/>
    <w:rsid w:val="1291CFBA"/>
    <w:rsid w:val="12BAFE59"/>
    <w:rsid w:val="12E8A10C"/>
    <w:rsid w:val="132D0C0F"/>
    <w:rsid w:val="1341D62C"/>
    <w:rsid w:val="1381B47B"/>
    <w:rsid w:val="13915A83"/>
    <w:rsid w:val="13A3E71E"/>
    <w:rsid w:val="13E82C9C"/>
    <w:rsid w:val="13F870AC"/>
    <w:rsid w:val="14193444"/>
    <w:rsid w:val="1451A9EA"/>
    <w:rsid w:val="147194B8"/>
    <w:rsid w:val="148DD2B2"/>
    <w:rsid w:val="14A1437A"/>
    <w:rsid w:val="14AB4D92"/>
    <w:rsid w:val="1505DD86"/>
    <w:rsid w:val="15404098"/>
    <w:rsid w:val="155E11C1"/>
    <w:rsid w:val="15B1D379"/>
    <w:rsid w:val="15E67289"/>
    <w:rsid w:val="16170D09"/>
    <w:rsid w:val="16890196"/>
    <w:rsid w:val="16949640"/>
    <w:rsid w:val="169E4BC6"/>
    <w:rsid w:val="16DFC0CA"/>
    <w:rsid w:val="17177443"/>
    <w:rsid w:val="171D9936"/>
    <w:rsid w:val="176A54E6"/>
    <w:rsid w:val="178F5DC0"/>
    <w:rsid w:val="17947A25"/>
    <w:rsid w:val="17A3FB45"/>
    <w:rsid w:val="17BC181B"/>
    <w:rsid w:val="17DF16B5"/>
    <w:rsid w:val="18024537"/>
    <w:rsid w:val="18037F8D"/>
    <w:rsid w:val="1809CFFF"/>
    <w:rsid w:val="1822ECB3"/>
    <w:rsid w:val="18B15182"/>
    <w:rsid w:val="1942A69A"/>
    <w:rsid w:val="1962DC29"/>
    <w:rsid w:val="196A2D34"/>
    <w:rsid w:val="199BBF55"/>
    <w:rsid w:val="19D56E6D"/>
    <w:rsid w:val="19D749E2"/>
    <w:rsid w:val="19F38A31"/>
    <w:rsid w:val="1A14B3A0"/>
    <w:rsid w:val="1A5E9A5F"/>
    <w:rsid w:val="1AF175B6"/>
    <w:rsid w:val="1AFDE4A3"/>
    <w:rsid w:val="1B657551"/>
    <w:rsid w:val="1B7B30CA"/>
    <w:rsid w:val="1BB4263D"/>
    <w:rsid w:val="1BC66449"/>
    <w:rsid w:val="1BE39BF1"/>
    <w:rsid w:val="1C35EB2B"/>
    <w:rsid w:val="1C51F890"/>
    <w:rsid w:val="1C8BD476"/>
    <w:rsid w:val="1CD3D6A6"/>
    <w:rsid w:val="1D075986"/>
    <w:rsid w:val="1DA3870A"/>
    <w:rsid w:val="1DD484F6"/>
    <w:rsid w:val="1E609FA3"/>
    <w:rsid w:val="1EC93D64"/>
    <w:rsid w:val="1F5D0F29"/>
    <w:rsid w:val="1F857941"/>
    <w:rsid w:val="1FD28069"/>
    <w:rsid w:val="2029652C"/>
    <w:rsid w:val="202CA286"/>
    <w:rsid w:val="20907197"/>
    <w:rsid w:val="20BCF4CD"/>
    <w:rsid w:val="20D7F5D8"/>
    <w:rsid w:val="20F88440"/>
    <w:rsid w:val="2113F812"/>
    <w:rsid w:val="215187C9"/>
    <w:rsid w:val="2156B61F"/>
    <w:rsid w:val="21686E32"/>
    <w:rsid w:val="21E44111"/>
    <w:rsid w:val="220EE260"/>
    <w:rsid w:val="2227AA47"/>
    <w:rsid w:val="224A97EE"/>
    <w:rsid w:val="2254EF78"/>
    <w:rsid w:val="226FEBAC"/>
    <w:rsid w:val="2283F72C"/>
    <w:rsid w:val="22DC5AA9"/>
    <w:rsid w:val="2313C2F3"/>
    <w:rsid w:val="231D51E9"/>
    <w:rsid w:val="238798D3"/>
    <w:rsid w:val="2392E97A"/>
    <w:rsid w:val="23CA2C34"/>
    <w:rsid w:val="23D17133"/>
    <w:rsid w:val="23F3DC37"/>
    <w:rsid w:val="24185954"/>
    <w:rsid w:val="24257C51"/>
    <w:rsid w:val="2438111C"/>
    <w:rsid w:val="243AFA29"/>
    <w:rsid w:val="247DFD25"/>
    <w:rsid w:val="24D9CF25"/>
    <w:rsid w:val="24DE37FA"/>
    <w:rsid w:val="25033B7C"/>
    <w:rsid w:val="25409669"/>
    <w:rsid w:val="2593C09B"/>
    <w:rsid w:val="25A79FE5"/>
    <w:rsid w:val="25EB3C56"/>
    <w:rsid w:val="260F08BB"/>
    <w:rsid w:val="26116027"/>
    <w:rsid w:val="26130562"/>
    <w:rsid w:val="2653FFD3"/>
    <w:rsid w:val="269D96FC"/>
    <w:rsid w:val="272C78B5"/>
    <w:rsid w:val="276FE079"/>
    <w:rsid w:val="2854A019"/>
    <w:rsid w:val="2860FB87"/>
    <w:rsid w:val="28981798"/>
    <w:rsid w:val="289A6DB6"/>
    <w:rsid w:val="2930D761"/>
    <w:rsid w:val="298FD827"/>
    <w:rsid w:val="299ADDC9"/>
    <w:rsid w:val="2A02F176"/>
    <w:rsid w:val="2A0363F2"/>
    <w:rsid w:val="2A20FCD4"/>
    <w:rsid w:val="2A646646"/>
    <w:rsid w:val="2A789E48"/>
    <w:rsid w:val="2AB81EB9"/>
    <w:rsid w:val="2ACA94A6"/>
    <w:rsid w:val="2AF01AF8"/>
    <w:rsid w:val="2AFF2E76"/>
    <w:rsid w:val="2B1146A4"/>
    <w:rsid w:val="2B118629"/>
    <w:rsid w:val="2B1F4875"/>
    <w:rsid w:val="2B5A30CC"/>
    <w:rsid w:val="2B978563"/>
    <w:rsid w:val="2BA2CE06"/>
    <w:rsid w:val="2BEB4063"/>
    <w:rsid w:val="2BFB4A76"/>
    <w:rsid w:val="2C4CE8B2"/>
    <w:rsid w:val="2C94935E"/>
    <w:rsid w:val="2CD2A9C9"/>
    <w:rsid w:val="2D013634"/>
    <w:rsid w:val="2D0629B4"/>
    <w:rsid w:val="2D138819"/>
    <w:rsid w:val="2D4BF62C"/>
    <w:rsid w:val="2D5429FF"/>
    <w:rsid w:val="2D5D8465"/>
    <w:rsid w:val="2D64F6BC"/>
    <w:rsid w:val="2D6C9E02"/>
    <w:rsid w:val="2D755F80"/>
    <w:rsid w:val="2D7E72C4"/>
    <w:rsid w:val="2DA819A7"/>
    <w:rsid w:val="2DAC2A31"/>
    <w:rsid w:val="2DB3390C"/>
    <w:rsid w:val="2DB8ACD3"/>
    <w:rsid w:val="2DD8EEFC"/>
    <w:rsid w:val="2DDADD2A"/>
    <w:rsid w:val="2E9087D6"/>
    <w:rsid w:val="2E92AC05"/>
    <w:rsid w:val="2EC9AEB1"/>
    <w:rsid w:val="2F37C7F0"/>
    <w:rsid w:val="2F3E034F"/>
    <w:rsid w:val="2F65A1C8"/>
    <w:rsid w:val="2F74147B"/>
    <w:rsid w:val="2F7669B5"/>
    <w:rsid w:val="2FC8CB76"/>
    <w:rsid w:val="2FCDE963"/>
    <w:rsid w:val="30094D45"/>
    <w:rsid w:val="3044CC7C"/>
    <w:rsid w:val="309E8BC6"/>
    <w:rsid w:val="30EAA44F"/>
    <w:rsid w:val="3103B8FD"/>
    <w:rsid w:val="3131737C"/>
    <w:rsid w:val="316A5099"/>
    <w:rsid w:val="318A62FE"/>
    <w:rsid w:val="31B42580"/>
    <w:rsid w:val="31C80364"/>
    <w:rsid w:val="31CB1342"/>
    <w:rsid w:val="3241CC6E"/>
    <w:rsid w:val="325DECF1"/>
    <w:rsid w:val="32B57D26"/>
    <w:rsid w:val="32BD877C"/>
    <w:rsid w:val="32D39254"/>
    <w:rsid w:val="32E7483C"/>
    <w:rsid w:val="33048EFA"/>
    <w:rsid w:val="330B95E3"/>
    <w:rsid w:val="3328EEA8"/>
    <w:rsid w:val="336BC10C"/>
    <w:rsid w:val="337C317E"/>
    <w:rsid w:val="33888DA0"/>
    <w:rsid w:val="33930F65"/>
    <w:rsid w:val="33D58379"/>
    <w:rsid w:val="34112EC9"/>
    <w:rsid w:val="342DF3F3"/>
    <w:rsid w:val="344F0891"/>
    <w:rsid w:val="345031E5"/>
    <w:rsid w:val="34A80CAF"/>
    <w:rsid w:val="34C1737E"/>
    <w:rsid w:val="3513013B"/>
    <w:rsid w:val="3545CA2B"/>
    <w:rsid w:val="35476813"/>
    <w:rsid w:val="3557FE4B"/>
    <w:rsid w:val="3583ED55"/>
    <w:rsid w:val="358C4025"/>
    <w:rsid w:val="35E0F9D3"/>
    <w:rsid w:val="36084814"/>
    <w:rsid w:val="36335A5F"/>
    <w:rsid w:val="3636D9F9"/>
    <w:rsid w:val="3665256A"/>
    <w:rsid w:val="369324CE"/>
    <w:rsid w:val="369F5BE2"/>
    <w:rsid w:val="3738663D"/>
    <w:rsid w:val="374BB778"/>
    <w:rsid w:val="37767810"/>
    <w:rsid w:val="3781336C"/>
    <w:rsid w:val="37A0D780"/>
    <w:rsid w:val="37ED7DF7"/>
    <w:rsid w:val="37F889B4"/>
    <w:rsid w:val="3810E013"/>
    <w:rsid w:val="38D6B07E"/>
    <w:rsid w:val="395D5AD1"/>
    <w:rsid w:val="396C64EF"/>
    <w:rsid w:val="397A9ABC"/>
    <w:rsid w:val="3990A7A5"/>
    <w:rsid w:val="3A046F00"/>
    <w:rsid w:val="3A22722C"/>
    <w:rsid w:val="3A47F3ED"/>
    <w:rsid w:val="3A816291"/>
    <w:rsid w:val="3A851564"/>
    <w:rsid w:val="3A8850A4"/>
    <w:rsid w:val="3AC0D8ED"/>
    <w:rsid w:val="3AD7D649"/>
    <w:rsid w:val="3AF4C672"/>
    <w:rsid w:val="3AFC5B83"/>
    <w:rsid w:val="3B3F40B0"/>
    <w:rsid w:val="3B747B74"/>
    <w:rsid w:val="3BCA0B3B"/>
    <w:rsid w:val="3D47E020"/>
    <w:rsid w:val="3D5DA8A0"/>
    <w:rsid w:val="3D927AB0"/>
    <w:rsid w:val="3D996EE9"/>
    <w:rsid w:val="3DD76DDA"/>
    <w:rsid w:val="3DFF1E49"/>
    <w:rsid w:val="3E52DD10"/>
    <w:rsid w:val="3E8E241D"/>
    <w:rsid w:val="3EB08D5A"/>
    <w:rsid w:val="3EBE507D"/>
    <w:rsid w:val="3EC37B36"/>
    <w:rsid w:val="3EE4E140"/>
    <w:rsid w:val="3F1344B1"/>
    <w:rsid w:val="3F3A3DE6"/>
    <w:rsid w:val="3F6030A4"/>
    <w:rsid w:val="3FA1B455"/>
    <w:rsid w:val="3FF3741F"/>
    <w:rsid w:val="403B4613"/>
    <w:rsid w:val="405BE342"/>
    <w:rsid w:val="40624413"/>
    <w:rsid w:val="408F8B02"/>
    <w:rsid w:val="40CD5277"/>
    <w:rsid w:val="41506354"/>
    <w:rsid w:val="418D6833"/>
    <w:rsid w:val="419FAD82"/>
    <w:rsid w:val="42450BE0"/>
    <w:rsid w:val="424E11E8"/>
    <w:rsid w:val="42901483"/>
    <w:rsid w:val="42BF42E9"/>
    <w:rsid w:val="42C550E2"/>
    <w:rsid w:val="42EB3004"/>
    <w:rsid w:val="42FD3625"/>
    <w:rsid w:val="4305B340"/>
    <w:rsid w:val="4341AADD"/>
    <w:rsid w:val="4349A054"/>
    <w:rsid w:val="43505400"/>
    <w:rsid w:val="436D8D89"/>
    <w:rsid w:val="442FE65B"/>
    <w:rsid w:val="443A53E6"/>
    <w:rsid w:val="44979481"/>
    <w:rsid w:val="45151459"/>
    <w:rsid w:val="452F2D45"/>
    <w:rsid w:val="45343DB0"/>
    <w:rsid w:val="454D95A0"/>
    <w:rsid w:val="4558021E"/>
    <w:rsid w:val="457A0E40"/>
    <w:rsid w:val="457A21A1"/>
    <w:rsid w:val="459DD2B5"/>
    <w:rsid w:val="45B76923"/>
    <w:rsid w:val="45B97B79"/>
    <w:rsid w:val="45BD63F6"/>
    <w:rsid w:val="45D7B6EE"/>
    <w:rsid w:val="45ECAB9C"/>
    <w:rsid w:val="46086B41"/>
    <w:rsid w:val="4610D72A"/>
    <w:rsid w:val="4640A93B"/>
    <w:rsid w:val="46E58805"/>
    <w:rsid w:val="4729C237"/>
    <w:rsid w:val="478CC4DE"/>
    <w:rsid w:val="47A14F36"/>
    <w:rsid w:val="47CF0AC4"/>
    <w:rsid w:val="47E7842A"/>
    <w:rsid w:val="483A5838"/>
    <w:rsid w:val="4885537B"/>
    <w:rsid w:val="488FA87A"/>
    <w:rsid w:val="48CC80FF"/>
    <w:rsid w:val="49718EA3"/>
    <w:rsid w:val="4976A816"/>
    <w:rsid w:val="499B76CE"/>
    <w:rsid w:val="4A08DECE"/>
    <w:rsid w:val="4A1B9995"/>
    <w:rsid w:val="4A2232F3"/>
    <w:rsid w:val="4A974004"/>
    <w:rsid w:val="4ABD1623"/>
    <w:rsid w:val="4ACDDB0C"/>
    <w:rsid w:val="4ADE7F0C"/>
    <w:rsid w:val="4B2A589B"/>
    <w:rsid w:val="4B3CF96B"/>
    <w:rsid w:val="4B5B5796"/>
    <w:rsid w:val="4B76917A"/>
    <w:rsid w:val="4B7DDF27"/>
    <w:rsid w:val="4B8B3914"/>
    <w:rsid w:val="4BCFC421"/>
    <w:rsid w:val="4CA29AE0"/>
    <w:rsid w:val="4CA36DE2"/>
    <w:rsid w:val="4CF69E9F"/>
    <w:rsid w:val="4D16DE56"/>
    <w:rsid w:val="4D28D841"/>
    <w:rsid w:val="4D3E457F"/>
    <w:rsid w:val="4D6F6D5B"/>
    <w:rsid w:val="4D735804"/>
    <w:rsid w:val="4D9C9BCD"/>
    <w:rsid w:val="4DA25CE1"/>
    <w:rsid w:val="4DA82119"/>
    <w:rsid w:val="4DBE9C58"/>
    <w:rsid w:val="4DC4F9B3"/>
    <w:rsid w:val="4DD0639B"/>
    <w:rsid w:val="4E0EF343"/>
    <w:rsid w:val="4E6EF528"/>
    <w:rsid w:val="4E8F9E42"/>
    <w:rsid w:val="4FAA1C2A"/>
    <w:rsid w:val="4FEC9D56"/>
    <w:rsid w:val="4FED59F0"/>
    <w:rsid w:val="500C272F"/>
    <w:rsid w:val="500CD4AE"/>
    <w:rsid w:val="503F61A7"/>
    <w:rsid w:val="50431DD4"/>
    <w:rsid w:val="5052FC6F"/>
    <w:rsid w:val="505E03BB"/>
    <w:rsid w:val="508F04E9"/>
    <w:rsid w:val="50A9B83D"/>
    <w:rsid w:val="5151D9E1"/>
    <w:rsid w:val="518C7B77"/>
    <w:rsid w:val="51B18798"/>
    <w:rsid w:val="520AC6EF"/>
    <w:rsid w:val="524FA3CB"/>
    <w:rsid w:val="529E06AD"/>
    <w:rsid w:val="52C37EEF"/>
    <w:rsid w:val="52F72254"/>
    <w:rsid w:val="532EFA58"/>
    <w:rsid w:val="53634A67"/>
    <w:rsid w:val="53D84852"/>
    <w:rsid w:val="545298E3"/>
    <w:rsid w:val="546C6491"/>
    <w:rsid w:val="547CA001"/>
    <w:rsid w:val="5488E007"/>
    <w:rsid w:val="54B8B383"/>
    <w:rsid w:val="550D142B"/>
    <w:rsid w:val="551117C0"/>
    <w:rsid w:val="551EA67A"/>
    <w:rsid w:val="55611D54"/>
    <w:rsid w:val="55DB913C"/>
    <w:rsid w:val="55F83537"/>
    <w:rsid w:val="566D37FE"/>
    <w:rsid w:val="56733E1B"/>
    <w:rsid w:val="5681AFFE"/>
    <w:rsid w:val="56B34A5A"/>
    <w:rsid w:val="5754B813"/>
    <w:rsid w:val="57672E50"/>
    <w:rsid w:val="57A0B885"/>
    <w:rsid w:val="57A3FA9D"/>
    <w:rsid w:val="5836D64B"/>
    <w:rsid w:val="583A32E8"/>
    <w:rsid w:val="5879D4A5"/>
    <w:rsid w:val="58C38212"/>
    <w:rsid w:val="58EF0F40"/>
    <w:rsid w:val="59179E6A"/>
    <w:rsid w:val="5927DF33"/>
    <w:rsid w:val="59AEB1CA"/>
    <w:rsid w:val="59B9C557"/>
    <w:rsid w:val="59E13E69"/>
    <w:rsid w:val="59EE510A"/>
    <w:rsid w:val="59FEDA0F"/>
    <w:rsid w:val="5AD39E4F"/>
    <w:rsid w:val="5B2EBA60"/>
    <w:rsid w:val="5B457F2F"/>
    <w:rsid w:val="5B475F87"/>
    <w:rsid w:val="5BA8115B"/>
    <w:rsid w:val="5BCAE6C0"/>
    <w:rsid w:val="5C1D5D99"/>
    <w:rsid w:val="5C9C7E6E"/>
    <w:rsid w:val="5CBD02C2"/>
    <w:rsid w:val="5CE388D4"/>
    <w:rsid w:val="5D3C9FA5"/>
    <w:rsid w:val="5D68A334"/>
    <w:rsid w:val="5E286BE7"/>
    <w:rsid w:val="5E369E18"/>
    <w:rsid w:val="5E36E454"/>
    <w:rsid w:val="5E50C62A"/>
    <w:rsid w:val="5E887274"/>
    <w:rsid w:val="5EBBA367"/>
    <w:rsid w:val="5F21E983"/>
    <w:rsid w:val="5F22F392"/>
    <w:rsid w:val="5F2CED42"/>
    <w:rsid w:val="5F870D03"/>
    <w:rsid w:val="5F9DAA19"/>
    <w:rsid w:val="5FE2D0DF"/>
    <w:rsid w:val="60250D24"/>
    <w:rsid w:val="60416310"/>
    <w:rsid w:val="60540054"/>
    <w:rsid w:val="606EA45E"/>
    <w:rsid w:val="60F1EFBD"/>
    <w:rsid w:val="61303D89"/>
    <w:rsid w:val="6167AB71"/>
    <w:rsid w:val="6194B8AB"/>
    <w:rsid w:val="61B75E80"/>
    <w:rsid w:val="61BED91A"/>
    <w:rsid w:val="61C73D44"/>
    <w:rsid w:val="6212B338"/>
    <w:rsid w:val="6214FAAC"/>
    <w:rsid w:val="6228321C"/>
    <w:rsid w:val="62322F90"/>
    <w:rsid w:val="62BC6091"/>
    <w:rsid w:val="62F94658"/>
    <w:rsid w:val="62FF2685"/>
    <w:rsid w:val="633647D8"/>
    <w:rsid w:val="63521F5B"/>
    <w:rsid w:val="636FDB34"/>
    <w:rsid w:val="637EC01D"/>
    <w:rsid w:val="63883008"/>
    <w:rsid w:val="6392B6F3"/>
    <w:rsid w:val="63AAF437"/>
    <w:rsid w:val="63E4ED63"/>
    <w:rsid w:val="64628B81"/>
    <w:rsid w:val="64815868"/>
    <w:rsid w:val="6490593C"/>
    <w:rsid w:val="649FB8A0"/>
    <w:rsid w:val="64B4501A"/>
    <w:rsid w:val="64C32F99"/>
    <w:rsid w:val="65050E89"/>
    <w:rsid w:val="6553C515"/>
    <w:rsid w:val="655BAF8B"/>
    <w:rsid w:val="65B9385B"/>
    <w:rsid w:val="661E47B5"/>
    <w:rsid w:val="6628C024"/>
    <w:rsid w:val="662C05C5"/>
    <w:rsid w:val="6643A514"/>
    <w:rsid w:val="666B6D3E"/>
    <w:rsid w:val="66712E56"/>
    <w:rsid w:val="66A1ADBC"/>
    <w:rsid w:val="67132699"/>
    <w:rsid w:val="6713D38F"/>
    <w:rsid w:val="67233F43"/>
    <w:rsid w:val="672A08AA"/>
    <w:rsid w:val="67788926"/>
    <w:rsid w:val="67D27C22"/>
    <w:rsid w:val="67E182EC"/>
    <w:rsid w:val="67F3570C"/>
    <w:rsid w:val="681DFE90"/>
    <w:rsid w:val="682CB1FB"/>
    <w:rsid w:val="6831FD73"/>
    <w:rsid w:val="688E770E"/>
    <w:rsid w:val="68B64D21"/>
    <w:rsid w:val="68BB9DE2"/>
    <w:rsid w:val="68EA934B"/>
    <w:rsid w:val="690498DE"/>
    <w:rsid w:val="69196E69"/>
    <w:rsid w:val="691BF8AC"/>
    <w:rsid w:val="69E1BCF9"/>
    <w:rsid w:val="6A389FEA"/>
    <w:rsid w:val="6A49D27C"/>
    <w:rsid w:val="6A49ECAE"/>
    <w:rsid w:val="6A848A4F"/>
    <w:rsid w:val="6A915E08"/>
    <w:rsid w:val="6AB55141"/>
    <w:rsid w:val="6B74477C"/>
    <w:rsid w:val="6B849014"/>
    <w:rsid w:val="6BA5201E"/>
    <w:rsid w:val="6BC62BC7"/>
    <w:rsid w:val="6BFA0D97"/>
    <w:rsid w:val="6C0A64D5"/>
    <w:rsid w:val="6C49B153"/>
    <w:rsid w:val="6CD78D65"/>
    <w:rsid w:val="6CD9C14E"/>
    <w:rsid w:val="6D256FBC"/>
    <w:rsid w:val="6D99ECD0"/>
    <w:rsid w:val="6DAD814F"/>
    <w:rsid w:val="6DB35181"/>
    <w:rsid w:val="6DB57B89"/>
    <w:rsid w:val="6DD30160"/>
    <w:rsid w:val="6E5DEE7A"/>
    <w:rsid w:val="6E75F6A0"/>
    <w:rsid w:val="6EABAA49"/>
    <w:rsid w:val="6EADD918"/>
    <w:rsid w:val="6FCAE584"/>
    <w:rsid w:val="70077FEF"/>
    <w:rsid w:val="701C65AE"/>
    <w:rsid w:val="7039FE1E"/>
    <w:rsid w:val="705D9AB5"/>
    <w:rsid w:val="706D2111"/>
    <w:rsid w:val="70700EA9"/>
    <w:rsid w:val="70BF0B7A"/>
    <w:rsid w:val="70C9A053"/>
    <w:rsid w:val="7114D8E8"/>
    <w:rsid w:val="715196EF"/>
    <w:rsid w:val="7163402F"/>
    <w:rsid w:val="71B5620C"/>
    <w:rsid w:val="71BBDFCA"/>
    <w:rsid w:val="71C1140F"/>
    <w:rsid w:val="71CD07DC"/>
    <w:rsid w:val="71D1AAEF"/>
    <w:rsid w:val="71F87B24"/>
    <w:rsid w:val="7245C626"/>
    <w:rsid w:val="727F69BD"/>
    <w:rsid w:val="72A1371C"/>
    <w:rsid w:val="72AA7945"/>
    <w:rsid w:val="72B77CD9"/>
    <w:rsid w:val="72CE58AD"/>
    <w:rsid w:val="72F1D95A"/>
    <w:rsid w:val="7357A570"/>
    <w:rsid w:val="73608C37"/>
    <w:rsid w:val="73ADAEC5"/>
    <w:rsid w:val="74A4CD96"/>
    <w:rsid w:val="7525FFEF"/>
    <w:rsid w:val="752D5DA9"/>
    <w:rsid w:val="75451D75"/>
    <w:rsid w:val="75591E09"/>
    <w:rsid w:val="757F82A4"/>
    <w:rsid w:val="75A576E7"/>
    <w:rsid w:val="765950C7"/>
    <w:rsid w:val="76A3FC6B"/>
    <w:rsid w:val="7745F7E3"/>
    <w:rsid w:val="7749CA95"/>
    <w:rsid w:val="77581433"/>
    <w:rsid w:val="7764352B"/>
    <w:rsid w:val="7787E6BC"/>
    <w:rsid w:val="779900C1"/>
    <w:rsid w:val="77A1DAC7"/>
    <w:rsid w:val="77A37C20"/>
    <w:rsid w:val="77A99C27"/>
    <w:rsid w:val="77E8E066"/>
    <w:rsid w:val="7815F0BC"/>
    <w:rsid w:val="7825FFF0"/>
    <w:rsid w:val="787CB6AF"/>
    <w:rsid w:val="78F2B55E"/>
    <w:rsid w:val="7925836A"/>
    <w:rsid w:val="793DD14B"/>
    <w:rsid w:val="7A0AD903"/>
    <w:rsid w:val="7A209D8E"/>
    <w:rsid w:val="7A4D936B"/>
    <w:rsid w:val="7AE65FBB"/>
    <w:rsid w:val="7B018CC1"/>
    <w:rsid w:val="7B1AA8F1"/>
    <w:rsid w:val="7B53E65A"/>
    <w:rsid w:val="7B69BA37"/>
    <w:rsid w:val="7B8F053B"/>
    <w:rsid w:val="7BB8B436"/>
    <w:rsid w:val="7BC72D9C"/>
    <w:rsid w:val="7C4368C7"/>
    <w:rsid w:val="7C451789"/>
    <w:rsid w:val="7C5A8553"/>
    <w:rsid w:val="7CCE5665"/>
    <w:rsid w:val="7CF94C7F"/>
    <w:rsid w:val="7D1FB86A"/>
    <w:rsid w:val="7D6A1C22"/>
    <w:rsid w:val="7DB5B880"/>
    <w:rsid w:val="7DED4ED6"/>
    <w:rsid w:val="7E1532BE"/>
    <w:rsid w:val="7E3F2D4C"/>
    <w:rsid w:val="7EBD3E06"/>
    <w:rsid w:val="7EE3DECA"/>
    <w:rsid w:val="7F03FC03"/>
    <w:rsid w:val="7F97577C"/>
    <w:rsid w:val="7FB27610"/>
    <w:rsid w:val="7FB29342"/>
    <w:rsid w:val="7FF776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FBA7"/>
  <w15:chartTrackingRefBased/>
  <w15:docId w15:val="{E323C4D7-B03C-4ADE-92C8-46D3818B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FF"/>
    <w:rPr>
      <w:rFonts w:ascii="Avenir Next LT Pro" w:hAnsi="Avenir Next LT Pro"/>
      <w:sz w:val="24"/>
    </w:rPr>
  </w:style>
  <w:style w:type="paragraph" w:styleId="Heading1">
    <w:name w:val="heading 1"/>
    <w:basedOn w:val="Normal"/>
    <w:next w:val="Normal"/>
    <w:link w:val="Heading1Char"/>
    <w:uiPriority w:val="9"/>
    <w:qFormat/>
    <w:rsid w:val="00F6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35D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F64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64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35D7"/>
    <w:rPr>
      <w:rFonts w:ascii="Avenir Next LT Pro" w:eastAsiaTheme="majorEastAsia" w:hAnsi="Avenir Next LT Pro" w:cstheme="majorBidi"/>
      <w:color w:val="0F4761" w:themeColor="accent1" w:themeShade="BF"/>
      <w:szCs w:val="28"/>
    </w:rPr>
  </w:style>
  <w:style w:type="character" w:customStyle="1" w:styleId="Heading4Char">
    <w:name w:val="Heading 4 Char"/>
    <w:basedOn w:val="DefaultParagraphFont"/>
    <w:link w:val="Heading4"/>
    <w:uiPriority w:val="9"/>
    <w:rsid w:val="00F6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3D3"/>
    <w:rPr>
      <w:rFonts w:eastAsiaTheme="majorEastAsia" w:cstheme="majorBidi"/>
      <w:color w:val="272727" w:themeColor="text1" w:themeTint="D8"/>
    </w:rPr>
  </w:style>
  <w:style w:type="paragraph" w:styleId="Title">
    <w:name w:val="Title"/>
    <w:basedOn w:val="Normal"/>
    <w:next w:val="Normal"/>
    <w:link w:val="TitleChar"/>
    <w:uiPriority w:val="10"/>
    <w:qFormat/>
    <w:rsid w:val="00F6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3D3"/>
    <w:pPr>
      <w:spacing w:before="160"/>
      <w:jc w:val="center"/>
    </w:pPr>
    <w:rPr>
      <w:i/>
      <w:iCs/>
      <w:color w:val="404040" w:themeColor="text1" w:themeTint="BF"/>
    </w:rPr>
  </w:style>
  <w:style w:type="character" w:customStyle="1" w:styleId="QuoteChar">
    <w:name w:val="Quote Char"/>
    <w:basedOn w:val="DefaultParagraphFont"/>
    <w:link w:val="Quote"/>
    <w:uiPriority w:val="29"/>
    <w:rsid w:val="00F643D3"/>
    <w:rPr>
      <w:i/>
      <w:iCs/>
      <w:color w:val="404040" w:themeColor="text1" w:themeTint="BF"/>
    </w:rPr>
  </w:style>
  <w:style w:type="paragraph" w:styleId="ListParagraph">
    <w:name w:val="List Paragraph"/>
    <w:basedOn w:val="Normal"/>
    <w:uiPriority w:val="34"/>
    <w:qFormat/>
    <w:rsid w:val="00F643D3"/>
    <w:pPr>
      <w:ind w:left="720"/>
      <w:contextualSpacing/>
    </w:pPr>
  </w:style>
  <w:style w:type="character" w:styleId="IntenseEmphasis">
    <w:name w:val="Intense Emphasis"/>
    <w:basedOn w:val="DefaultParagraphFont"/>
    <w:uiPriority w:val="21"/>
    <w:qFormat/>
    <w:rsid w:val="00F643D3"/>
    <w:rPr>
      <w:i/>
      <w:iCs/>
      <w:color w:val="0F4761" w:themeColor="accent1" w:themeShade="BF"/>
    </w:rPr>
  </w:style>
  <w:style w:type="paragraph" w:styleId="IntenseQuote">
    <w:name w:val="Intense Quote"/>
    <w:basedOn w:val="Normal"/>
    <w:next w:val="Normal"/>
    <w:link w:val="IntenseQuoteChar"/>
    <w:uiPriority w:val="30"/>
    <w:qFormat/>
    <w:rsid w:val="00F6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3D3"/>
    <w:rPr>
      <w:i/>
      <w:iCs/>
      <w:color w:val="0F4761" w:themeColor="accent1" w:themeShade="BF"/>
    </w:rPr>
  </w:style>
  <w:style w:type="character" w:styleId="IntenseReference">
    <w:name w:val="Intense Reference"/>
    <w:basedOn w:val="DefaultParagraphFont"/>
    <w:uiPriority w:val="32"/>
    <w:qFormat/>
    <w:rsid w:val="00F643D3"/>
    <w:rPr>
      <w:b/>
      <w:bCs/>
      <w:smallCaps/>
      <w:color w:val="0F4761" w:themeColor="accent1" w:themeShade="BF"/>
      <w:spacing w:val="5"/>
    </w:rPr>
  </w:style>
  <w:style w:type="paragraph" w:styleId="FootnoteText">
    <w:name w:val="footnote text"/>
    <w:basedOn w:val="Normal"/>
    <w:link w:val="FootnoteTextChar"/>
    <w:uiPriority w:val="99"/>
    <w:unhideWhenUsed/>
    <w:rsid w:val="00F643D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F643D3"/>
    <w:rPr>
      <w:kern w:val="0"/>
      <w:sz w:val="20"/>
      <w:szCs w:val="20"/>
      <w14:ligatures w14:val="none"/>
    </w:rPr>
  </w:style>
  <w:style w:type="character" w:styleId="FootnoteReference">
    <w:name w:val="footnote reference"/>
    <w:basedOn w:val="DefaultParagraphFont"/>
    <w:uiPriority w:val="99"/>
    <w:semiHidden/>
    <w:unhideWhenUsed/>
    <w:rsid w:val="00F643D3"/>
    <w:rPr>
      <w:vertAlign w:val="superscript"/>
    </w:rPr>
  </w:style>
  <w:style w:type="character" w:styleId="CommentReference">
    <w:name w:val="annotation reference"/>
    <w:basedOn w:val="DefaultParagraphFont"/>
    <w:uiPriority w:val="99"/>
    <w:semiHidden/>
    <w:unhideWhenUsed/>
    <w:rsid w:val="00A95407"/>
    <w:rPr>
      <w:sz w:val="16"/>
      <w:szCs w:val="16"/>
    </w:rPr>
  </w:style>
  <w:style w:type="paragraph" w:styleId="CommentText">
    <w:name w:val="annotation text"/>
    <w:basedOn w:val="Normal"/>
    <w:link w:val="CommentTextChar"/>
    <w:uiPriority w:val="99"/>
    <w:unhideWhenUsed/>
    <w:rsid w:val="00A95407"/>
    <w:pPr>
      <w:spacing w:line="240" w:lineRule="auto"/>
    </w:pPr>
    <w:rPr>
      <w:sz w:val="20"/>
      <w:szCs w:val="20"/>
    </w:rPr>
  </w:style>
  <w:style w:type="character" w:customStyle="1" w:styleId="CommentTextChar">
    <w:name w:val="Comment Text Char"/>
    <w:basedOn w:val="DefaultParagraphFont"/>
    <w:link w:val="CommentText"/>
    <w:uiPriority w:val="99"/>
    <w:rsid w:val="00A95407"/>
    <w:rPr>
      <w:sz w:val="20"/>
      <w:szCs w:val="20"/>
    </w:rPr>
  </w:style>
  <w:style w:type="character" w:styleId="Hyperlink">
    <w:name w:val="Hyperlink"/>
    <w:basedOn w:val="DefaultParagraphFont"/>
    <w:uiPriority w:val="99"/>
    <w:unhideWhenUsed/>
    <w:rsid w:val="00A95407"/>
    <w:rPr>
      <w:color w:val="467886" w:themeColor="hyperlink"/>
      <w:u w:val="single"/>
    </w:rPr>
  </w:style>
  <w:style w:type="table" w:styleId="TableGrid">
    <w:name w:val="Table Grid"/>
    <w:basedOn w:val="TableNormal"/>
    <w:uiPriority w:val="39"/>
    <w:rsid w:val="00A9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E7792"/>
    <w:rPr>
      <w:b/>
      <w:bCs/>
    </w:rPr>
  </w:style>
  <w:style w:type="character" w:customStyle="1" w:styleId="CommentSubjectChar">
    <w:name w:val="Comment Subject Char"/>
    <w:basedOn w:val="CommentTextChar"/>
    <w:link w:val="CommentSubject"/>
    <w:uiPriority w:val="99"/>
    <w:semiHidden/>
    <w:rsid w:val="003E7792"/>
    <w:rPr>
      <w:b/>
      <w:bCs/>
      <w:sz w:val="20"/>
      <w:szCs w:val="20"/>
    </w:rPr>
  </w:style>
  <w:style w:type="character" w:styleId="FollowedHyperlink">
    <w:name w:val="FollowedHyperlink"/>
    <w:basedOn w:val="DefaultParagraphFont"/>
    <w:uiPriority w:val="99"/>
    <w:semiHidden/>
    <w:unhideWhenUsed/>
    <w:rsid w:val="00067BC8"/>
    <w:rPr>
      <w:color w:val="96607D" w:themeColor="followedHyperlink"/>
      <w:u w:val="single"/>
    </w:rPr>
  </w:style>
  <w:style w:type="character" w:styleId="UnresolvedMention">
    <w:name w:val="Unresolved Mention"/>
    <w:basedOn w:val="DefaultParagraphFont"/>
    <w:uiPriority w:val="99"/>
    <w:semiHidden/>
    <w:unhideWhenUsed/>
    <w:rsid w:val="00343516"/>
    <w:rPr>
      <w:color w:val="605E5C"/>
      <w:shd w:val="clear" w:color="auto" w:fill="E1DFDD"/>
    </w:rPr>
  </w:style>
  <w:style w:type="paragraph" w:styleId="Revision">
    <w:name w:val="Revision"/>
    <w:hidden/>
    <w:uiPriority w:val="99"/>
    <w:semiHidden/>
    <w:rsid w:val="00240D90"/>
    <w:pPr>
      <w:spacing w:after="0" w:line="240" w:lineRule="auto"/>
    </w:pPr>
  </w:style>
  <w:style w:type="paragraph" w:styleId="Header">
    <w:name w:val="header"/>
    <w:basedOn w:val="Normal"/>
    <w:link w:val="HeaderChar"/>
    <w:uiPriority w:val="99"/>
    <w:unhideWhenUsed/>
    <w:rsid w:val="00093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02F"/>
  </w:style>
  <w:style w:type="paragraph" w:styleId="Footer">
    <w:name w:val="footer"/>
    <w:basedOn w:val="Normal"/>
    <w:link w:val="FooterChar"/>
    <w:uiPriority w:val="99"/>
    <w:unhideWhenUsed/>
    <w:rsid w:val="00093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02F"/>
  </w:style>
  <w:style w:type="paragraph" w:styleId="TOCHeading">
    <w:name w:val="TOC Heading"/>
    <w:basedOn w:val="Heading1"/>
    <w:next w:val="Normal"/>
    <w:uiPriority w:val="39"/>
    <w:unhideWhenUsed/>
    <w:qFormat/>
    <w:rsid w:val="001C6AB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14762"/>
    <w:pPr>
      <w:tabs>
        <w:tab w:val="right" w:leader="dot" w:pos="9016"/>
      </w:tabs>
      <w:spacing w:after="100"/>
    </w:pPr>
    <w:rPr>
      <w:noProof/>
    </w:rPr>
  </w:style>
  <w:style w:type="paragraph" w:styleId="TOC2">
    <w:name w:val="toc 2"/>
    <w:basedOn w:val="Normal"/>
    <w:next w:val="Normal"/>
    <w:autoRedefine/>
    <w:uiPriority w:val="39"/>
    <w:unhideWhenUsed/>
    <w:rsid w:val="001C6AB7"/>
    <w:pPr>
      <w:spacing w:after="100"/>
      <w:ind w:left="220"/>
    </w:pPr>
  </w:style>
  <w:style w:type="paragraph" w:styleId="TOC3">
    <w:name w:val="toc 3"/>
    <w:basedOn w:val="Normal"/>
    <w:next w:val="Normal"/>
    <w:autoRedefine/>
    <w:uiPriority w:val="39"/>
    <w:unhideWhenUsed/>
    <w:rsid w:val="001C6AB7"/>
    <w:pPr>
      <w:spacing w:after="100"/>
      <w:ind w:left="440"/>
    </w:pPr>
  </w:style>
  <w:style w:type="character" w:styleId="Strong">
    <w:name w:val="Strong"/>
    <w:basedOn w:val="DefaultParagraphFont"/>
    <w:uiPriority w:val="22"/>
    <w:qFormat/>
    <w:rsid w:val="00133F7D"/>
    <w:rPr>
      <w:b/>
      <w:bCs/>
    </w:rPr>
  </w:style>
  <w:style w:type="paragraph" w:customStyle="1" w:styleId="EndNoteBibliography">
    <w:name w:val="EndNote Bibliography"/>
    <w:basedOn w:val="Normal"/>
    <w:link w:val="EndNoteBibliographyChar"/>
    <w:rsid w:val="00A82E73"/>
    <w:pPr>
      <w:spacing w:line="240" w:lineRule="auto"/>
    </w:pPr>
    <w:rPr>
      <w:rFonts w:ascii="Aptos" w:hAnsi="Aptos"/>
      <w:noProof/>
      <w:szCs w:val="24"/>
      <w:lang w:val="en-US"/>
    </w:rPr>
  </w:style>
  <w:style w:type="character" w:customStyle="1" w:styleId="EndNoteBibliographyChar">
    <w:name w:val="EndNote Bibliography Char"/>
    <w:basedOn w:val="DefaultParagraphFont"/>
    <w:link w:val="EndNoteBibliography"/>
    <w:rsid w:val="00A82E73"/>
    <w:rPr>
      <w:rFonts w:ascii="Aptos" w:hAnsi="Aptos"/>
      <w:noProof/>
      <w:sz w:val="24"/>
      <w:szCs w:val="24"/>
      <w:lang w:val="en-US"/>
    </w:rPr>
  </w:style>
  <w:style w:type="character" w:styleId="Mention">
    <w:name w:val="Mention"/>
    <w:basedOn w:val="DefaultParagraphFont"/>
    <w:uiPriority w:val="99"/>
    <w:unhideWhenUsed/>
    <w:rsid w:val="002B5E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41850">
      <w:bodyDiv w:val="1"/>
      <w:marLeft w:val="0"/>
      <w:marRight w:val="0"/>
      <w:marTop w:val="0"/>
      <w:marBottom w:val="0"/>
      <w:divBdr>
        <w:top w:val="none" w:sz="0" w:space="0" w:color="auto"/>
        <w:left w:val="none" w:sz="0" w:space="0" w:color="auto"/>
        <w:bottom w:val="none" w:sz="0" w:space="0" w:color="auto"/>
        <w:right w:val="none" w:sz="0" w:space="0" w:color="auto"/>
      </w:divBdr>
    </w:div>
    <w:div w:id="879048161">
      <w:bodyDiv w:val="1"/>
      <w:marLeft w:val="0"/>
      <w:marRight w:val="0"/>
      <w:marTop w:val="0"/>
      <w:marBottom w:val="0"/>
      <w:divBdr>
        <w:top w:val="none" w:sz="0" w:space="0" w:color="auto"/>
        <w:left w:val="none" w:sz="0" w:space="0" w:color="auto"/>
        <w:bottom w:val="none" w:sz="0" w:space="0" w:color="auto"/>
        <w:right w:val="none" w:sz="0" w:space="0" w:color="auto"/>
      </w:divBdr>
    </w:div>
    <w:div w:id="941036334">
      <w:bodyDiv w:val="1"/>
      <w:marLeft w:val="0"/>
      <w:marRight w:val="0"/>
      <w:marTop w:val="0"/>
      <w:marBottom w:val="0"/>
      <w:divBdr>
        <w:top w:val="none" w:sz="0" w:space="0" w:color="auto"/>
        <w:left w:val="none" w:sz="0" w:space="0" w:color="auto"/>
        <w:bottom w:val="none" w:sz="0" w:space="0" w:color="auto"/>
        <w:right w:val="none" w:sz="0" w:space="0" w:color="auto"/>
      </w:divBdr>
    </w:div>
    <w:div w:id="1511875287">
      <w:bodyDiv w:val="1"/>
      <w:marLeft w:val="0"/>
      <w:marRight w:val="0"/>
      <w:marTop w:val="0"/>
      <w:marBottom w:val="0"/>
      <w:divBdr>
        <w:top w:val="none" w:sz="0" w:space="0" w:color="auto"/>
        <w:left w:val="none" w:sz="0" w:space="0" w:color="auto"/>
        <w:bottom w:val="none" w:sz="0" w:space="0" w:color="auto"/>
        <w:right w:val="none" w:sz="0" w:space="0" w:color="auto"/>
      </w:divBdr>
    </w:div>
    <w:div w:id="1567836689">
      <w:bodyDiv w:val="1"/>
      <w:marLeft w:val="0"/>
      <w:marRight w:val="0"/>
      <w:marTop w:val="0"/>
      <w:marBottom w:val="0"/>
      <w:divBdr>
        <w:top w:val="none" w:sz="0" w:space="0" w:color="auto"/>
        <w:left w:val="none" w:sz="0" w:space="0" w:color="auto"/>
        <w:bottom w:val="none" w:sz="0" w:space="0" w:color="auto"/>
        <w:right w:val="none" w:sz="0" w:space="0" w:color="auto"/>
      </w:divBdr>
    </w:div>
    <w:div w:id="1611354192">
      <w:bodyDiv w:val="1"/>
      <w:marLeft w:val="0"/>
      <w:marRight w:val="0"/>
      <w:marTop w:val="0"/>
      <w:marBottom w:val="0"/>
      <w:divBdr>
        <w:top w:val="none" w:sz="0" w:space="0" w:color="auto"/>
        <w:left w:val="none" w:sz="0" w:space="0" w:color="auto"/>
        <w:bottom w:val="none" w:sz="0" w:space="0" w:color="auto"/>
        <w:right w:val="none" w:sz="0" w:space="0" w:color="auto"/>
      </w:divBdr>
    </w:div>
    <w:div w:id="21187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hart" Target="charts/chart3.xml"/><Relationship Id="rId26" Type="http://schemas.openxmlformats.org/officeDocument/2006/relationships/hyperlink" Target="https://www.anglicare-tas.org.au/download/42353/" TargetMode="External"/><Relationship Id="rId3" Type="http://schemas.openxmlformats.org/officeDocument/2006/relationships/customXml" Target="../customXml/item3.xml"/><Relationship Id="rId21" Type="http://schemas.openxmlformats.org/officeDocument/2006/relationships/hyperlink" Target="https://www.anglicare-tas.org.au/research/housing-connect-front-door-snapshot-december-2025/" TargetMode="External"/><Relationship Id="rId7" Type="http://schemas.openxmlformats.org/officeDocument/2006/relationships/settings" Target="settings.xml"/><Relationship Id="rId12" Type="http://schemas.openxmlformats.org/officeDocument/2006/relationships/hyperlink" Target="https://www.anglicare-tas.org.au/housing-connect-snapshot/" TargetMode="External"/><Relationship Id="rId17" Type="http://schemas.openxmlformats.org/officeDocument/2006/relationships/chart" Target="charts/chart2.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eline.org.au" TargetMode="External"/><Relationship Id="rId24" Type="http://schemas.openxmlformats.org/officeDocument/2006/relationships/hyperlink" Target="https://www.anglicare-tas.org.au/research/mind-the-ga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www.anglicare-tas.org.au/research/policy-brief-housing-security-for-older-tasmanians/" TargetMode="External"/><Relationship Id="rId27"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anglicare-tas.org.au/download/42353/" TargetMode="External"/><Relationship Id="rId13" Type="http://schemas.openxmlformats.org/officeDocument/2006/relationships/hyperlink" Target="https://www.homestasmania.com.au/__data/assets/pdf_file/0031/251869/Social-Housing-Policy-January-2024.pdf" TargetMode="External"/><Relationship Id="rId18" Type="http://schemas.openxmlformats.org/officeDocument/2006/relationships/hyperlink" Target="https://www.anglicare-tas.org.au/research/housing-connect-front-door-snapshot-september-2025/" TargetMode="External"/><Relationship Id="rId26" Type="http://schemas.openxmlformats.org/officeDocument/2006/relationships/hyperlink" Target="https://www.sauleslake.info/independent-review-of-tasmanias-state-finances/" TargetMode="External"/><Relationship Id="rId3" Type="http://schemas.openxmlformats.org/officeDocument/2006/relationships/hyperlink" Target="https://www.homestasmania.com.au/__data/assets/pdf_file/0018/291114/Homes-Tasmania-Dashboard-February-2026.pdf" TargetMode="External"/><Relationship Id="rId21" Type="http://schemas.openxmlformats.org/officeDocument/2006/relationships/hyperlink" Target="https://www.anglicare-tas.org.au/research/housing-connect-front-door-snapshot-september-2025/" TargetMode="External"/><Relationship Id="rId7" Type="http://schemas.openxmlformats.org/officeDocument/2006/relationships/hyperlink" Target="https://www.anglicare-tas.org.au/research/mind-the-gap/" TargetMode="External"/><Relationship Id="rId12" Type="http://schemas.openxmlformats.org/officeDocument/2006/relationships/hyperlink" Target="https://www.aihw.gov.au/reports-data/health-welfare-services/homelessness-services/glossary" TargetMode="External"/><Relationship Id="rId17" Type="http://schemas.openxmlformats.org/officeDocument/2006/relationships/hyperlink" Target="https://www.anglicare.asn.au/publications/investing-in-people/" TargetMode="External"/><Relationship Id="rId25" Type="http://schemas.openxmlformats.org/officeDocument/2006/relationships/hyperlink" Target="https://www.anglicare.asn.au/wp-content/uploads/2026/02/Rebelancing-the-CGT-web.pdf" TargetMode="External"/><Relationship Id="rId2" Type="http://schemas.openxmlformats.org/officeDocument/2006/relationships/hyperlink" Target="https://www.homestasmania.com.au/__data/assets/pdf_file/0018/291114/Homes-Tasmania-Dashboard-February-2026.pdf" TargetMode="External"/><Relationship Id="rId16" Type="http://schemas.openxmlformats.org/officeDocument/2006/relationships/hyperlink" Target="https://www.anglicare-tas.org.au/research/housing-connect-front-door-snapshot-september-2025/" TargetMode="External"/><Relationship Id="rId20" Type="http://schemas.openxmlformats.org/officeDocument/2006/relationships/hyperlink" Target="https://www.homestasmania.com.au/Private-Rental/affordable-private-rentals" TargetMode="External"/><Relationship Id="rId1" Type="http://schemas.openxmlformats.org/officeDocument/2006/relationships/hyperlink" Target="https://www.homestasmania.com.au/__data/assets/pdf_file/0039/285996/Dashboard-June-2025.pdf" TargetMode="External"/><Relationship Id="rId6" Type="http://schemas.openxmlformats.org/officeDocument/2006/relationships/hyperlink" Target="https://www.anglicare-tas.org.au/research/mind-the-gap/" TargetMode="External"/><Relationship Id="rId11" Type="http://schemas.openxmlformats.org/officeDocument/2006/relationships/hyperlink" Target="https://www.aihw.gov.au/reports-data/health-welfare-services/homelessness-services/glossary" TargetMode="External"/><Relationship Id="rId24" Type="http://schemas.openxmlformats.org/officeDocument/2006/relationships/hyperlink" Target="https://www.treasury.tas.gov.au/Documents/No.%2044%20Short%20Stay%20Levy%20Submission%20-%20Chris%20Jones%2C%20Anglicare%20Tasmania.PDF" TargetMode="External"/><Relationship Id="rId5" Type="http://schemas.openxmlformats.org/officeDocument/2006/relationships/hyperlink" Target="https://www.anglicare-tas.org.au/research/policy-brief-housing-security-for-older-tasmanians/" TargetMode="External"/><Relationship Id="rId15" Type="http://schemas.openxmlformats.org/officeDocument/2006/relationships/hyperlink" Target="https://www.anglicare-tas.org.au/research/housing-connect-front-door-snapshot-september-2025/" TargetMode="External"/><Relationship Id="rId23" Type="http://schemas.openxmlformats.org/officeDocument/2006/relationships/hyperlink" Target="https://www.premier.tas.gov.au/our-plan/taking-action-on-the-cost-of-living-and-providing-more-housing-options-for-tasmanians/making-it-easier-for-tasmanians-to-own-their-own-home-5-short-stay-levy" TargetMode="External"/><Relationship Id="rId10" Type="http://schemas.openxmlformats.org/officeDocument/2006/relationships/hyperlink" Target="https://www.anglicare-tas.org.au/download/42353/" TargetMode="External"/><Relationship Id="rId19" Type="http://schemas.openxmlformats.org/officeDocument/2006/relationships/hyperlink" Target="https://www.homestasmania.com.au/__data/assets/pdf_file/0027/290781/Homes-Tasmania-Dashboard-January-2026.pdf" TargetMode="External"/><Relationship Id="rId4" Type="http://schemas.openxmlformats.org/officeDocument/2006/relationships/hyperlink" Target="https://www.anglicare-tas.org.au/research/housing-connect-front-door-snapshot-december-2025/" TargetMode="External"/><Relationship Id="rId9" Type="http://schemas.openxmlformats.org/officeDocument/2006/relationships/hyperlink" Target="https://www.anglicare-tas.org.au/download/42353/" TargetMode="External"/><Relationship Id="rId14" Type="http://schemas.openxmlformats.org/officeDocument/2006/relationships/hyperlink" Target="https://www.homestasmania.com.au/__data/assets/pdf_file/0018/291114/Homes-Tasmania-Dashboard-February-2026.pdf" TargetMode="External"/><Relationship Id="rId22" Type="http://schemas.openxmlformats.org/officeDocument/2006/relationships/hyperlink" Target="https://www.premier.tas.gov.au/latest-news/2026/april/short-stay-levy-bill-2026-tabled-in-parliam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Anglicare%20Australia%20Rental%20Affordability%20Snapshot\RAS%202026\Report\RAS%202026%20Charts%20for%20design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Anglicare%20Australia%20Rental%20Affordability%20Snapshot\RAS%202026\Report\RAS%202026%20Charts%20for%20design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Anglicare%20Australia%20Rental%20Affordability%20Snapshot\RAS%202026\Report\RAS%202026%20Charts%20for%20designer.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a:t>
            </a:r>
            <a:r>
              <a:rPr lang="en-US" baseline="0"/>
              <a:t> in Tasmania on Snapshot weekend, 2013-2026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 1'!$B$10</c:f>
              <c:strCache>
                <c:ptCount val="1"/>
                <c:pt idx="0">
                  <c:v>Number of properties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1'!$A$11:$A$24</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1'!$B$11:$B$24</c:f>
              <c:numCache>
                <c:formatCode>General</c:formatCode>
                <c:ptCount val="14"/>
                <c:pt idx="0">
                  <c:v>2677</c:v>
                </c:pt>
                <c:pt idx="1">
                  <c:v>2010</c:v>
                </c:pt>
                <c:pt idx="2">
                  <c:v>1842</c:v>
                </c:pt>
                <c:pt idx="3">
                  <c:v>1588</c:v>
                </c:pt>
                <c:pt idx="4">
                  <c:v>1363</c:v>
                </c:pt>
                <c:pt idx="5">
                  <c:v>1245</c:v>
                </c:pt>
                <c:pt idx="6">
                  <c:v>1050</c:v>
                </c:pt>
                <c:pt idx="7">
                  <c:v>1291</c:v>
                </c:pt>
                <c:pt idx="8">
                  <c:v>729</c:v>
                </c:pt>
                <c:pt idx="9">
                  <c:v>714</c:v>
                </c:pt>
                <c:pt idx="10">
                  <c:v>1037</c:v>
                </c:pt>
                <c:pt idx="11">
                  <c:v>1127</c:v>
                </c:pt>
                <c:pt idx="12">
                  <c:v>845</c:v>
                </c:pt>
                <c:pt idx="13">
                  <c:v>770</c:v>
                </c:pt>
              </c:numCache>
            </c:numRef>
          </c:val>
          <c:extLst>
            <c:ext xmlns:c16="http://schemas.microsoft.com/office/drawing/2014/chart" uri="{C3380CC4-5D6E-409C-BE32-E72D297353CC}">
              <c16:uniqueId val="{00000000-6DCD-414E-9C67-192064F0E99C}"/>
            </c:ext>
          </c:extLst>
        </c:ser>
        <c:dLbls>
          <c:showLegendKey val="0"/>
          <c:showVal val="0"/>
          <c:showCatName val="0"/>
          <c:showSerName val="0"/>
          <c:showPercent val="0"/>
          <c:showBubbleSize val="0"/>
        </c:dLbls>
        <c:gapWidth val="219"/>
        <c:overlap val="-27"/>
        <c:axId val="929804783"/>
        <c:axId val="929794703"/>
      </c:barChart>
      <c:catAx>
        <c:axId val="92980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9794703"/>
        <c:crosses val="autoZero"/>
        <c:auto val="1"/>
        <c:lblAlgn val="ctr"/>
        <c:lblOffset val="100"/>
        <c:noMultiLvlLbl val="0"/>
      </c:catAx>
      <c:valAx>
        <c:axId val="92979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9804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 </a:t>
            </a:r>
          </a:p>
          <a:p>
            <a:pPr>
              <a:defRPr/>
            </a:pPr>
            <a:r>
              <a:rPr lang="en-US"/>
              <a:t>on Snapshot weekend</a:t>
            </a:r>
          </a:p>
          <a:p>
            <a:pPr>
              <a:defRPr/>
            </a:pPr>
            <a:r>
              <a:rPr lang="en-US" baseline="0"/>
              <a:t>in the South, 2013-2026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Sheet1!$A$2:$A$15</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Sheet1!$B$2:$B$15</c:f>
              <c:numCache>
                <c:formatCode>General</c:formatCode>
                <c:ptCount val="14"/>
                <c:pt idx="0">
                  <c:v>1304</c:v>
                </c:pt>
                <c:pt idx="1">
                  <c:v>941</c:v>
                </c:pt>
                <c:pt idx="2">
                  <c:v>856</c:v>
                </c:pt>
                <c:pt idx="3">
                  <c:v>632</c:v>
                </c:pt>
                <c:pt idx="4">
                  <c:v>512</c:v>
                </c:pt>
                <c:pt idx="5">
                  <c:v>562</c:v>
                </c:pt>
                <c:pt idx="6">
                  <c:v>434</c:v>
                </c:pt>
                <c:pt idx="7">
                  <c:v>755</c:v>
                </c:pt>
                <c:pt idx="8">
                  <c:v>433</c:v>
                </c:pt>
                <c:pt idx="9">
                  <c:v>323</c:v>
                </c:pt>
                <c:pt idx="10">
                  <c:v>637</c:v>
                </c:pt>
                <c:pt idx="11">
                  <c:v>659</c:v>
                </c:pt>
                <c:pt idx="12">
                  <c:v>449</c:v>
                </c:pt>
                <c:pt idx="13">
                  <c:v>370</c:v>
                </c:pt>
              </c:numCache>
            </c:numRef>
          </c:val>
          <c:extLst>
            <c:ext xmlns:c16="http://schemas.microsoft.com/office/drawing/2014/chart" uri="{C3380CC4-5D6E-409C-BE32-E72D297353CC}">
              <c16:uniqueId val="{00000000-61D8-4E9E-8244-25EE54039774}"/>
            </c:ext>
          </c:extLst>
        </c:ser>
        <c:dLbls>
          <c:showLegendKey val="0"/>
          <c:showVal val="0"/>
          <c:showCatName val="0"/>
          <c:showSerName val="0"/>
          <c:showPercent val="0"/>
          <c:showBubbleSize val="0"/>
        </c:dLbls>
        <c:gapWidth val="150"/>
        <c:axId val="334941760"/>
        <c:axId val="334989600"/>
      </c:barChart>
      <c:catAx>
        <c:axId val="33494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89600"/>
        <c:crosses val="autoZero"/>
        <c:auto val="1"/>
        <c:lblAlgn val="ctr"/>
        <c:lblOffset val="100"/>
        <c:noMultiLvlLbl val="0"/>
      </c:catAx>
      <c:valAx>
        <c:axId val="33498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94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a:t>
            </a:r>
            <a:r>
              <a:rPr lang="en-US" baseline="0"/>
              <a:t> for rent </a:t>
            </a:r>
          </a:p>
          <a:p>
            <a:pPr>
              <a:defRPr/>
            </a:pPr>
            <a:r>
              <a:rPr lang="en-US" baseline="0"/>
              <a:t>on Snapshot weekend in the North, 2013-2026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Sheet1!$A$2:$A$15</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Sheet1!$B$2:$B$15</c:f>
              <c:numCache>
                <c:formatCode>General</c:formatCode>
                <c:ptCount val="14"/>
                <c:pt idx="0">
                  <c:v>809</c:v>
                </c:pt>
                <c:pt idx="1">
                  <c:v>649</c:v>
                </c:pt>
                <c:pt idx="2">
                  <c:v>593</c:v>
                </c:pt>
                <c:pt idx="3">
                  <c:v>490</c:v>
                </c:pt>
                <c:pt idx="4">
                  <c:v>413</c:v>
                </c:pt>
                <c:pt idx="5">
                  <c:v>440</c:v>
                </c:pt>
                <c:pt idx="6">
                  <c:v>354</c:v>
                </c:pt>
                <c:pt idx="7">
                  <c:v>395</c:v>
                </c:pt>
                <c:pt idx="8">
                  <c:v>209</c:v>
                </c:pt>
                <c:pt idx="9">
                  <c:v>277</c:v>
                </c:pt>
                <c:pt idx="10">
                  <c:v>277</c:v>
                </c:pt>
                <c:pt idx="11">
                  <c:v>297</c:v>
                </c:pt>
                <c:pt idx="12">
                  <c:v>271</c:v>
                </c:pt>
                <c:pt idx="13">
                  <c:v>275</c:v>
                </c:pt>
              </c:numCache>
            </c:numRef>
          </c:val>
          <c:extLst>
            <c:ext xmlns:c16="http://schemas.microsoft.com/office/drawing/2014/chart" uri="{C3380CC4-5D6E-409C-BE32-E72D297353CC}">
              <c16:uniqueId val="{00000000-2B47-4A18-B47E-BDC81206A8BF}"/>
            </c:ext>
          </c:extLst>
        </c:ser>
        <c:dLbls>
          <c:showLegendKey val="0"/>
          <c:showVal val="0"/>
          <c:showCatName val="0"/>
          <c:showSerName val="0"/>
          <c:showPercent val="0"/>
          <c:showBubbleSize val="0"/>
        </c:dLbls>
        <c:gapWidth val="150"/>
        <c:axId val="338714432"/>
        <c:axId val="349413104"/>
      </c:barChart>
      <c:catAx>
        <c:axId val="3387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413104"/>
        <c:crosses val="autoZero"/>
        <c:auto val="1"/>
        <c:lblAlgn val="ctr"/>
        <c:lblOffset val="100"/>
        <c:noMultiLvlLbl val="0"/>
      </c:catAx>
      <c:valAx>
        <c:axId val="34941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71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properties advertised on </a:t>
            </a:r>
          </a:p>
          <a:p>
            <a:pPr>
              <a:defRPr/>
            </a:pPr>
            <a:r>
              <a:rPr lang="en-US"/>
              <a:t>Snapshot weekend in the North West, 2013-2026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properties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Sheet1!$A$2:$A$15</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Sheet1!$B$2:$B$15</c:f>
              <c:numCache>
                <c:formatCode>General</c:formatCode>
                <c:ptCount val="14"/>
                <c:pt idx="0">
                  <c:v>563</c:v>
                </c:pt>
                <c:pt idx="1">
                  <c:v>420</c:v>
                </c:pt>
                <c:pt idx="2">
                  <c:v>393</c:v>
                </c:pt>
                <c:pt idx="3">
                  <c:v>481</c:v>
                </c:pt>
                <c:pt idx="4">
                  <c:v>438</c:v>
                </c:pt>
                <c:pt idx="5">
                  <c:v>243</c:v>
                </c:pt>
                <c:pt idx="6">
                  <c:v>262</c:v>
                </c:pt>
                <c:pt idx="7">
                  <c:v>141</c:v>
                </c:pt>
                <c:pt idx="8">
                  <c:v>87</c:v>
                </c:pt>
                <c:pt idx="9">
                  <c:v>121</c:v>
                </c:pt>
                <c:pt idx="10">
                  <c:v>123</c:v>
                </c:pt>
                <c:pt idx="11">
                  <c:v>171</c:v>
                </c:pt>
                <c:pt idx="12">
                  <c:v>125</c:v>
                </c:pt>
                <c:pt idx="13">
                  <c:v>125</c:v>
                </c:pt>
              </c:numCache>
            </c:numRef>
          </c:val>
          <c:extLst>
            <c:ext xmlns:c16="http://schemas.microsoft.com/office/drawing/2014/chart" uri="{C3380CC4-5D6E-409C-BE32-E72D297353CC}">
              <c16:uniqueId val="{00000000-8FED-4931-B76C-6339514DCA30}"/>
            </c:ext>
          </c:extLst>
        </c:ser>
        <c:dLbls>
          <c:showLegendKey val="0"/>
          <c:showVal val="0"/>
          <c:showCatName val="0"/>
          <c:showSerName val="0"/>
          <c:showPercent val="0"/>
          <c:showBubbleSize val="0"/>
        </c:dLbls>
        <c:gapWidth val="150"/>
        <c:axId val="152929024"/>
        <c:axId val="349414768"/>
      </c:barChart>
      <c:catAx>
        <c:axId val="15292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414768"/>
        <c:crosses val="autoZero"/>
        <c:auto val="1"/>
        <c:lblAlgn val="ctr"/>
        <c:lblOffset val="100"/>
        <c:noMultiLvlLbl val="0"/>
      </c:catAx>
      <c:valAx>
        <c:axId val="34941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2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Median rents for sharehouse rooms on Snapshot weekend compared to maximum affordable rental price for various households,</a:t>
            </a:r>
            <a:r>
              <a:rPr lang="en-US" sz="1100" baseline="0"/>
              <a:t> 2013-2026</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6'!$A$12:$C$12</c:f>
              <c:strCache>
                <c:ptCount val="3"/>
                <c:pt idx="2">
                  <c:v>Median rental price</c:v>
                </c:pt>
              </c:strCache>
            </c:strRef>
          </c:tx>
          <c:spPr>
            <a:ln w="28575" cap="rnd">
              <a:solidFill>
                <a:srgbClr val="C00000"/>
              </a:solidFill>
              <a:round/>
            </a:ln>
            <a:effectLst/>
          </c:spPr>
          <c:marker>
            <c:symbol val="none"/>
          </c:marker>
          <c:cat>
            <c:numRef>
              <c:f>'Figure 6'!$D$10:$Q$10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6'!$D$12:$Q$12</c:f>
              <c:numCache>
                <c:formatCode>"$"#,##0_);[Red]\("$"#,##0\)</c:formatCode>
                <c:ptCount val="14"/>
                <c:pt idx="0">
                  <c:v>122</c:v>
                </c:pt>
                <c:pt idx="1">
                  <c:v>140</c:v>
                </c:pt>
                <c:pt idx="2">
                  <c:v>132</c:v>
                </c:pt>
                <c:pt idx="3">
                  <c:v>140</c:v>
                </c:pt>
                <c:pt idx="4">
                  <c:v>146</c:v>
                </c:pt>
                <c:pt idx="5">
                  <c:v>170</c:v>
                </c:pt>
                <c:pt idx="6" formatCode="&quot;$&quot;#,##0.00_);[Red]\(&quot;$&quot;#,##0.00\)">
                  <c:v>162.5</c:v>
                </c:pt>
                <c:pt idx="7">
                  <c:v>180</c:v>
                </c:pt>
                <c:pt idx="8" formatCode="&quot;$&quot;#,##0.00_);[Red]\(&quot;$&quot;#,##0.00\)">
                  <c:v>182.5</c:v>
                </c:pt>
                <c:pt idx="9">
                  <c:v>190</c:v>
                </c:pt>
                <c:pt idx="10">
                  <c:v>200</c:v>
                </c:pt>
                <c:pt idx="11">
                  <c:v>220</c:v>
                </c:pt>
                <c:pt idx="12">
                  <c:v>230</c:v>
                </c:pt>
                <c:pt idx="13">
                  <c:v>280</c:v>
                </c:pt>
              </c:numCache>
            </c:numRef>
          </c:val>
          <c:smooth val="0"/>
          <c:extLst>
            <c:ext xmlns:c16="http://schemas.microsoft.com/office/drawing/2014/chart" uri="{C3380CC4-5D6E-409C-BE32-E72D297353CC}">
              <c16:uniqueId val="{00000000-2FB4-41B1-BE70-450B60D579E9}"/>
            </c:ext>
          </c:extLst>
        </c:ser>
        <c:ser>
          <c:idx val="3"/>
          <c:order val="3"/>
          <c:tx>
            <c:strRef>
              <c:f>'Figure 6'!$A$14:$C$14</c:f>
              <c:strCache>
                <c:ptCount val="3"/>
                <c:pt idx="0">
                  <c:v>Single, </c:v>
                </c:pt>
                <c:pt idx="1">
                  <c:v>Age Pension</c:v>
                </c:pt>
              </c:strCache>
            </c:strRef>
          </c:tx>
          <c:spPr>
            <a:ln w="28575" cap="rnd">
              <a:solidFill>
                <a:srgbClr val="FFE209"/>
              </a:solidFill>
              <a:round/>
            </a:ln>
            <a:effectLst/>
          </c:spPr>
          <c:marker>
            <c:symbol val="none"/>
          </c:marker>
          <c:cat>
            <c:numRef>
              <c:f>'Figure 6'!$D$10:$Q$10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6'!$D$14:$Q$14</c:f>
              <c:numCache>
                <c:formatCode>General</c:formatCode>
                <c:ptCount val="14"/>
                <c:pt idx="0">
                  <c:v>137.685</c:v>
                </c:pt>
                <c:pt idx="1">
                  <c:v>143.29499999999999</c:v>
                </c:pt>
                <c:pt idx="2">
                  <c:v>145.88</c:v>
                </c:pt>
                <c:pt idx="3">
                  <c:v>148.52999999999997</c:v>
                </c:pt>
                <c:pt idx="4">
                  <c:v>150.96</c:v>
                </c:pt>
                <c:pt idx="5">
                  <c:v>154.24499999999998</c:v>
                </c:pt>
                <c:pt idx="6">
                  <c:v>157.39499999999998</c:v>
                </c:pt>
                <c:pt idx="7">
                  <c:v>158.595</c:v>
                </c:pt>
                <c:pt idx="8">
                  <c:v>161.91</c:v>
                </c:pt>
                <c:pt idx="9">
                  <c:v>167.89499999999998</c:v>
                </c:pt>
                <c:pt idx="10">
                  <c:v>181.06500000000003</c:v>
                </c:pt>
                <c:pt idx="11">
                  <c:v>192.13548387096773</c:v>
                </c:pt>
                <c:pt idx="12">
                  <c:v>200.75806451612902</c:v>
                </c:pt>
                <c:pt idx="13">
                  <c:v>209.96</c:v>
                </c:pt>
              </c:numCache>
            </c:numRef>
          </c:val>
          <c:smooth val="0"/>
          <c:extLst>
            <c:ext xmlns:c16="http://schemas.microsoft.com/office/drawing/2014/chart" uri="{C3380CC4-5D6E-409C-BE32-E72D297353CC}">
              <c16:uniqueId val="{00000001-2FB4-41B1-BE70-450B60D579E9}"/>
            </c:ext>
          </c:extLst>
        </c:ser>
        <c:ser>
          <c:idx val="4"/>
          <c:order val="4"/>
          <c:tx>
            <c:strRef>
              <c:f>'Figure 6'!$A$15:$C$15</c:f>
              <c:strCache>
                <c:ptCount val="3"/>
                <c:pt idx="0">
                  <c:v>Single, </c:v>
                </c:pt>
                <c:pt idx="1">
                  <c:v>JobSeeker (formerly Newstart)</c:v>
                </c:pt>
              </c:strCache>
            </c:strRef>
          </c:tx>
          <c:spPr>
            <a:ln w="28575" cap="rnd">
              <a:solidFill>
                <a:schemeClr val="bg1">
                  <a:lumMod val="50000"/>
                </a:schemeClr>
              </a:solidFill>
              <a:round/>
            </a:ln>
            <a:effectLst/>
          </c:spPr>
          <c:marker>
            <c:symbol val="none"/>
          </c:marker>
          <c:cat>
            <c:numRef>
              <c:f>'Figure 6'!$D$10:$Q$10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6'!$D$15:$Q$15</c:f>
              <c:numCache>
                <c:formatCode>General</c:formatCode>
                <c:ptCount val="14"/>
                <c:pt idx="0">
                  <c:v>80.341935483870969</c:v>
                </c:pt>
                <c:pt idx="1">
                  <c:v>82.548387096774192</c:v>
                </c:pt>
                <c:pt idx="2">
                  <c:v>84.23</c:v>
                </c:pt>
                <c:pt idx="3">
                  <c:v>85.277419354838713</c:v>
                </c:pt>
                <c:pt idx="4">
                  <c:v>86.564516129032256</c:v>
                </c:pt>
                <c:pt idx="5">
                  <c:v>88.190322580645159</c:v>
                </c:pt>
                <c:pt idx="6">
                  <c:v>89.787096774193557</c:v>
                </c:pt>
                <c:pt idx="7">
                  <c:v>90.309677419354827</c:v>
                </c:pt>
                <c:pt idx="8">
                  <c:v>101.89354838709676</c:v>
                </c:pt>
                <c:pt idx="9">
                  <c:v>105.49354838709678</c:v>
                </c:pt>
                <c:pt idx="10">
                  <c:v>113.76774193548387</c:v>
                </c:pt>
                <c:pt idx="11">
                  <c:v>126.4258064516129</c:v>
                </c:pt>
                <c:pt idx="12">
                  <c:v>131.25483870967739</c:v>
                </c:pt>
                <c:pt idx="13">
                  <c:v>135.75483870967741</c:v>
                </c:pt>
              </c:numCache>
            </c:numRef>
          </c:val>
          <c:smooth val="0"/>
          <c:extLst>
            <c:ext xmlns:c16="http://schemas.microsoft.com/office/drawing/2014/chart" uri="{C3380CC4-5D6E-409C-BE32-E72D297353CC}">
              <c16:uniqueId val="{00000002-2FB4-41B1-BE70-450B60D579E9}"/>
            </c:ext>
          </c:extLst>
        </c:ser>
        <c:ser>
          <c:idx val="5"/>
          <c:order val="5"/>
          <c:tx>
            <c:strRef>
              <c:f>'Figure 6'!$A$16:$C$16</c:f>
              <c:strCache>
                <c:ptCount val="3"/>
                <c:pt idx="0">
                  <c:v>Single in share house, </c:v>
                </c:pt>
                <c:pt idx="1">
                  <c:v>Youth Allowance</c:v>
                </c:pt>
              </c:strCache>
            </c:strRef>
          </c:tx>
          <c:spPr>
            <a:ln w="28575" cap="rnd">
              <a:solidFill>
                <a:schemeClr val="accent2"/>
              </a:solidFill>
              <a:round/>
            </a:ln>
            <a:effectLst/>
          </c:spPr>
          <c:marker>
            <c:symbol val="none"/>
          </c:marker>
          <c:cat>
            <c:numRef>
              <c:f>'Figure 6'!$D$10:$Q$10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6'!$D$16:$Q$16</c:f>
              <c:numCache>
                <c:formatCode>General</c:formatCode>
                <c:ptCount val="14"/>
                <c:pt idx="0">
                  <c:v>63.019354838709681</c:v>
                </c:pt>
                <c:pt idx="1">
                  <c:v>63.948387096774184</c:v>
                </c:pt>
                <c:pt idx="2">
                  <c:v>66.349999999999994</c:v>
                </c:pt>
                <c:pt idx="3">
                  <c:v>67.00645161290322</c:v>
                </c:pt>
                <c:pt idx="4">
                  <c:v>67.57741935483871</c:v>
                </c:pt>
                <c:pt idx="5">
                  <c:v>68.835483870967749</c:v>
                </c:pt>
                <c:pt idx="6">
                  <c:v>70.335483870967735</c:v>
                </c:pt>
                <c:pt idx="7">
                  <c:v>71.632258064516122</c:v>
                </c:pt>
                <c:pt idx="8">
                  <c:v>80.93225806451612</c:v>
                </c:pt>
                <c:pt idx="9">
                  <c:v>83.758064516129025</c:v>
                </c:pt>
                <c:pt idx="10">
                  <c:v>88.548387096774178</c:v>
                </c:pt>
                <c:pt idx="11">
                  <c:v>102.48387096774194</c:v>
                </c:pt>
                <c:pt idx="12">
                  <c:v>108.1064516129032</c:v>
                </c:pt>
                <c:pt idx="13">
                  <c:v>109.95483870967742</c:v>
                </c:pt>
              </c:numCache>
            </c:numRef>
          </c:val>
          <c:smooth val="0"/>
          <c:extLst>
            <c:ext xmlns:c16="http://schemas.microsoft.com/office/drawing/2014/chart" uri="{C3380CC4-5D6E-409C-BE32-E72D297353CC}">
              <c16:uniqueId val="{00000003-2FB4-41B1-BE70-450B60D579E9}"/>
            </c:ext>
          </c:extLst>
        </c:ser>
        <c:ser>
          <c:idx val="6"/>
          <c:order val="6"/>
          <c:tx>
            <c:strRef>
              <c:f>'Figure 6'!$A$17:$C$17</c:f>
              <c:strCache>
                <c:ptCount val="3"/>
                <c:pt idx="0">
                  <c:v>Single, </c:v>
                </c:pt>
                <c:pt idx="1">
                  <c:v>Minimum wage</c:v>
                </c:pt>
              </c:strCache>
            </c:strRef>
          </c:tx>
          <c:spPr>
            <a:ln w="28575" cap="rnd">
              <a:solidFill>
                <a:schemeClr val="accent4"/>
              </a:solidFill>
              <a:round/>
            </a:ln>
            <a:effectLst/>
          </c:spPr>
          <c:marker>
            <c:symbol val="none"/>
          </c:marker>
          <c:cat>
            <c:numRef>
              <c:f>'Figure 6'!$D$10:$Q$10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6'!$D$17:$Q$17</c:f>
              <c:numCache>
                <c:formatCode>General</c:formatCode>
                <c:ptCount val="14"/>
                <c:pt idx="0">
                  <c:v>164.7</c:v>
                </c:pt>
                <c:pt idx="1">
                  <c:v>168.34649999999999</c:v>
                </c:pt>
                <c:pt idx="2">
                  <c:v>172.80599999999998</c:v>
                </c:pt>
                <c:pt idx="3">
                  <c:v>175.63650000000001</c:v>
                </c:pt>
                <c:pt idx="4">
                  <c:v>179.38049999999998</c:v>
                </c:pt>
                <c:pt idx="5">
                  <c:v>184.64099999999999</c:v>
                </c:pt>
                <c:pt idx="6">
                  <c:v>190.09049999999999</c:v>
                </c:pt>
                <c:pt idx="7">
                  <c:v>194.33399999999997</c:v>
                </c:pt>
                <c:pt idx="8">
                  <c:v>198.6</c:v>
                </c:pt>
                <c:pt idx="9">
                  <c:v>203.0565</c:v>
                </c:pt>
                <c:pt idx="10">
                  <c:v>212.5395</c:v>
                </c:pt>
                <c:pt idx="11">
                  <c:v>229.17299999999997</c:v>
                </c:pt>
                <c:pt idx="12">
                  <c:v>239.9897538461538</c:v>
                </c:pt>
                <c:pt idx="13">
                  <c:v>246.55855384615384</c:v>
                </c:pt>
              </c:numCache>
            </c:numRef>
          </c:val>
          <c:smooth val="0"/>
          <c:extLst>
            <c:ext xmlns:c16="http://schemas.microsoft.com/office/drawing/2014/chart" uri="{C3380CC4-5D6E-409C-BE32-E72D297353CC}">
              <c16:uniqueId val="{00000004-2FB4-41B1-BE70-450B60D579E9}"/>
            </c:ext>
          </c:extLst>
        </c:ser>
        <c:dLbls>
          <c:showLegendKey val="0"/>
          <c:showVal val="0"/>
          <c:showCatName val="0"/>
          <c:showSerName val="0"/>
          <c:showPercent val="0"/>
          <c:showBubbleSize val="0"/>
        </c:dLbls>
        <c:smooth val="0"/>
        <c:axId val="1241800223"/>
        <c:axId val="1241815103"/>
        <c:extLst>
          <c:ext xmlns:c15="http://schemas.microsoft.com/office/drawing/2012/chart" uri="{02D57815-91ED-43cb-92C2-25804820EDAC}">
            <c15:filteredLineSeries>
              <c15:ser>
                <c:idx val="0"/>
                <c:order val="0"/>
                <c:tx>
                  <c:strRef>
                    <c:extLst>
                      <c:ext uri="{02D57815-91ED-43cb-92C2-25804820EDAC}">
                        <c15:formulaRef>
                          <c15:sqref>'Figure 6'!$A$11:$C$11</c15:sqref>
                        </c15:formulaRef>
                      </c:ext>
                    </c:extLst>
                    <c:strCache>
                      <c:ptCount val="3"/>
                    </c:strCache>
                  </c:strRef>
                </c:tx>
                <c:spPr>
                  <a:ln w="28575" cap="rnd">
                    <a:solidFill>
                      <a:schemeClr val="accent1"/>
                    </a:solidFill>
                    <a:round/>
                  </a:ln>
                  <a:effectLst/>
                </c:spPr>
                <c:marker>
                  <c:symbol val="none"/>
                </c:marker>
                <c:cat>
                  <c:numRef>
                    <c:extLst>
                      <c:ext uri="{02D57815-91ED-43cb-92C2-25804820EDAC}">
                        <c15:formulaRef>
                          <c15:sqref>'Figure 6'!$D$10:$Q$10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c:ext uri="{02D57815-91ED-43cb-92C2-25804820EDAC}">
                        <c15:formulaRef>
                          <c15:sqref>'Figure 6'!$D$11:$Q$11</c15:sqref>
                        </c15:formulaRef>
                      </c:ext>
                    </c:extLst>
                    <c:numCache>
                      <c:formatCode>General</c:formatCode>
                      <c:ptCount val="14"/>
                    </c:numCache>
                  </c:numRef>
                </c:val>
                <c:smooth val="0"/>
                <c:extLst>
                  <c:ext xmlns:c16="http://schemas.microsoft.com/office/drawing/2014/chart" uri="{C3380CC4-5D6E-409C-BE32-E72D297353CC}">
                    <c16:uniqueId val="{00000005-2FB4-41B1-BE70-450B60D579E9}"/>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'Figure 6'!$A$13:$C$13</c15:sqref>
                        </c15:formulaRef>
                      </c:ext>
                    </c:extLst>
                    <c:strCache>
                      <c:ptCount val="3"/>
                      <c:pt idx="2">
                        <c:v>Median rental price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'Figure 6'!$D$10:$Q$10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xmlns:c15="http://schemas.microsoft.com/office/drawing/2012/chart">
                      <c:ext xmlns:c15="http://schemas.microsoft.com/office/drawing/2012/chart" uri="{02D57815-91ED-43cb-92C2-25804820EDAC}">
                        <c15:formulaRef>
                          <c15:sqref>'Figure 6'!$D$13:$Q$13</c15:sqref>
                        </c15:formulaRef>
                      </c:ext>
                    </c:extLst>
                    <c:numCache>
                      <c:formatCode>General</c:formatCode>
                      <c:ptCount val="14"/>
                    </c:numCache>
                  </c:numRef>
                </c:val>
                <c:smooth val="0"/>
                <c:extLst xmlns:c15="http://schemas.microsoft.com/office/drawing/2012/chart">
                  <c:ext xmlns:c16="http://schemas.microsoft.com/office/drawing/2014/chart" uri="{C3380CC4-5D6E-409C-BE32-E72D297353CC}">
                    <c16:uniqueId val="{00000006-2FB4-41B1-BE70-450B60D579E9}"/>
                  </c:ext>
                </c:extLst>
              </c15:ser>
            </c15:filteredLineSeries>
          </c:ext>
        </c:extLst>
      </c:lineChart>
      <c:catAx>
        <c:axId val="124180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8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815103"/>
        <c:crosses val="autoZero"/>
        <c:auto val="1"/>
        <c:lblAlgn val="ctr"/>
        <c:lblOffset val="100"/>
        <c:noMultiLvlLbl val="0"/>
      </c:catAx>
      <c:valAx>
        <c:axId val="124181510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8002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780000"/>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Median</a:t>
            </a:r>
            <a:r>
              <a:rPr lang="en-US" sz="1100" baseline="0"/>
              <a:t> rents for unshared one-bedroom properties on Snapshot weekend compared to maximum affordable rental price for various households, 2013-2026</a:t>
            </a:r>
            <a:endParaRPr lang="en-US" sz="1100"/>
          </a:p>
        </c:rich>
      </c:tx>
      <c:layout>
        <c:manualLayout>
          <c:xMode val="edge"/>
          <c:yMode val="edge"/>
          <c:x val="0.12073665102229134"/>
          <c:y val="1.49184127278728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7'!$A$12:$C$12</c:f>
              <c:strCache>
                <c:ptCount val="3"/>
                <c:pt idx="2">
                  <c:v>Median rental price</c:v>
                </c:pt>
              </c:strCache>
            </c:strRef>
          </c:tx>
          <c:spPr>
            <a:ln w="28575" cap="rnd">
              <a:solidFill>
                <a:srgbClr val="C00000"/>
              </a:solidFill>
              <a:round/>
            </a:ln>
            <a:effectLst/>
          </c:spPr>
          <c:marker>
            <c:symbol val="none"/>
          </c:marker>
          <c:cat>
            <c:numRef>
              <c:f>'Figure 7'!$D$10:$Q$10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7'!$D$12:$Q$12</c:f>
              <c:numCache>
                <c:formatCode>"$"#,##0_);[Red]\("$"#,##0\)</c:formatCode>
                <c:ptCount val="14"/>
                <c:pt idx="0">
                  <c:v>190</c:v>
                </c:pt>
                <c:pt idx="1">
                  <c:v>200</c:v>
                </c:pt>
                <c:pt idx="2" formatCode="&quot;$&quot;#,##0.00_);[Red]\(&quot;$&quot;#,##0.00\)">
                  <c:v>202.5</c:v>
                </c:pt>
                <c:pt idx="3">
                  <c:v>180</c:v>
                </c:pt>
                <c:pt idx="4">
                  <c:v>200</c:v>
                </c:pt>
                <c:pt idx="5">
                  <c:v>240</c:v>
                </c:pt>
                <c:pt idx="6" formatCode="&quot;$&quot;#,##0.00_);[Red]\(&quot;$&quot;#,##0.00\)">
                  <c:v>277.5</c:v>
                </c:pt>
                <c:pt idx="7">
                  <c:v>345</c:v>
                </c:pt>
                <c:pt idx="8">
                  <c:v>320</c:v>
                </c:pt>
                <c:pt idx="9">
                  <c:v>350</c:v>
                </c:pt>
                <c:pt idx="10" formatCode="&quot;$&quot;#,##0.00_);[Red]\(&quot;$&quot;#,##0.00\)">
                  <c:v>377.5</c:v>
                </c:pt>
                <c:pt idx="11">
                  <c:v>350</c:v>
                </c:pt>
                <c:pt idx="12">
                  <c:v>375</c:v>
                </c:pt>
                <c:pt idx="13">
                  <c:v>375</c:v>
                </c:pt>
              </c:numCache>
            </c:numRef>
          </c:val>
          <c:smooth val="0"/>
          <c:extLst>
            <c:ext xmlns:c16="http://schemas.microsoft.com/office/drawing/2014/chart" uri="{C3380CC4-5D6E-409C-BE32-E72D297353CC}">
              <c16:uniqueId val="{00000000-526E-4F13-BCAA-10498CB2DBCF}"/>
            </c:ext>
          </c:extLst>
        </c:ser>
        <c:ser>
          <c:idx val="3"/>
          <c:order val="3"/>
          <c:tx>
            <c:strRef>
              <c:f>'Figure 7'!$A$14:$C$14</c:f>
              <c:strCache>
                <c:ptCount val="3"/>
                <c:pt idx="0">
                  <c:v>Couple, no children, </c:v>
                </c:pt>
                <c:pt idx="1">
                  <c:v>Age Pension</c:v>
                </c:pt>
              </c:strCache>
            </c:strRef>
          </c:tx>
          <c:spPr>
            <a:ln w="28575" cap="rnd">
              <a:solidFill>
                <a:srgbClr val="FFE209"/>
              </a:solidFill>
              <a:round/>
            </a:ln>
            <a:effectLst/>
          </c:spPr>
          <c:marker>
            <c:symbol val="none"/>
          </c:marker>
          <c:cat>
            <c:numRef>
              <c:f>'Figure 7'!$D$10:$Q$10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7'!$D$14:$Q$14</c:f>
              <c:numCache>
                <c:formatCode>General</c:formatCode>
                <c:ptCount val="14"/>
                <c:pt idx="0">
                  <c:v>197.1</c:v>
                </c:pt>
                <c:pt idx="1">
                  <c:v>205.25999999999996</c:v>
                </c:pt>
                <c:pt idx="2">
                  <c:v>209.16</c:v>
                </c:pt>
                <c:pt idx="3">
                  <c:v>212.85</c:v>
                </c:pt>
                <c:pt idx="4">
                  <c:v>216.39</c:v>
                </c:pt>
                <c:pt idx="5">
                  <c:v>221.1</c:v>
                </c:pt>
                <c:pt idx="6">
                  <c:v>225.63</c:v>
                </c:pt>
                <c:pt idx="7">
                  <c:v>227.36999999999998</c:v>
                </c:pt>
                <c:pt idx="8">
                  <c:v>232.17</c:v>
                </c:pt>
                <c:pt idx="9">
                  <c:v>240.75</c:v>
                </c:pt>
                <c:pt idx="10">
                  <c:v>259.62</c:v>
                </c:pt>
                <c:pt idx="11">
                  <c:v>275.82</c:v>
                </c:pt>
                <c:pt idx="12">
                  <c:v>289.68</c:v>
                </c:pt>
                <c:pt idx="13">
                  <c:v>302.60000000000002</c:v>
                </c:pt>
              </c:numCache>
            </c:numRef>
          </c:val>
          <c:smooth val="0"/>
          <c:extLst>
            <c:ext xmlns:c16="http://schemas.microsoft.com/office/drawing/2014/chart" uri="{C3380CC4-5D6E-409C-BE32-E72D297353CC}">
              <c16:uniqueId val="{00000001-526E-4F13-BCAA-10498CB2DBCF}"/>
            </c:ext>
          </c:extLst>
        </c:ser>
        <c:ser>
          <c:idx val="4"/>
          <c:order val="4"/>
          <c:tx>
            <c:strRef>
              <c:f>'Figure 7'!$A$15:$C$15</c:f>
              <c:strCache>
                <c:ptCount val="3"/>
                <c:pt idx="0">
                  <c:v>Single aged over 21, </c:v>
                </c:pt>
                <c:pt idx="1">
                  <c:v>Disability Support Pension</c:v>
                </c:pt>
              </c:strCache>
            </c:strRef>
          </c:tx>
          <c:spPr>
            <a:ln w="28575" cap="rnd">
              <a:solidFill>
                <a:schemeClr val="accent2"/>
              </a:solidFill>
              <a:round/>
            </a:ln>
            <a:effectLst/>
          </c:spPr>
          <c:marker>
            <c:symbol val="none"/>
          </c:marker>
          <c:cat>
            <c:numRef>
              <c:f>'Figure 7'!$D$10:$Q$10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7'!$D$15:$Q$15</c:f>
              <c:numCache>
                <c:formatCode>General</c:formatCode>
                <c:ptCount val="14"/>
                <c:pt idx="0">
                  <c:v>137.685</c:v>
                </c:pt>
                <c:pt idx="1">
                  <c:v>143.29499999999999</c:v>
                </c:pt>
                <c:pt idx="2">
                  <c:v>145.88</c:v>
                </c:pt>
                <c:pt idx="3">
                  <c:v>148.52999999999997</c:v>
                </c:pt>
                <c:pt idx="4">
                  <c:v>150.96</c:v>
                </c:pt>
                <c:pt idx="5">
                  <c:v>154.24499999999998</c:v>
                </c:pt>
                <c:pt idx="6">
                  <c:v>157.4085</c:v>
                </c:pt>
                <c:pt idx="7">
                  <c:v>158.595</c:v>
                </c:pt>
                <c:pt idx="8">
                  <c:v>161.91</c:v>
                </c:pt>
                <c:pt idx="9">
                  <c:v>167.89499999999998</c:v>
                </c:pt>
                <c:pt idx="10">
                  <c:v>181.06500000000003</c:v>
                </c:pt>
                <c:pt idx="11">
                  <c:v>192.13548387096773</c:v>
                </c:pt>
                <c:pt idx="12">
                  <c:v>200.75806451612902</c:v>
                </c:pt>
                <c:pt idx="13">
                  <c:v>209.96</c:v>
                </c:pt>
              </c:numCache>
            </c:numRef>
          </c:val>
          <c:smooth val="0"/>
          <c:extLst>
            <c:ext xmlns:c16="http://schemas.microsoft.com/office/drawing/2014/chart" uri="{C3380CC4-5D6E-409C-BE32-E72D297353CC}">
              <c16:uniqueId val="{00000002-526E-4F13-BCAA-10498CB2DBCF}"/>
            </c:ext>
          </c:extLst>
        </c:ser>
        <c:ser>
          <c:idx val="5"/>
          <c:order val="5"/>
          <c:tx>
            <c:strRef>
              <c:f>'Figure 7'!$A$16:$C$16</c:f>
              <c:strCache>
                <c:ptCount val="3"/>
                <c:pt idx="0">
                  <c:v>Single, </c:v>
                </c:pt>
                <c:pt idx="1">
                  <c:v>JobSeeker (formerly Newstart)</c:v>
                </c:pt>
              </c:strCache>
            </c:strRef>
          </c:tx>
          <c:spPr>
            <a:ln w="28575" cap="rnd">
              <a:solidFill>
                <a:schemeClr val="bg1">
                  <a:lumMod val="50000"/>
                </a:schemeClr>
              </a:solidFill>
              <a:round/>
            </a:ln>
            <a:effectLst/>
          </c:spPr>
          <c:marker>
            <c:symbol val="none"/>
          </c:marker>
          <c:cat>
            <c:numRef>
              <c:f>'Figure 7'!$D$10:$Q$10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7'!$D$16:$Q$16</c:f>
              <c:numCache>
                <c:formatCode>General</c:formatCode>
                <c:ptCount val="14"/>
                <c:pt idx="0">
                  <c:v>80.341935483870969</c:v>
                </c:pt>
                <c:pt idx="1">
                  <c:v>82.548387096774192</c:v>
                </c:pt>
                <c:pt idx="2">
                  <c:v>84.23</c:v>
                </c:pt>
                <c:pt idx="3">
                  <c:v>85.277419354838713</c:v>
                </c:pt>
                <c:pt idx="4">
                  <c:v>86.564516129032256</c:v>
                </c:pt>
                <c:pt idx="5">
                  <c:v>88.190322580645159</c:v>
                </c:pt>
                <c:pt idx="6">
                  <c:v>89.787096774193557</c:v>
                </c:pt>
                <c:pt idx="7">
                  <c:v>90.309677419354827</c:v>
                </c:pt>
                <c:pt idx="8">
                  <c:v>101.89354838709676</c:v>
                </c:pt>
                <c:pt idx="9">
                  <c:v>105.49354838709678</c:v>
                </c:pt>
                <c:pt idx="10">
                  <c:v>113.76774193548387</c:v>
                </c:pt>
                <c:pt idx="11">
                  <c:v>126.4258064516129</c:v>
                </c:pt>
                <c:pt idx="12">
                  <c:v>131.25483870967739</c:v>
                </c:pt>
                <c:pt idx="13">
                  <c:v>135.75483870967741</c:v>
                </c:pt>
              </c:numCache>
            </c:numRef>
          </c:val>
          <c:smooth val="0"/>
          <c:extLst>
            <c:ext xmlns:c16="http://schemas.microsoft.com/office/drawing/2014/chart" uri="{C3380CC4-5D6E-409C-BE32-E72D297353CC}">
              <c16:uniqueId val="{00000003-526E-4F13-BCAA-10498CB2DBCF}"/>
            </c:ext>
          </c:extLst>
        </c:ser>
        <c:ser>
          <c:idx val="6"/>
          <c:order val="6"/>
          <c:tx>
            <c:strRef>
              <c:f>'Figure 7'!$A$17:$C$17</c:f>
              <c:strCache>
                <c:ptCount val="3"/>
                <c:pt idx="0">
                  <c:v>Single, </c:v>
                </c:pt>
                <c:pt idx="1">
                  <c:v>Minimum wage</c:v>
                </c:pt>
              </c:strCache>
            </c:strRef>
          </c:tx>
          <c:spPr>
            <a:ln w="28575" cap="rnd">
              <a:solidFill>
                <a:schemeClr val="accent4"/>
              </a:solidFill>
              <a:round/>
            </a:ln>
            <a:effectLst/>
          </c:spPr>
          <c:marker>
            <c:symbol val="none"/>
          </c:marker>
          <c:cat>
            <c:numRef>
              <c:f>'Figure 7'!$D$10:$Q$10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7'!$D$17:$Q$17</c:f>
              <c:numCache>
                <c:formatCode>General</c:formatCode>
                <c:ptCount val="14"/>
                <c:pt idx="0">
                  <c:v>164.7</c:v>
                </c:pt>
                <c:pt idx="1">
                  <c:v>168.34649999999999</c:v>
                </c:pt>
                <c:pt idx="2">
                  <c:v>172.80599999999998</c:v>
                </c:pt>
                <c:pt idx="3">
                  <c:v>175.63650000000001</c:v>
                </c:pt>
                <c:pt idx="4">
                  <c:v>179.38049999999998</c:v>
                </c:pt>
                <c:pt idx="5">
                  <c:v>184.64099999999999</c:v>
                </c:pt>
                <c:pt idx="6">
                  <c:v>190.09049999999999</c:v>
                </c:pt>
                <c:pt idx="7">
                  <c:v>194.33399999999997</c:v>
                </c:pt>
                <c:pt idx="8">
                  <c:v>198.6</c:v>
                </c:pt>
                <c:pt idx="9">
                  <c:v>203.0565</c:v>
                </c:pt>
                <c:pt idx="10">
                  <c:v>212.5395</c:v>
                </c:pt>
                <c:pt idx="11">
                  <c:v>229.17299999999997</c:v>
                </c:pt>
                <c:pt idx="12">
                  <c:v>239.9897538461538</c:v>
                </c:pt>
                <c:pt idx="13">
                  <c:v>246.55855384615384</c:v>
                </c:pt>
              </c:numCache>
            </c:numRef>
          </c:val>
          <c:smooth val="0"/>
          <c:extLst>
            <c:ext xmlns:c16="http://schemas.microsoft.com/office/drawing/2014/chart" uri="{C3380CC4-5D6E-409C-BE32-E72D297353CC}">
              <c16:uniqueId val="{00000004-526E-4F13-BCAA-10498CB2DBCF}"/>
            </c:ext>
          </c:extLst>
        </c:ser>
        <c:dLbls>
          <c:showLegendKey val="0"/>
          <c:showVal val="0"/>
          <c:showCatName val="0"/>
          <c:showSerName val="0"/>
          <c:showPercent val="0"/>
          <c:showBubbleSize val="0"/>
        </c:dLbls>
        <c:smooth val="0"/>
        <c:axId val="1241804543"/>
        <c:axId val="1241801183"/>
        <c:extLst>
          <c:ext xmlns:c15="http://schemas.microsoft.com/office/drawing/2012/chart" uri="{02D57815-91ED-43cb-92C2-25804820EDAC}">
            <c15:filteredLineSeries>
              <c15:ser>
                <c:idx val="0"/>
                <c:order val="0"/>
                <c:tx>
                  <c:strRef>
                    <c:extLst>
                      <c:ext uri="{02D57815-91ED-43cb-92C2-25804820EDAC}">
                        <c15:formulaRef>
                          <c15:sqref>'Figure 7'!$A$11:$C$11</c15:sqref>
                        </c15:formulaRef>
                      </c:ext>
                    </c:extLst>
                    <c:strCache>
                      <c:ptCount val="3"/>
                    </c:strCache>
                  </c:strRef>
                </c:tx>
                <c:spPr>
                  <a:ln w="28575" cap="rnd">
                    <a:solidFill>
                      <a:schemeClr val="accent1"/>
                    </a:solidFill>
                    <a:round/>
                  </a:ln>
                  <a:effectLst/>
                </c:spPr>
                <c:marker>
                  <c:symbol val="none"/>
                </c:marker>
                <c:cat>
                  <c:numRef>
                    <c:extLst>
                      <c:ext uri="{02D57815-91ED-43cb-92C2-25804820EDAC}">
                        <c15:formulaRef>
                          <c15:sqref>'Figure 7'!$D$10:$Q$10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c:ext uri="{02D57815-91ED-43cb-92C2-25804820EDAC}">
                        <c15:formulaRef>
                          <c15:sqref>'Figure 7'!$D$11:$Q$11</c15:sqref>
                        </c15:formulaRef>
                      </c:ext>
                    </c:extLst>
                    <c:numCache>
                      <c:formatCode>General</c:formatCode>
                      <c:ptCount val="14"/>
                    </c:numCache>
                  </c:numRef>
                </c:val>
                <c:smooth val="0"/>
                <c:extLst>
                  <c:ext xmlns:c16="http://schemas.microsoft.com/office/drawing/2014/chart" uri="{C3380CC4-5D6E-409C-BE32-E72D297353CC}">
                    <c16:uniqueId val="{00000005-526E-4F13-BCAA-10498CB2DBCF}"/>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'Figure 7'!$A$13:$C$13</c15:sqref>
                        </c15:formulaRef>
                      </c:ext>
                    </c:extLst>
                    <c:strCache>
                      <c:ptCount val="3"/>
                      <c:pt idx="2">
                        <c:v>Median rental price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'Figure 7'!$D$10:$Q$10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xmlns:c15="http://schemas.microsoft.com/office/drawing/2012/chart">
                      <c:ext xmlns:c15="http://schemas.microsoft.com/office/drawing/2012/chart" uri="{02D57815-91ED-43cb-92C2-25804820EDAC}">
                        <c15:formulaRef>
                          <c15:sqref>'Figure 7'!$D$13:$Q$13</c15:sqref>
                        </c15:formulaRef>
                      </c:ext>
                    </c:extLst>
                    <c:numCache>
                      <c:formatCode>General</c:formatCode>
                      <c:ptCount val="14"/>
                    </c:numCache>
                  </c:numRef>
                </c:val>
                <c:smooth val="0"/>
                <c:extLst xmlns:c15="http://schemas.microsoft.com/office/drawing/2012/chart">
                  <c:ext xmlns:c16="http://schemas.microsoft.com/office/drawing/2014/chart" uri="{C3380CC4-5D6E-409C-BE32-E72D297353CC}">
                    <c16:uniqueId val="{00000006-526E-4F13-BCAA-10498CB2DBCF}"/>
                  </c:ext>
                </c:extLst>
              </c15:ser>
            </c15:filteredLineSeries>
          </c:ext>
        </c:extLst>
      </c:lineChart>
      <c:catAx>
        <c:axId val="124180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1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801183"/>
        <c:crosses val="autoZero"/>
        <c:auto val="1"/>
        <c:lblAlgn val="ctr"/>
        <c:lblOffset val="100"/>
        <c:noMultiLvlLbl val="0"/>
      </c:catAx>
      <c:valAx>
        <c:axId val="124180118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8045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Median</a:t>
            </a:r>
            <a:r>
              <a:rPr lang="en-US" sz="1100" baseline="0"/>
              <a:t> rents for three-bedroom properties on Snapshot weekend compared to maximum affordable rental price for various households, 2013-2026</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8'!$A$12:$C$12</c:f>
              <c:strCache>
                <c:ptCount val="3"/>
                <c:pt idx="2">
                  <c:v>Median rental price</c:v>
                </c:pt>
              </c:strCache>
            </c:strRef>
          </c:tx>
          <c:spPr>
            <a:ln w="28575" cap="rnd">
              <a:solidFill>
                <a:srgbClr val="C00000"/>
              </a:solidFill>
              <a:round/>
            </a:ln>
            <a:effectLst/>
          </c:spPr>
          <c:marker>
            <c:symbol val="none"/>
          </c:marker>
          <c:cat>
            <c:numRef>
              <c:f>'Figure 8'!$D$10:$Q$10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8'!$D$12:$Q$12</c:f>
              <c:numCache>
                <c:formatCode>"$"#,##0_);[Red]\("$"#,##0\)</c:formatCode>
                <c:ptCount val="14"/>
                <c:pt idx="0">
                  <c:v>280</c:v>
                </c:pt>
                <c:pt idx="1">
                  <c:v>290</c:v>
                </c:pt>
                <c:pt idx="2">
                  <c:v>300</c:v>
                </c:pt>
                <c:pt idx="3">
                  <c:v>285</c:v>
                </c:pt>
                <c:pt idx="4">
                  <c:v>300</c:v>
                </c:pt>
                <c:pt idx="5">
                  <c:v>340</c:v>
                </c:pt>
                <c:pt idx="6">
                  <c:v>360</c:v>
                </c:pt>
                <c:pt idx="7">
                  <c:v>475</c:v>
                </c:pt>
                <c:pt idx="8">
                  <c:v>470</c:v>
                </c:pt>
                <c:pt idx="9">
                  <c:v>485</c:v>
                </c:pt>
                <c:pt idx="10">
                  <c:v>500</c:v>
                </c:pt>
                <c:pt idx="11">
                  <c:v>500</c:v>
                </c:pt>
                <c:pt idx="12">
                  <c:v>520</c:v>
                </c:pt>
                <c:pt idx="13">
                  <c:v>560</c:v>
                </c:pt>
              </c:numCache>
            </c:numRef>
          </c:val>
          <c:smooth val="0"/>
          <c:extLst>
            <c:ext xmlns:c16="http://schemas.microsoft.com/office/drawing/2014/chart" uri="{C3380CC4-5D6E-409C-BE32-E72D297353CC}">
              <c16:uniqueId val="{00000000-07FB-4D90-87E5-43049688969A}"/>
            </c:ext>
          </c:extLst>
        </c:ser>
        <c:ser>
          <c:idx val="3"/>
          <c:order val="3"/>
          <c:tx>
            <c:strRef>
              <c:f>'Figure 8'!$A$14:$C$14</c:f>
              <c:strCache>
                <c:ptCount val="3"/>
                <c:pt idx="0">
                  <c:v>Couple, two children, </c:v>
                </c:pt>
                <c:pt idx="1">
                  <c:v>JobSeeker (formerly Newstart) - both adults</c:v>
                </c:pt>
              </c:strCache>
            </c:strRef>
          </c:tx>
          <c:spPr>
            <a:ln w="28575" cap="rnd">
              <a:solidFill>
                <a:schemeClr val="bg1">
                  <a:lumMod val="50000"/>
                </a:schemeClr>
              </a:solidFill>
              <a:round/>
            </a:ln>
            <a:effectLst/>
          </c:spPr>
          <c:marker>
            <c:symbol val="none"/>
          </c:marker>
          <c:cat>
            <c:numRef>
              <c:f>'Figure 8'!$D$10:$Q$10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8'!$D$14:$Q$14</c:f>
              <c:numCache>
                <c:formatCode>General</c:formatCode>
                <c:ptCount val="14"/>
                <c:pt idx="0">
                  <c:v>221.12549999999996</c:v>
                </c:pt>
                <c:pt idx="1">
                  <c:v>226.2465</c:v>
                </c:pt>
                <c:pt idx="2">
                  <c:v>230.52149999999997</c:v>
                </c:pt>
                <c:pt idx="3">
                  <c:v>234.67499999999998</c:v>
                </c:pt>
                <c:pt idx="4">
                  <c:v>238.36199999999997</c:v>
                </c:pt>
                <c:pt idx="5">
                  <c:v>241.392</c:v>
                </c:pt>
                <c:pt idx="6">
                  <c:v>247.428</c:v>
                </c:pt>
                <c:pt idx="7">
                  <c:v>246.76799999999997</c:v>
                </c:pt>
                <c:pt idx="8">
                  <c:v>265.19400000000002</c:v>
                </c:pt>
                <c:pt idx="9">
                  <c:v>272.60700000000003</c:v>
                </c:pt>
                <c:pt idx="10">
                  <c:v>289.78649999999999</c:v>
                </c:pt>
                <c:pt idx="11">
                  <c:v>320.44199999999995</c:v>
                </c:pt>
                <c:pt idx="12">
                  <c:v>335.45446153846149</c:v>
                </c:pt>
                <c:pt idx="13">
                  <c:v>345.90692307692302</c:v>
                </c:pt>
              </c:numCache>
            </c:numRef>
          </c:val>
          <c:smooth val="0"/>
          <c:extLst>
            <c:ext xmlns:c16="http://schemas.microsoft.com/office/drawing/2014/chart" uri="{C3380CC4-5D6E-409C-BE32-E72D297353CC}">
              <c16:uniqueId val="{00000001-07FB-4D90-87E5-43049688969A}"/>
            </c:ext>
          </c:extLst>
        </c:ser>
        <c:ser>
          <c:idx val="4"/>
          <c:order val="4"/>
          <c:tx>
            <c:strRef>
              <c:f>'Figure 8'!$A$15:$C$15</c:f>
              <c:strCache>
                <c:ptCount val="3"/>
                <c:pt idx="0">
                  <c:v>Single, two children, </c:v>
                </c:pt>
                <c:pt idx="1">
                  <c:v>Parenting Payment Single</c:v>
                </c:pt>
              </c:strCache>
            </c:strRef>
          </c:tx>
          <c:spPr>
            <a:ln w="28575" cap="rnd">
              <a:solidFill>
                <a:schemeClr val="accent2"/>
              </a:solidFill>
              <a:round/>
            </a:ln>
            <a:effectLst/>
          </c:spPr>
          <c:marker>
            <c:symbol val="none"/>
          </c:marker>
          <c:cat>
            <c:numRef>
              <c:f>'Figure 8'!$D$10:$Q$10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8'!$D$15:$Q$15</c:f>
              <c:numCache>
                <c:formatCode>General</c:formatCode>
                <c:ptCount val="14"/>
                <c:pt idx="0">
                  <c:v>196.68899999999999</c:v>
                </c:pt>
                <c:pt idx="1">
                  <c:v>202.803</c:v>
                </c:pt>
                <c:pt idx="2">
                  <c:v>206.607</c:v>
                </c:pt>
                <c:pt idx="3">
                  <c:v>209.49449999999999</c:v>
                </c:pt>
                <c:pt idx="4">
                  <c:v>213.68699999999998</c:v>
                </c:pt>
                <c:pt idx="5">
                  <c:v>216.29399999999995</c:v>
                </c:pt>
                <c:pt idx="6">
                  <c:v>218.76900000000001</c:v>
                </c:pt>
                <c:pt idx="7">
                  <c:v>221.03399999999999</c:v>
                </c:pt>
                <c:pt idx="8">
                  <c:v>229.131</c:v>
                </c:pt>
                <c:pt idx="9">
                  <c:v>239.50799999999998</c:v>
                </c:pt>
                <c:pt idx="10">
                  <c:v>254.76599999999999</c:v>
                </c:pt>
                <c:pt idx="11">
                  <c:v>272.55899999999997</c:v>
                </c:pt>
                <c:pt idx="12">
                  <c:v>286.71899999999994</c:v>
                </c:pt>
                <c:pt idx="13">
                  <c:v>295.83599999999996</c:v>
                </c:pt>
              </c:numCache>
            </c:numRef>
          </c:val>
          <c:smooth val="0"/>
          <c:extLst>
            <c:ext xmlns:c16="http://schemas.microsoft.com/office/drawing/2014/chart" uri="{C3380CC4-5D6E-409C-BE32-E72D297353CC}">
              <c16:uniqueId val="{00000002-07FB-4D90-87E5-43049688969A}"/>
            </c:ext>
          </c:extLst>
        </c:ser>
        <c:ser>
          <c:idx val="5"/>
          <c:order val="5"/>
          <c:tx>
            <c:strRef>
              <c:f>'Figure 8'!$A$16:$C$16</c:f>
              <c:strCache>
                <c:ptCount val="3"/>
                <c:pt idx="0">
                  <c:v>Couple, two children, </c:v>
                </c:pt>
                <c:pt idx="1">
                  <c:v>Minimum wage - both adults</c:v>
                </c:pt>
              </c:strCache>
            </c:strRef>
          </c:tx>
          <c:spPr>
            <a:ln w="28575" cap="rnd">
              <a:solidFill>
                <a:schemeClr val="accent4"/>
              </a:solidFill>
              <a:round/>
            </a:ln>
            <a:effectLst/>
          </c:spPr>
          <c:marker>
            <c:symbol val="none"/>
          </c:marker>
          <c:cat>
            <c:numRef>
              <c:f>'Figure 8'!$D$10:$Q$10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8'!$D$16:$Q$16</c:f>
              <c:numCache>
                <c:formatCode>General</c:formatCode>
                <c:ptCount val="14"/>
                <c:pt idx="0">
                  <c:v>343.81650000000002</c:v>
                </c:pt>
                <c:pt idx="1">
                  <c:v>350.7</c:v>
                </c:pt>
                <c:pt idx="2">
                  <c:v>401.81549999999999</c:v>
                </c:pt>
                <c:pt idx="3">
                  <c:v>416.77799999999996</c:v>
                </c:pt>
                <c:pt idx="4">
                  <c:v>416.06849999999997</c:v>
                </c:pt>
                <c:pt idx="5">
                  <c:v>425.31150000000002</c:v>
                </c:pt>
                <c:pt idx="6">
                  <c:v>438.02099999999996</c:v>
                </c:pt>
                <c:pt idx="7">
                  <c:v>443.03849999999994</c:v>
                </c:pt>
                <c:pt idx="8">
                  <c:v>452.64</c:v>
                </c:pt>
                <c:pt idx="9">
                  <c:v>461.27249999999998</c:v>
                </c:pt>
                <c:pt idx="10">
                  <c:v>491.48849999999999</c:v>
                </c:pt>
                <c:pt idx="11">
                  <c:v>520.12199999999996</c:v>
                </c:pt>
                <c:pt idx="12">
                  <c:v>549.13458461538448</c:v>
                </c:pt>
                <c:pt idx="13">
                  <c:v>563.22203076923074</c:v>
                </c:pt>
              </c:numCache>
            </c:numRef>
          </c:val>
          <c:smooth val="0"/>
          <c:extLst>
            <c:ext xmlns:c16="http://schemas.microsoft.com/office/drawing/2014/chart" uri="{C3380CC4-5D6E-409C-BE32-E72D297353CC}">
              <c16:uniqueId val="{00000003-07FB-4D90-87E5-43049688969A}"/>
            </c:ext>
          </c:extLst>
        </c:ser>
        <c:ser>
          <c:idx val="6"/>
          <c:order val="6"/>
          <c:tx>
            <c:strRef>
              <c:f>'Figure 8'!$A$17:$C$17</c:f>
              <c:strCache>
                <c:ptCount val="3"/>
                <c:pt idx="0">
                  <c:v>Single, two children, </c:v>
                </c:pt>
                <c:pt idx="1">
                  <c:v>Minimum wage</c:v>
                </c:pt>
              </c:strCache>
            </c:strRef>
          </c:tx>
          <c:spPr>
            <a:ln w="28575" cap="rnd">
              <a:solidFill>
                <a:srgbClr val="FFE209"/>
              </a:solidFill>
              <a:round/>
            </a:ln>
            <a:effectLst/>
          </c:spPr>
          <c:marker>
            <c:symbol val="none"/>
          </c:marker>
          <c:cat>
            <c:numRef>
              <c:f>'Figure 8'!$D$10:$Q$10</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f>'Figure 8'!$D$17:$Q$17</c:f>
              <c:numCache>
                <c:formatCode>General</c:formatCode>
                <c:ptCount val="14"/>
                <c:pt idx="0">
                  <c:v>261.41399999999999</c:v>
                </c:pt>
                <c:pt idx="1">
                  <c:v>266.96699999999998</c:v>
                </c:pt>
                <c:pt idx="2">
                  <c:v>273.48750000000001</c:v>
                </c:pt>
                <c:pt idx="3">
                  <c:v>279.39299999999997</c:v>
                </c:pt>
                <c:pt idx="4">
                  <c:v>284.88900000000001</c:v>
                </c:pt>
                <c:pt idx="5">
                  <c:v>290.74349999999998</c:v>
                </c:pt>
                <c:pt idx="6">
                  <c:v>296.76</c:v>
                </c:pt>
                <c:pt idx="7">
                  <c:v>302.70750000000004</c:v>
                </c:pt>
                <c:pt idx="8">
                  <c:v>309.00599999999997</c:v>
                </c:pt>
                <c:pt idx="9">
                  <c:v>315.16950000000003</c:v>
                </c:pt>
                <c:pt idx="10">
                  <c:v>328.92149999999998</c:v>
                </c:pt>
                <c:pt idx="11">
                  <c:v>397.59</c:v>
                </c:pt>
                <c:pt idx="12">
                  <c:v>431.51275384615377</c:v>
                </c:pt>
                <c:pt idx="13">
                  <c:v>443.57455384615389</c:v>
                </c:pt>
              </c:numCache>
            </c:numRef>
          </c:val>
          <c:smooth val="0"/>
          <c:extLst>
            <c:ext xmlns:c16="http://schemas.microsoft.com/office/drawing/2014/chart" uri="{C3380CC4-5D6E-409C-BE32-E72D297353CC}">
              <c16:uniqueId val="{00000004-07FB-4D90-87E5-43049688969A}"/>
            </c:ext>
          </c:extLst>
        </c:ser>
        <c:dLbls>
          <c:showLegendKey val="0"/>
          <c:showVal val="0"/>
          <c:showCatName val="0"/>
          <c:showSerName val="0"/>
          <c:showPercent val="0"/>
          <c:showBubbleSize val="0"/>
        </c:dLbls>
        <c:smooth val="0"/>
        <c:axId val="1241750303"/>
        <c:axId val="1241747423"/>
        <c:extLst>
          <c:ext xmlns:c15="http://schemas.microsoft.com/office/drawing/2012/chart" uri="{02D57815-91ED-43cb-92C2-25804820EDAC}">
            <c15:filteredLineSeries>
              <c15:ser>
                <c:idx val="0"/>
                <c:order val="0"/>
                <c:tx>
                  <c:strRef>
                    <c:extLst>
                      <c:ext uri="{02D57815-91ED-43cb-92C2-25804820EDAC}">
                        <c15:formulaRef>
                          <c15:sqref>'Figure 8'!$A$11:$C$11</c15:sqref>
                        </c15:formulaRef>
                      </c:ext>
                    </c:extLst>
                    <c:strCache>
                      <c:ptCount val="3"/>
                    </c:strCache>
                  </c:strRef>
                </c:tx>
                <c:spPr>
                  <a:ln w="28575" cap="rnd">
                    <a:solidFill>
                      <a:schemeClr val="accent1"/>
                    </a:solidFill>
                    <a:round/>
                  </a:ln>
                  <a:effectLst/>
                </c:spPr>
                <c:marker>
                  <c:symbol val="none"/>
                </c:marker>
                <c:cat>
                  <c:numRef>
                    <c:extLst>
                      <c:ext uri="{02D57815-91ED-43cb-92C2-25804820EDAC}">
                        <c15:formulaRef>
                          <c15:sqref>'Figure 8'!$D$10:$Q$10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c:ext uri="{02D57815-91ED-43cb-92C2-25804820EDAC}">
                        <c15:formulaRef>
                          <c15:sqref>'Figure 8'!$D$11:$Q$11</c15:sqref>
                        </c15:formulaRef>
                      </c:ext>
                    </c:extLst>
                    <c:numCache>
                      <c:formatCode>General</c:formatCode>
                      <c:ptCount val="14"/>
                    </c:numCache>
                  </c:numRef>
                </c:val>
                <c:smooth val="0"/>
                <c:extLst>
                  <c:ext xmlns:c16="http://schemas.microsoft.com/office/drawing/2014/chart" uri="{C3380CC4-5D6E-409C-BE32-E72D297353CC}">
                    <c16:uniqueId val="{00000005-07FB-4D90-87E5-43049688969A}"/>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'Figure 8'!$A$13:$C$13</c15:sqref>
                        </c15:formulaRef>
                      </c:ext>
                    </c:extLst>
                    <c:strCache>
                      <c:ptCount val="3"/>
                      <c:pt idx="2">
                        <c:v>Median rental price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'Figure 8'!$D$10:$Q$10</c15:sqref>
                        </c15:formulaRef>
                      </c:ext>
                    </c:extLst>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numRef>
                </c:cat>
                <c:val>
                  <c:numRef>
                    <c:extLst xmlns:c15="http://schemas.microsoft.com/office/drawing/2012/chart">
                      <c:ext xmlns:c15="http://schemas.microsoft.com/office/drawing/2012/chart" uri="{02D57815-91ED-43cb-92C2-25804820EDAC}">
                        <c15:formulaRef>
                          <c15:sqref>'Figure 8'!$D$13:$Q$13</c15:sqref>
                        </c15:formulaRef>
                      </c:ext>
                    </c:extLst>
                    <c:numCache>
                      <c:formatCode>General</c:formatCode>
                      <c:ptCount val="14"/>
                    </c:numCache>
                  </c:numRef>
                </c:val>
                <c:smooth val="0"/>
                <c:extLst xmlns:c15="http://schemas.microsoft.com/office/drawing/2012/chart">
                  <c:ext xmlns:c16="http://schemas.microsoft.com/office/drawing/2014/chart" uri="{C3380CC4-5D6E-409C-BE32-E72D297353CC}">
                    <c16:uniqueId val="{00000006-07FB-4D90-87E5-43049688969A}"/>
                  </c:ext>
                </c:extLst>
              </c15:ser>
            </c15:filteredLineSeries>
          </c:ext>
        </c:extLst>
      </c:lineChart>
      <c:catAx>
        <c:axId val="124175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747423"/>
        <c:crosses val="autoZero"/>
        <c:auto val="1"/>
        <c:lblAlgn val="ctr"/>
        <c:lblOffset val="100"/>
        <c:noMultiLvlLbl val="0"/>
      </c:catAx>
      <c:valAx>
        <c:axId val="124174742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7503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47A9C52B66F43ADA71E02B06EFE33" ma:contentTypeVersion="4" ma:contentTypeDescription="Create a new document." ma:contentTypeScope="" ma:versionID="76ef03af0610f36eabb206a3f249cf42">
  <xsd:schema xmlns:xsd="http://www.w3.org/2001/XMLSchema" xmlns:xs="http://www.w3.org/2001/XMLSchema" xmlns:p="http://schemas.microsoft.com/office/2006/metadata/properties" xmlns:ns2="b9339c31-8080-492a-8c6b-c6960c53aca6" targetNamespace="http://schemas.microsoft.com/office/2006/metadata/properties" ma:root="true" ma:fieldsID="29d6552cb336cd21608459ee77c3712a" ns2:_="">
    <xsd:import namespace="b9339c31-8080-492a-8c6b-c6960c53ac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39c31-8080-492a-8c6b-c6960c53a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D992D-B406-4937-AB63-99FE6BFA8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39c31-8080-492a-8c6b-c6960c53a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3257-15A2-4714-85FF-967EDCABEDBB}">
  <ds:schemaRefs>
    <ds:schemaRef ds:uri="http://schemas.openxmlformats.org/officeDocument/2006/bibliography"/>
  </ds:schemaRefs>
</ds:datastoreItem>
</file>

<file path=customXml/itemProps3.xml><?xml version="1.0" encoding="utf-8"?>
<ds:datastoreItem xmlns:ds="http://schemas.openxmlformats.org/officeDocument/2006/customXml" ds:itemID="{B92018CF-0FED-4E4A-8642-6409EB507CA3}">
  <ds:schemaRefs>
    <ds:schemaRef ds:uri="http://schemas.microsoft.com/sharepoint/v3/contenttype/forms"/>
  </ds:schemaRefs>
</ds:datastoreItem>
</file>

<file path=customXml/itemProps4.xml><?xml version="1.0" encoding="utf-8"?>
<ds:datastoreItem xmlns:ds="http://schemas.openxmlformats.org/officeDocument/2006/customXml" ds:itemID="{48C2EFD6-1223-42C0-AC4B-F6A08A3C5F67}">
  <ds:schemaRefs>
    <ds:schemaRef ds:uri="http://schemas.microsoft.com/office/infopath/2007/PartnerControls"/>
    <ds:schemaRef ds:uri="http://purl.org/dc/terms/"/>
    <ds:schemaRef ds:uri="b9339c31-8080-492a-8c6b-c6960c53aca6"/>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7434</Words>
  <Characters>42380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49715</CharactersWithSpaces>
  <SharedDoc>false</SharedDoc>
  <HLinks>
    <vt:vector size="342" baseType="variant">
      <vt:variant>
        <vt:i4>3604602</vt:i4>
      </vt:variant>
      <vt:variant>
        <vt:i4>231</vt:i4>
      </vt:variant>
      <vt:variant>
        <vt:i4>0</vt:i4>
      </vt:variant>
      <vt:variant>
        <vt:i4>5</vt:i4>
      </vt:variant>
      <vt:variant>
        <vt:lpwstr>https://www.anglicare-tas.org.au/research/mind-the-gap/</vt:lpwstr>
      </vt:variant>
      <vt:variant>
        <vt:lpwstr/>
      </vt:variant>
      <vt:variant>
        <vt:i4>1048651</vt:i4>
      </vt:variant>
      <vt:variant>
        <vt:i4>228</vt:i4>
      </vt:variant>
      <vt:variant>
        <vt:i4>0</vt:i4>
      </vt:variant>
      <vt:variant>
        <vt:i4>5</vt:i4>
      </vt:variant>
      <vt:variant>
        <vt:lpwstr>https://www.anglicare-tas.org.au/research/policy-brief-housing-security-for-older-tasmanians/</vt:lpwstr>
      </vt:variant>
      <vt:variant>
        <vt:lpwstr/>
      </vt:variant>
      <vt:variant>
        <vt:i4>1835009</vt:i4>
      </vt:variant>
      <vt:variant>
        <vt:i4>225</vt:i4>
      </vt:variant>
      <vt:variant>
        <vt:i4>0</vt:i4>
      </vt:variant>
      <vt:variant>
        <vt:i4>5</vt:i4>
      </vt:variant>
      <vt:variant>
        <vt:lpwstr>https://www.anglicare-tas.org.au/research/housing-connect-front-door-snapshot-december-2025/</vt:lpwstr>
      </vt:variant>
      <vt:variant>
        <vt:lpwstr/>
      </vt:variant>
      <vt:variant>
        <vt:i4>4063352</vt:i4>
      </vt:variant>
      <vt:variant>
        <vt:i4>222</vt:i4>
      </vt:variant>
      <vt:variant>
        <vt:i4>0</vt:i4>
      </vt:variant>
      <vt:variant>
        <vt:i4>5</vt:i4>
      </vt:variant>
      <vt:variant>
        <vt:lpwstr>https://www.anglicare-tas.org.au/housing-connect-snapshot/</vt:lpwstr>
      </vt:variant>
      <vt:variant>
        <vt:lpwstr/>
      </vt:variant>
      <vt:variant>
        <vt:i4>2359353</vt:i4>
      </vt:variant>
      <vt:variant>
        <vt:i4>219</vt:i4>
      </vt:variant>
      <vt:variant>
        <vt:i4>0</vt:i4>
      </vt:variant>
      <vt:variant>
        <vt:i4>5</vt:i4>
      </vt:variant>
      <vt:variant>
        <vt:lpwstr>http://www.lifeline.org.au/</vt:lpwstr>
      </vt:variant>
      <vt:variant>
        <vt:lpwstr/>
      </vt:variant>
      <vt:variant>
        <vt:i4>1376305</vt:i4>
      </vt:variant>
      <vt:variant>
        <vt:i4>212</vt:i4>
      </vt:variant>
      <vt:variant>
        <vt:i4>0</vt:i4>
      </vt:variant>
      <vt:variant>
        <vt:i4>5</vt:i4>
      </vt:variant>
      <vt:variant>
        <vt:lpwstr/>
      </vt:variant>
      <vt:variant>
        <vt:lpwstr>_Toc226644122</vt:lpwstr>
      </vt:variant>
      <vt:variant>
        <vt:i4>1376305</vt:i4>
      </vt:variant>
      <vt:variant>
        <vt:i4>206</vt:i4>
      </vt:variant>
      <vt:variant>
        <vt:i4>0</vt:i4>
      </vt:variant>
      <vt:variant>
        <vt:i4>5</vt:i4>
      </vt:variant>
      <vt:variant>
        <vt:lpwstr/>
      </vt:variant>
      <vt:variant>
        <vt:lpwstr>_Toc226644121</vt:lpwstr>
      </vt:variant>
      <vt:variant>
        <vt:i4>1376305</vt:i4>
      </vt:variant>
      <vt:variant>
        <vt:i4>200</vt:i4>
      </vt:variant>
      <vt:variant>
        <vt:i4>0</vt:i4>
      </vt:variant>
      <vt:variant>
        <vt:i4>5</vt:i4>
      </vt:variant>
      <vt:variant>
        <vt:lpwstr/>
      </vt:variant>
      <vt:variant>
        <vt:lpwstr>_Toc226644120</vt:lpwstr>
      </vt:variant>
      <vt:variant>
        <vt:i4>1441841</vt:i4>
      </vt:variant>
      <vt:variant>
        <vt:i4>194</vt:i4>
      </vt:variant>
      <vt:variant>
        <vt:i4>0</vt:i4>
      </vt:variant>
      <vt:variant>
        <vt:i4>5</vt:i4>
      </vt:variant>
      <vt:variant>
        <vt:lpwstr/>
      </vt:variant>
      <vt:variant>
        <vt:lpwstr>_Toc226644119</vt:lpwstr>
      </vt:variant>
      <vt:variant>
        <vt:i4>1441841</vt:i4>
      </vt:variant>
      <vt:variant>
        <vt:i4>188</vt:i4>
      </vt:variant>
      <vt:variant>
        <vt:i4>0</vt:i4>
      </vt:variant>
      <vt:variant>
        <vt:i4>5</vt:i4>
      </vt:variant>
      <vt:variant>
        <vt:lpwstr/>
      </vt:variant>
      <vt:variant>
        <vt:lpwstr>_Toc226644118</vt:lpwstr>
      </vt:variant>
      <vt:variant>
        <vt:i4>1441841</vt:i4>
      </vt:variant>
      <vt:variant>
        <vt:i4>182</vt:i4>
      </vt:variant>
      <vt:variant>
        <vt:i4>0</vt:i4>
      </vt:variant>
      <vt:variant>
        <vt:i4>5</vt:i4>
      </vt:variant>
      <vt:variant>
        <vt:lpwstr/>
      </vt:variant>
      <vt:variant>
        <vt:lpwstr>_Toc226644117</vt:lpwstr>
      </vt:variant>
      <vt:variant>
        <vt:i4>1441841</vt:i4>
      </vt:variant>
      <vt:variant>
        <vt:i4>176</vt:i4>
      </vt:variant>
      <vt:variant>
        <vt:i4>0</vt:i4>
      </vt:variant>
      <vt:variant>
        <vt:i4>5</vt:i4>
      </vt:variant>
      <vt:variant>
        <vt:lpwstr/>
      </vt:variant>
      <vt:variant>
        <vt:lpwstr>_Toc226644116</vt:lpwstr>
      </vt:variant>
      <vt:variant>
        <vt:i4>1441841</vt:i4>
      </vt:variant>
      <vt:variant>
        <vt:i4>170</vt:i4>
      </vt:variant>
      <vt:variant>
        <vt:i4>0</vt:i4>
      </vt:variant>
      <vt:variant>
        <vt:i4>5</vt:i4>
      </vt:variant>
      <vt:variant>
        <vt:lpwstr/>
      </vt:variant>
      <vt:variant>
        <vt:lpwstr>_Toc226644115</vt:lpwstr>
      </vt:variant>
      <vt:variant>
        <vt:i4>1441841</vt:i4>
      </vt:variant>
      <vt:variant>
        <vt:i4>164</vt:i4>
      </vt:variant>
      <vt:variant>
        <vt:i4>0</vt:i4>
      </vt:variant>
      <vt:variant>
        <vt:i4>5</vt:i4>
      </vt:variant>
      <vt:variant>
        <vt:lpwstr/>
      </vt:variant>
      <vt:variant>
        <vt:lpwstr>_Toc226644114</vt:lpwstr>
      </vt:variant>
      <vt:variant>
        <vt:i4>1441841</vt:i4>
      </vt:variant>
      <vt:variant>
        <vt:i4>158</vt:i4>
      </vt:variant>
      <vt:variant>
        <vt:i4>0</vt:i4>
      </vt:variant>
      <vt:variant>
        <vt:i4>5</vt:i4>
      </vt:variant>
      <vt:variant>
        <vt:lpwstr/>
      </vt:variant>
      <vt:variant>
        <vt:lpwstr>_Toc226644113</vt:lpwstr>
      </vt:variant>
      <vt:variant>
        <vt:i4>1441841</vt:i4>
      </vt:variant>
      <vt:variant>
        <vt:i4>152</vt:i4>
      </vt:variant>
      <vt:variant>
        <vt:i4>0</vt:i4>
      </vt:variant>
      <vt:variant>
        <vt:i4>5</vt:i4>
      </vt:variant>
      <vt:variant>
        <vt:lpwstr/>
      </vt:variant>
      <vt:variant>
        <vt:lpwstr>_Toc226644112</vt:lpwstr>
      </vt:variant>
      <vt:variant>
        <vt:i4>1441841</vt:i4>
      </vt:variant>
      <vt:variant>
        <vt:i4>146</vt:i4>
      </vt:variant>
      <vt:variant>
        <vt:i4>0</vt:i4>
      </vt:variant>
      <vt:variant>
        <vt:i4>5</vt:i4>
      </vt:variant>
      <vt:variant>
        <vt:lpwstr/>
      </vt:variant>
      <vt:variant>
        <vt:lpwstr>_Toc226644111</vt:lpwstr>
      </vt:variant>
      <vt:variant>
        <vt:i4>1441841</vt:i4>
      </vt:variant>
      <vt:variant>
        <vt:i4>140</vt:i4>
      </vt:variant>
      <vt:variant>
        <vt:i4>0</vt:i4>
      </vt:variant>
      <vt:variant>
        <vt:i4>5</vt:i4>
      </vt:variant>
      <vt:variant>
        <vt:lpwstr/>
      </vt:variant>
      <vt:variant>
        <vt:lpwstr>_Toc226644110</vt:lpwstr>
      </vt:variant>
      <vt:variant>
        <vt:i4>1507377</vt:i4>
      </vt:variant>
      <vt:variant>
        <vt:i4>134</vt:i4>
      </vt:variant>
      <vt:variant>
        <vt:i4>0</vt:i4>
      </vt:variant>
      <vt:variant>
        <vt:i4>5</vt:i4>
      </vt:variant>
      <vt:variant>
        <vt:lpwstr/>
      </vt:variant>
      <vt:variant>
        <vt:lpwstr>_Toc226644109</vt:lpwstr>
      </vt:variant>
      <vt:variant>
        <vt:i4>1507377</vt:i4>
      </vt:variant>
      <vt:variant>
        <vt:i4>128</vt:i4>
      </vt:variant>
      <vt:variant>
        <vt:i4>0</vt:i4>
      </vt:variant>
      <vt:variant>
        <vt:i4>5</vt:i4>
      </vt:variant>
      <vt:variant>
        <vt:lpwstr/>
      </vt:variant>
      <vt:variant>
        <vt:lpwstr>_Toc226644108</vt:lpwstr>
      </vt:variant>
      <vt:variant>
        <vt:i4>1507377</vt:i4>
      </vt:variant>
      <vt:variant>
        <vt:i4>122</vt:i4>
      </vt:variant>
      <vt:variant>
        <vt:i4>0</vt:i4>
      </vt:variant>
      <vt:variant>
        <vt:i4>5</vt:i4>
      </vt:variant>
      <vt:variant>
        <vt:lpwstr/>
      </vt:variant>
      <vt:variant>
        <vt:lpwstr>_Toc226644107</vt:lpwstr>
      </vt:variant>
      <vt:variant>
        <vt:i4>1507377</vt:i4>
      </vt:variant>
      <vt:variant>
        <vt:i4>116</vt:i4>
      </vt:variant>
      <vt:variant>
        <vt:i4>0</vt:i4>
      </vt:variant>
      <vt:variant>
        <vt:i4>5</vt:i4>
      </vt:variant>
      <vt:variant>
        <vt:lpwstr/>
      </vt:variant>
      <vt:variant>
        <vt:lpwstr>_Toc226644106</vt:lpwstr>
      </vt:variant>
      <vt:variant>
        <vt:i4>1507377</vt:i4>
      </vt:variant>
      <vt:variant>
        <vt:i4>110</vt:i4>
      </vt:variant>
      <vt:variant>
        <vt:i4>0</vt:i4>
      </vt:variant>
      <vt:variant>
        <vt:i4>5</vt:i4>
      </vt:variant>
      <vt:variant>
        <vt:lpwstr/>
      </vt:variant>
      <vt:variant>
        <vt:lpwstr>_Toc226644105</vt:lpwstr>
      </vt:variant>
      <vt:variant>
        <vt:i4>1507377</vt:i4>
      </vt:variant>
      <vt:variant>
        <vt:i4>104</vt:i4>
      </vt:variant>
      <vt:variant>
        <vt:i4>0</vt:i4>
      </vt:variant>
      <vt:variant>
        <vt:i4>5</vt:i4>
      </vt:variant>
      <vt:variant>
        <vt:lpwstr/>
      </vt:variant>
      <vt:variant>
        <vt:lpwstr>_Toc226644104</vt:lpwstr>
      </vt:variant>
      <vt:variant>
        <vt:i4>1507377</vt:i4>
      </vt:variant>
      <vt:variant>
        <vt:i4>98</vt:i4>
      </vt:variant>
      <vt:variant>
        <vt:i4>0</vt:i4>
      </vt:variant>
      <vt:variant>
        <vt:i4>5</vt:i4>
      </vt:variant>
      <vt:variant>
        <vt:lpwstr/>
      </vt:variant>
      <vt:variant>
        <vt:lpwstr>_Toc226644103</vt:lpwstr>
      </vt:variant>
      <vt:variant>
        <vt:i4>1507377</vt:i4>
      </vt:variant>
      <vt:variant>
        <vt:i4>92</vt:i4>
      </vt:variant>
      <vt:variant>
        <vt:i4>0</vt:i4>
      </vt:variant>
      <vt:variant>
        <vt:i4>5</vt:i4>
      </vt:variant>
      <vt:variant>
        <vt:lpwstr/>
      </vt:variant>
      <vt:variant>
        <vt:lpwstr>_Toc226644102</vt:lpwstr>
      </vt:variant>
      <vt:variant>
        <vt:i4>1507377</vt:i4>
      </vt:variant>
      <vt:variant>
        <vt:i4>86</vt:i4>
      </vt:variant>
      <vt:variant>
        <vt:i4>0</vt:i4>
      </vt:variant>
      <vt:variant>
        <vt:i4>5</vt:i4>
      </vt:variant>
      <vt:variant>
        <vt:lpwstr/>
      </vt:variant>
      <vt:variant>
        <vt:lpwstr>_Toc226644101</vt:lpwstr>
      </vt:variant>
      <vt:variant>
        <vt:i4>1507377</vt:i4>
      </vt:variant>
      <vt:variant>
        <vt:i4>80</vt:i4>
      </vt:variant>
      <vt:variant>
        <vt:i4>0</vt:i4>
      </vt:variant>
      <vt:variant>
        <vt:i4>5</vt:i4>
      </vt:variant>
      <vt:variant>
        <vt:lpwstr/>
      </vt:variant>
      <vt:variant>
        <vt:lpwstr>_Toc226644100</vt:lpwstr>
      </vt:variant>
      <vt:variant>
        <vt:i4>1966128</vt:i4>
      </vt:variant>
      <vt:variant>
        <vt:i4>74</vt:i4>
      </vt:variant>
      <vt:variant>
        <vt:i4>0</vt:i4>
      </vt:variant>
      <vt:variant>
        <vt:i4>5</vt:i4>
      </vt:variant>
      <vt:variant>
        <vt:lpwstr/>
      </vt:variant>
      <vt:variant>
        <vt:lpwstr>_Toc226644099</vt:lpwstr>
      </vt:variant>
      <vt:variant>
        <vt:i4>1966128</vt:i4>
      </vt:variant>
      <vt:variant>
        <vt:i4>68</vt:i4>
      </vt:variant>
      <vt:variant>
        <vt:i4>0</vt:i4>
      </vt:variant>
      <vt:variant>
        <vt:i4>5</vt:i4>
      </vt:variant>
      <vt:variant>
        <vt:lpwstr/>
      </vt:variant>
      <vt:variant>
        <vt:lpwstr>_Toc226644098</vt:lpwstr>
      </vt:variant>
      <vt:variant>
        <vt:i4>1966128</vt:i4>
      </vt:variant>
      <vt:variant>
        <vt:i4>62</vt:i4>
      </vt:variant>
      <vt:variant>
        <vt:i4>0</vt:i4>
      </vt:variant>
      <vt:variant>
        <vt:i4>5</vt:i4>
      </vt:variant>
      <vt:variant>
        <vt:lpwstr/>
      </vt:variant>
      <vt:variant>
        <vt:lpwstr>_Toc226644097</vt:lpwstr>
      </vt:variant>
      <vt:variant>
        <vt:i4>1966128</vt:i4>
      </vt:variant>
      <vt:variant>
        <vt:i4>56</vt:i4>
      </vt:variant>
      <vt:variant>
        <vt:i4>0</vt:i4>
      </vt:variant>
      <vt:variant>
        <vt:i4>5</vt:i4>
      </vt:variant>
      <vt:variant>
        <vt:lpwstr/>
      </vt:variant>
      <vt:variant>
        <vt:lpwstr>_Toc226644096</vt:lpwstr>
      </vt:variant>
      <vt:variant>
        <vt:i4>1966128</vt:i4>
      </vt:variant>
      <vt:variant>
        <vt:i4>50</vt:i4>
      </vt:variant>
      <vt:variant>
        <vt:i4>0</vt:i4>
      </vt:variant>
      <vt:variant>
        <vt:i4>5</vt:i4>
      </vt:variant>
      <vt:variant>
        <vt:lpwstr/>
      </vt:variant>
      <vt:variant>
        <vt:lpwstr>_Toc226644095</vt:lpwstr>
      </vt:variant>
      <vt:variant>
        <vt:i4>1966128</vt:i4>
      </vt:variant>
      <vt:variant>
        <vt:i4>44</vt:i4>
      </vt:variant>
      <vt:variant>
        <vt:i4>0</vt:i4>
      </vt:variant>
      <vt:variant>
        <vt:i4>5</vt:i4>
      </vt:variant>
      <vt:variant>
        <vt:lpwstr/>
      </vt:variant>
      <vt:variant>
        <vt:lpwstr>_Toc226644094</vt:lpwstr>
      </vt:variant>
      <vt:variant>
        <vt:i4>1966128</vt:i4>
      </vt:variant>
      <vt:variant>
        <vt:i4>38</vt:i4>
      </vt:variant>
      <vt:variant>
        <vt:i4>0</vt:i4>
      </vt:variant>
      <vt:variant>
        <vt:i4>5</vt:i4>
      </vt:variant>
      <vt:variant>
        <vt:lpwstr/>
      </vt:variant>
      <vt:variant>
        <vt:lpwstr>_Toc226644093</vt:lpwstr>
      </vt:variant>
      <vt:variant>
        <vt:i4>1966128</vt:i4>
      </vt:variant>
      <vt:variant>
        <vt:i4>32</vt:i4>
      </vt:variant>
      <vt:variant>
        <vt:i4>0</vt:i4>
      </vt:variant>
      <vt:variant>
        <vt:i4>5</vt:i4>
      </vt:variant>
      <vt:variant>
        <vt:lpwstr/>
      </vt:variant>
      <vt:variant>
        <vt:lpwstr>_Toc226644092</vt:lpwstr>
      </vt:variant>
      <vt:variant>
        <vt:i4>1966128</vt:i4>
      </vt:variant>
      <vt:variant>
        <vt:i4>26</vt:i4>
      </vt:variant>
      <vt:variant>
        <vt:i4>0</vt:i4>
      </vt:variant>
      <vt:variant>
        <vt:i4>5</vt:i4>
      </vt:variant>
      <vt:variant>
        <vt:lpwstr/>
      </vt:variant>
      <vt:variant>
        <vt:lpwstr>_Toc226644091</vt:lpwstr>
      </vt:variant>
      <vt:variant>
        <vt:i4>1966128</vt:i4>
      </vt:variant>
      <vt:variant>
        <vt:i4>20</vt:i4>
      </vt:variant>
      <vt:variant>
        <vt:i4>0</vt:i4>
      </vt:variant>
      <vt:variant>
        <vt:i4>5</vt:i4>
      </vt:variant>
      <vt:variant>
        <vt:lpwstr/>
      </vt:variant>
      <vt:variant>
        <vt:lpwstr>_Toc226644090</vt:lpwstr>
      </vt:variant>
      <vt:variant>
        <vt:i4>2031664</vt:i4>
      </vt:variant>
      <vt:variant>
        <vt:i4>14</vt:i4>
      </vt:variant>
      <vt:variant>
        <vt:i4>0</vt:i4>
      </vt:variant>
      <vt:variant>
        <vt:i4>5</vt:i4>
      </vt:variant>
      <vt:variant>
        <vt:lpwstr/>
      </vt:variant>
      <vt:variant>
        <vt:lpwstr>_Toc226644089</vt:lpwstr>
      </vt:variant>
      <vt:variant>
        <vt:i4>2031664</vt:i4>
      </vt:variant>
      <vt:variant>
        <vt:i4>8</vt:i4>
      </vt:variant>
      <vt:variant>
        <vt:i4>0</vt:i4>
      </vt:variant>
      <vt:variant>
        <vt:i4>5</vt:i4>
      </vt:variant>
      <vt:variant>
        <vt:lpwstr/>
      </vt:variant>
      <vt:variant>
        <vt:lpwstr>_Toc226644088</vt:lpwstr>
      </vt:variant>
      <vt:variant>
        <vt:i4>2031664</vt:i4>
      </vt:variant>
      <vt:variant>
        <vt:i4>2</vt:i4>
      </vt:variant>
      <vt:variant>
        <vt:i4>0</vt:i4>
      </vt:variant>
      <vt:variant>
        <vt:i4>5</vt:i4>
      </vt:variant>
      <vt:variant>
        <vt:lpwstr/>
      </vt:variant>
      <vt:variant>
        <vt:lpwstr>_Toc226644087</vt:lpwstr>
      </vt:variant>
      <vt:variant>
        <vt:i4>7929899</vt:i4>
      </vt:variant>
      <vt:variant>
        <vt:i4>36</vt:i4>
      </vt:variant>
      <vt:variant>
        <vt:i4>0</vt:i4>
      </vt:variant>
      <vt:variant>
        <vt:i4>5</vt:i4>
      </vt:variant>
      <vt:variant>
        <vt:lpwstr>https://www.sauleslake.info/independent-review-of-tasmanias-state-finances/</vt:lpwstr>
      </vt:variant>
      <vt:variant>
        <vt:lpwstr/>
      </vt:variant>
      <vt:variant>
        <vt:i4>327696</vt:i4>
      </vt:variant>
      <vt:variant>
        <vt:i4>33</vt:i4>
      </vt:variant>
      <vt:variant>
        <vt:i4>0</vt:i4>
      </vt:variant>
      <vt:variant>
        <vt:i4>5</vt:i4>
      </vt:variant>
      <vt:variant>
        <vt:lpwstr>https://www.premier.tas.gov.au/our-plan/taking-action-on-the-cost-of-living-and-providing-more-housing-options-for-tasmanians/making-it-easier-for-tasmanians-to-own-their-own-home-5-short-stay-levy</vt:lpwstr>
      </vt:variant>
      <vt:variant>
        <vt:lpwstr/>
      </vt:variant>
      <vt:variant>
        <vt:i4>6357024</vt:i4>
      </vt:variant>
      <vt:variant>
        <vt:i4>30</vt:i4>
      </vt:variant>
      <vt:variant>
        <vt:i4>0</vt:i4>
      </vt:variant>
      <vt:variant>
        <vt:i4>5</vt:i4>
      </vt:variant>
      <vt:variant>
        <vt:lpwstr>https://www.homestasmania.com.au/Private-Rental/affordable-private-rentals</vt:lpwstr>
      </vt:variant>
      <vt:variant>
        <vt:lpwstr/>
      </vt:variant>
      <vt:variant>
        <vt:i4>7405590</vt:i4>
      </vt:variant>
      <vt:variant>
        <vt:i4>27</vt:i4>
      </vt:variant>
      <vt:variant>
        <vt:i4>0</vt:i4>
      </vt:variant>
      <vt:variant>
        <vt:i4>5</vt:i4>
      </vt:variant>
      <vt:variant>
        <vt:lpwstr>https://www.homestasmania.com.au/__data/assets/pdf_file/0027/290781/Homes-Tasmania-Dashboard-January-2026.pdf</vt:lpwstr>
      </vt:variant>
      <vt:variant>
        <vt:lpwstr/>
      </vt:variant>
      <vt:variant>
        <vt:i4>6357038</vt:i4>
      </vt:variant>
      <vt:variant>
        <vt:i4>24</vt:i4>
      </vt:variant>
      <vt:variant>
        <vt:i4>0</vt:i4>
      </vt:variant>
      <vt:variant>
        <vt:i4>5</vt:i4>
      </vt:variant>
      <vt:variant>
        <vt:lpwstr>https://www.anglicare.asn.au/publications/investing-in-people/</vt:lpwstr>
      </vt:variant>
      <vt:variant>
        <vt:lpwstr/>
      </vt:variant>
      <vt:variant>
        <vt:i4>1966190</vt:i4>
      </vt:variant>
      <vt:variant>
        <vt:i4>21</vt:i4>
      </vt:variant>
      <vt:variant>
        <vt:i4>0</vt:i4>
      </vt:variant>
      <vt:variant>
        <vt:i4>5</vt:i4>
      </vt:variant>
      <vt:variant>
        <vt:lpwstr>https://www.homestasmania.com.au/__data/assets/pdf_file/0018/291114/Homes-Tasmania-Dashboard-February-2026.pdf</vt:lpwstr>
      </vt:variant>
      <vt:variant>
        <vt:lpwstr/>
      </vt:variant>
      <vt:variant>
        <vt:i4>524390</vt:i4>
      </vt:variant>
      <vt:variant>
        <vt:i4>18</vt:i4>
      </vt:variant>
      <vt:variant>
        <vt:i4>0</vt:i4>
      </vt:variant>
      <vt:variant>
        <vt:i4>5</vt:i4>
      </vt:variant>
      <vt:variant>
        <vt:lpwstr>https://www.homestasmania.com.au/__data/assets/pdf_file/0031/251869/Social-Housing-Policy-January-2024.pdf</vt:lpwstr>
      </vt:variant>
      <vt:variant>
        <vt:lpwstr/>
      </vt:variant>
      <vt:variant>
        <vt:i4>7667813</vt:i4>
      </vt:variant>
      <vt:variant>
        <vt:i4>15</vt:i4>
      </vt:variant>
      <vt:variant>
        <vt:i4>0</vt:i4>
      </vt:variant>
      <vt:variant>
        <vt:i4>5</vt:i4>
      </vt:variant>
      <vt:variant>
        <vt:lpwstr>https://www.aihw.gov.au/reports-data/health-welfare-services/homelessness-services/glossary</vt:lpwstr>
      </vt:variant>
      <vt:variant>
        <vt:lpwstr/>
      </vt:variant>
      <vt:variant>
        <vt:i4>7667813</vt:i4>
      </vt:variant>
      <vt:variant>
        <vt:i4>12</vt:i4>
      </vt:variant>
      <vt:variant>
        <vt:i4>0</vt:i4>
      </vt:variant>
      <vt:variant>
        <vt:i4>5</vt:i4>
      </vt:variant>
      <vt:variant>
        <vt:lpwstr>https://www.aihw.gov.au/reports-data/health-welfare-services/homelessness-services/glossary</vt:lpwstr>
      </vt:variant>
      <vt:variant>
        <vt:lpwstr/>
      </vt:variant>
      <vt:variant>
        <vt:i4>3997733</vt:i4>
      </vt:variant>
      <vt:variant>
        <vt:i4>9</vt:i4>
      </vt:variant>
      <vt:variant>
        <vt:i4>0</vt:i4>
      </vt:variant>
      <vt:variant>
        <vt:i4>5</vt:i4>
      </vt:variant>
      <vt:variant>
        <vt:lpwstr>https://www.aihw.gov.au/reports-data/health-welfare-services/homelessness-services/shs-client-groups/young-clients</vt:lpwstr>
      </vt:variant>
      <vt:variant>
        <vt:lpwstr/>
      </vt:variant>
      <vt:variant>
        <vt:i4>1966190</vt:i4>
      </vt:variant>
      <vt:variant>
        <vt:i4>6</vt:i4>
      </vt:variant>
      <vt:variant>
        <vt:i4>0</vt:i4>
      </vt:variant>
      <vt:variant>
        <vt:i4>5</vt:i4>
      </vt:variant>
      <vt:variant>
        <vt:lpwstr>https://www.homestasmania.com.au/__data/assets/pdf_file/0018/291114/Homes-Tasmania-Dashboard-February-2026.pdf</vt:lpwstr>
      </vt:variant>
      <vt:variant>
        <vt:lpwstr/>
      </vt:variant>
      <vt:variant>
        <vt:i4>1966190</vt:i4>
      </vt:variant>
      <vt:variant>
        <vt:i4>3</vt:i4>
      </vt:variant>
      <vt:variant>
        <vt:i4>0</vt:i4>
      </vt:variant>
      <vt:variant>
        <vt:i4>5</vt:i4>
      </vt:variant>
      <vt:variant>
        <vt:lpwstr>https://www.homestasmania.com.au/__data/assets/pdf_file/0018/291114/Homes-Tasmania-Dashboard-February-2026.pdf</vt:lpwstr>
      </vt:variant>
      <vt:variant>
        <vt:lpwstr/>
      </vt:variant>
      <vt:variant>
        <vt:i4>1704035</vt:i4>
      </vt:variant>
      <vt:variant>
        <vt:i4>0</vt:i4>
      </vt:variant>
      <vt:variant>
        <vt:i4>0</vt:i4>
      </vt:variant>
      <vt:variant>
        <vt:i4>5</vt:i4>
      </vt:variant>
      <vt:variant>
        <vt:lpwstr>https://www.homestasmania.com.au/__data/assets/pdf_file/0039/285996/Dashboard-June-2025.pdf</vt:lpwstr>
      </vt:variant>
      <vt:variant>
        <vt:lpwstr/>
      </vt:variant>
      <vt:variant>
        <vt:i4>7667786</vt:i4>
      </vt:variant>
      <vt:variant>
        <vt:i4>6</vt:i4>
      </vt:variant>
      <vt:variant>
        <vt:i4>0</vt:i4>
      </vt:variant>
      <vt:variant>
        <vt:i4>5</vt:i4>
      </vt:variant>
      <vt:variant>
        <vt:lpwstr>mailto:selinac@anglicare-tas.org.au</vt:lpwstr>
      </vt:variant>
      <vt:variant>
        <vt:lpwstr/>
      </vt:variant>
      <vt:variant>
        <vt:i4>1507366</vt:i4>
      </vt:variant>
      <vt:variant>
        <vt:i4>3</vt:i4>
      </vt:variant>
      <vt:variant>
        <vt:i4>0</vt:i4>
      </vt:variant>
      <vt:variant>
        <vt:i4>5</vt:i4>
      </vt:variant>
      <vt:variant>
        <vt:lpwstr>mailto:virginiat@anglicare-tas.org.au</vt:lpwstr>
      </vt:variant>
      <vt:variant>
        <vt:lpwstr/>
      </vt:variant>
      <vt:variant>
        <vt:i4>1507366</vt:i4>
      </vt:variant>
      <vt:variant>
        <vt:i4>0</vt:i4>
      </vt:variant>
      <vt:variant>
        <vt:i4>0</vt:i4>
      </vt:variant>
      <vt:variant>
        <vt:i4>5</vt:i4>
      </vt:variant>
      <vt:variant>
        <vt:lpwstr>mailto:virginiat@anglicare-tas.org.au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Toombs</dc:creator>
  <cp:keywords/>
  <dc:description/>
  <cp:lastModifiedBy>Selina Claxton</cp:lastModifiedBy>
  <cp:revision>2</cp:revision>
  <cp:lastPrinted>2025-05-08T19:02:00Z</cp:lastPrinted>
  <dcterms:created xsi:type="dcterms:W3CDTF">2026-04-27T04:20:00Z</dcterms:created>
  <dcterms:modified xsi:type="dcterms:W3CDTF">2026-04-27T04:20:00Z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0x0101007F147A9C52B66F43ADA71E02B06EFE33</vt:lpwstr>
  </property>
</Properties>
</file>