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E54B" w14:textId="77777777" w:rsidR="009F3010" w:rsidRPr="00DB1A8C" w:rsidRDefault="009F3010">
      <w:pPr>
        <w:pStyle w:val="Title"/>
        <w:ind w:left="0"/>
        <w:jc w:val="left"/>
        <w:rPr>
          <w:lang w:val="en-AU"/>
        </w:rPr>
      </w:pPr>
      <w:r w:rsidRPr="00DB1A8C">
        <w:rPr>
          <w:lang w:val="en-AU"/>
        </w:rPr>
        <w:t xml:space="preserve">Housing Connect Front Door Service </w:t>
      </w:r>
      <w:r>
        <w:rPr>
          <w:lang w:val="en-AU"/>
        </w:rPr>
        <w:t xml:space="preserve">Quarterly </w:t>
      </w:r>
      <w:r w:rsidRPr="00DB1A8C">
        <w:rPr>
          <w:lang w:val="en-AU"/>
        </w:rPr>
        <w:t>Snapshot</w:t>
      </w:r>
    </w:p>
    <w:p w14:paraId="36353B16" w14:textId="2366FA13" w:rsidR="009F3010" w:rsidRDefault="0016325B">
      <w:pPr>
        <w:pStyle w:val="Title"/>
        <w:pBdr>
          <w:bottom w:val="single" w:sz="4" w:space="1" w:color="auto"/>
        </w:pBdr>
        <w:ind w:left="0"/>
        <w:jc w:val="left"/>
        <w:rPr>
          <w:b w:val="0"/>
          <w:bCs w:val="0"/>
          <w:lang w:val="en-AU"/>
        </w:rPr>
      </w:pPr>
      <w:r>
        <w:rPr>
          <w:b w:val="0"/>
          <w:bCs w:val="0"/>
          <w:lang w:val="en-AU"/>
        </w:rPr>
        <w:t>June</w:t>
      </w:r>
      <w:r w:rsidR="00843530">
        <w:rPr>
          <w:b w:val="0"/>
          <w:bCs w:val="0"/>
          <w:lang w:val="en-AU"/>
        </w:rPr>
        <w:t xml:space="preserve"> 2026</w:t>
      </w:r>
    </w:p>
    <w:p w14:paraId="33288C11" w14:textId="7FBA47EC" w:rsidR="009F3010" w:rsidRDefault="00073EE6">
      <w:pPr>
        <w:pStyle w:val="Heading1"/>
      </w:pPr>
      <w:r>
        <w:t>Two years of Hous</w:t>
      </w:r>
      <w:r w:rsidR="003A37D3">
        <w:t>i</w:t>
      </w:r>
      <w:r>
        <w:t>ng Connect 2.0</w:t>
      </w:r>
      <w:r w:rsidR="006C2FA5">
        <w:t xml:space="preserve"> </w:t>
      </w:r>
    </w:p>
    <w:p w14:paraId="37D8D144" w14:textId="20F9D3B3" w:rsidR="00162537" w:rsidRPr="00285995" w:rsidRDefault="00285995" w:rsidP="00D76FBE">
      <w:pPr>
        <w:rPr>
          <w:bCs/>
          <w:lang w:val="en-AU"/>
        </w:rPr>
      </w:pPr>
      <w:r w:rsidRPr="00285995">
        <w:rPr>
          <w:bCs/>
          <w:lang w:val="en-AU"/>
        </w:rPr>
        <w:t xml:space="preserve">1 July 2025 to 30 June 2026 was the second year of operation of </w:t>
      </w:r>
      <w:r w:rsidR="00652314">
        <w:rPr>
          <w:bCs/>
          <w:lang w:val="en-AU"/>
        </w:rPr>
        <w:t xml:space="preserve">the </w:t>
      </w:r>
      <w:r w:rsidRPr="00285995">
        <w:rPr>
          <w:bCs/>
          <w:lang w:val="en-AU"/>
        </w:rPr>
        <w:t>Housing Connect 2.0</w:t>
      </w:r>
      <w:r w:rsidR="00652314">
        <w:rPr>
          <w:bCs/>
          <w:lang w:val="en-AU"/>
        </w:rPr>
        <w:t xml:space="preserve"> model</w:t>
      </w:r>
      <w:r w:rsidRPr="00285995">
        <w:rPr>
          <w:bCs/>
          <w:lang w:val="en-AU"/>
        </w:rPr>
        <w:t>.</w:t>
      </w:r>
    </w:p>
    <w:p w14:paraId="097BB125" w14:textId="3B7B0917" w:rsidR="00285995" w:rsidRPr="00285995" w:rsidRDefault="00285995" w:rsidP="00D76FBE">
      <w:pPr>
        <w:rPr>
          <w:bCs/>
          <w:lang w:val="en-AU"/>
        </w:rPr>
      </w:pPr>
      <w:r w:rsidRPr="00285995">
        <w:rPr>
          <w:bCs/>
          <w:lang w:val="en-AU"/>
        </w:rPr>
        <w:t>Over the year, the Housing Connect Front Door responded to 52</w:t>
      </w:r>
      <w:r w:rsidR="0094277C">
        <w:rPr>
          <w:bCs/>
          <w:lang w:val="en-AU"/>
        </w:rPr>
        <w:t>,</w:t>
      </w:r>
      <w:r w:rsidRPr="00285995">
        <w:rPr>
          <w:bCs/>
          <w:lang w:val="en-AU"/>
        </w:rPr>
        <w:t xml:space="preserve">273 enquiries. </w:t>
      </w:r>
    </w:p>
    <w:p w14:paraId="29230811" w14:textId="559A1D55" w:rsidR="00577B6A" w:rsidRDefault="00577B6A" w:rsidP="00D76FBE">
      <w:pPr>
        <w:rPr>
          <w:bCs/>
          <w:lang w:val="en-AU"/>
        </w:rPr>
      </w:pPr>
      <w:r w:rsidRPr="006D2216">
        <w:rPr>
          <w:bCs/>
          <w:lang w:val="en-AU"/>
        </w:rPr>
        <w:t>In that time, the social housing register increased by 9.5% to 5</w:t>
      </w:r>
      <w:r w:rsidR="0094277C">
        <w:rPr>
          <w:bCs/>
          <w:lang w:val="en-AU"/>
        </w:rPr>
        <w:t>,</w:t>
      </w:r>
      <w:r w:rsidRPr="006D2216">
        <w:rPr>
          <w:bCs/>
          <w:lang w:val="en-AU"/>
        </w:rPr>
        <w:t>655 applications, and housing system indicators continued to deteriorate, with no improvement in rental vacancy rates.</w:t>
      </w:r>
    </w:p>
    <w:p w14:paraId="6C5022BC" w14:textId="57C572D9" w:rsidR="004C0EAA" w:rsidRDefault="006D2216" w:rsidP="006D2216">
      <w:pPr>
        <w:pStyle w:val="BodyText"/>
      </w:pPr>
      <w:r>
        <w:t>Over the year, a</w:t>
      </w:r>
      <w:proofErr w:type="spellStart"/>
      <w:r w:rsidRPr="00682641">
        <w:rPr>
          <w:lang w:val="en-GB"/>
        </w:rPr>
        <w:t>bout</w:t>
      </w:r>
      <w:proofErr w:type="spellEnd"/>
      <w:r w:rsidRPr="00682641">
        <w:rPr>
          <w:lang w:val="en-GB"/>
        </w:rPr>
        <w:t xml:space="preserve"> half of all support periods involved people who had been homeless within the last 12 months</w:t>
      </w:r>
      <w:r>
        <w:rPr>
          <w:lang w:val="en-GB"/>
        </w:rPr>
        <w:t>.</w:t>
      </w:r>
      <w:r>
        <w:rPr>
          <w:rStyle w:val="FootnoteReference"/>
          <w:lang w:val="en-GB"/>
        </w:rPr>
        <w:footnoteReference w:id="1"/>
      </w:r>
      <w:r>
        <w:rPr>
          <w:lang w:val="en-GB"/>
        </w:rPr>
        <w:t xml:space="preserve"> </w:t>
      </w:r>
      <w:r>
        <w:t xml:space="preserve">Episodes of homelessness are a consequence of the ongoing lack of available and affordable housing and continued deterioration in housing system indicators. </w:t>
      </w:r>
    </w:p>
    <w:p w14:paraId="4D29FA78" w14:textId="055A17CF" w:rsidR="006D2216" w:rsidRDefault="006D2216" w:rsidP="006D2216">
      <w:pPr>
        <w:pStyle w:val="BodyText"/>
      </w:pPr>
      <w:r>
        <w:t>Government responses should include:</w:t>
      </w:r>
    </w:p>
    <w:p w14:paraId="5E7AB96A" w14:textId="0C66110F" w:rsidR="006D2216" w:rsidRDefault="004C0EAA" w:rsidP="0026637C">
      <w:pPr>
        <w:pStyle w:val="Bullets"/>
        <w:spacing w:line="276" w:lineRule="auto"/>
      </w:pPr>
      <w:r>
        <w:t>i</w:t>
      </w:r>
      <w:r w:rsidR="006D2216" w:rsidRPr="004D3DE3">
        <w:t>ncreas</w:t>
      </w:r>
      <w:r w:rsidR="006D2216">
        <w:t xml:space="preserve">ing </w:t>
      </w:r>
      <w:r w:rsidR="006D2216" w:rsidRPr="004D3DE3">
        <w:t>social housing sufficient</w:t>
      </w:r>
      <w:r w:rsidR="00561E71">
        <w:t>ly</w:t>
      </w:r>
      <w:r w:rsidR="006D2216" w:rsidRPr="004D3DE3">
        <w:t xml:space="preserve"> to reduce the number of people on the social housing register</w:t>
      </w:r>
    </w:p>
    <w:p w14:paraId="2527FFF6" w14:textId="76B4C16E" w:rsidR="006D2216" w:rsidRPr="00162537" w:rsidRDefault="004C0EAA" w:rsidP="0026637C">
      <w:pPr>
        <w:pStyle w:val="Bullets"/>
        <w:spacing w:line="276" w:lineRule="auto"/>
      </w:pPr>
      <w:r>
        <w:t>a</w:t>
      </w:r>
      <w:r w:rsidR="006D2216">
        <w:t>ctive intervention to raise</w:t>
      </w:r>
      <w:r w:rsidR="006D2216" w:rsidRPr="004D3DE3">
        <w:t xml:space="preserve"> the vacancy rate toward a 3% target</w:t>
      </w:r>
    </w:p>
    <w:p w14:paraId="0989C3B6" w14:textId="09E4D656" w:rsidR="00D76FBE" w:rsidRPr="0026637C" w:rsidRDefault="004C0EAA" w:rsidP="0026637C">
      <w:pPr>
        <w:pStyle w:val="Bullets"/>
        <w:spacing w:line="276" w:lineRule="auto"/>
        <w:rPr>
          <w:bCs/>
        </w:rPr>
      </w:pPr>
      <w:r>
        <w:t>e</w:t>
      </w:r>
      <w:r w:rsidR="006D2216" w:rsidRPr="004D3DE3">
        <w:t>ffective initiatives to provide appropriate housing for people with complex needs including those with mental health challenges or escaping domestic and family violence</w:t>
      </w:r>
      <w:r w:rsidR="006D2216">
        <w:t>.</w:t>
      </w:r>
    </w:p>
    <w:p w14:paraId="2C6729C9" w14:textId="77777777" w:rsidR="00A9505B" w:rsidRDefault="00A9505B">
      <w:pPr>
        <w:widowControl/>
        <w:autoSpaceDE/>
        <w:autoSpaceDN/>
        <w:spacing w:before="0" w:after="160" w:line="278" w:lineRule="auto"/>
        <w:rPr>
          <w:rFonts w:ascii="Avenir Next Demi Bold" w:eastAsia="AvenirNextLTPro-Demi" w:hAnsi="Avenir Next Demi Bold" w:cs="AvenirNextLTPro-Demi"/>
          <w:b/>
          <w:bCs/>
          <w:color w:val="1598CB"/>
          <w:sz w:val="48"/>
          <w:szCs w:val="48"/>
          <w:lang w:val="en-AU"/>
        </w:rPr>
      </w:pPr>
      <w:r>
        <w:br w:type="page"/>
      </w:r>
    </w:p>
    <w:p w14:paraId="23D027CB" w14:textId="73D4239D" w:rsidR="009F3010" w:rsidRPr="00D7284B" w:rsidRDefault="009F3010" w:rsidP="00D7284B">
      <w:pPr>
        <w:pStyle w:val="Heading1"/>
        <w:rPr>
          <w:rFonts w:eastAsia="Times New Roman" w:cs="Calibri"/>
          <w:szCs w:val="24"/>
        </w:rPr>
      </w:pPr>
      <w:r w:rsidRPr="00266393">
        <w:lastRenderedPageBreak/>
        <w:t>Housing Connect Front Door</w:t>
      </w:r>
    </w:p>
    <w:p w14:paraId="03935611" w14:textId="77777777" w:rsidR="009F3010" w:rsidRPr="00266393" w:rsidRDefault="009F3010">
      <w:pPr>
        <w:rPr>
          <w:lang w:val="en-AU"/>
        </w:rPr>
      </w:pPr>
      <w:r w:rsidRPr="00266393">
        <w:rPr>
          <w:lang w:val="en-AU"/>
        </w:rPr>
        <w:t xml:space="preserve">The Housing Connect Front Door is the entry point for people to access housing support, from emergency accommodation to a long-term home. This begins with an assessment to understand their individual circumstances and help match them with the most suitable options available. </w:t>
      </w:r>
    </w:p>
    <w:p w14:paraId="465969F2" w14:textId="77777777" w:rsidR="009F3010" w:rsidRPr="00266393" w:rsidRDefault="009F3010">
      <w:pPr>
        <w:rPr>
          <w:lang w:val="en-AU"/>
        </w:rPr>
      </w:pPr>
      <w:r w:rsidRPr="00266393">
        <w:rPr>
          <w:lang w:val="en-AU"/>
        </w:rPr>
        <w:t xml:space="preserve">Anglicare Tasmania is funded by government to deliver the Housing Connect Front Door Service statewide. This arrangement began from July 1, 2024. </w:t>
      </w:r>
    </w:p>
    <w:p w14:paraId="6F42435A" w14:textId="77777777" w:rsidR="009F3010" w:rsidRPr="00266393" w:rsidRDefault="009F3010">
      <w:pPr>
        <w:widowControl/>
        <w:adjustRightInd w:val="0"/>
        <w:spacing w:before="0" w:after="0"/>
        <w:rPr>
          <w:lang w:val="en-AU"/>
        </w:rPr>
      </w:pPr>
    </w:p>
    <w:p w14:paraId="5C1EB6C0" w14:textId="15881EFD" w:rsidR="009F3010" w:rsidRPr="00266393" w:rsidRDefault="009F3010">
      <w:pPr>
        <w:widowControl/>
        <w:adjustRightInd w:val="0"/>
        <w:spacing w:before="0" w:after="0"/>
        <w:rPr>
          <w:rFonts w:ascii="Arial" w:eastAsiaTheme="minorHAnsi" w:hAnsi="Arial" w:cs="Arial"/>
          <w:color w:val="000000"/>
          <w:sz w:val="22"/>
          <w:lang w:val="en-AU"/>
        </w:rPr>
      </w:pPr>
      <w:r w:rsidRPr="00266393">
        <w:rPr>
          <w:lang w:val="en-AU"/>
        </w:rPr>
        <w:t>People can access the Housing Connect Front Door by telephone, 24 hours a day, 365 days a year on</w:t>
      </w:r>
      <w:r w:rsidRPr="00266393">
        <w:rPr>
          <w:rFonts w:ascii="Arial" w:eastAsiaTheme="minorHAnsi" w:hAnsi="Arial" w:cs="Arial"/>
          <w:color w:val="000000"/>
          <w:sz w:val="22"/>
          <w:lang w:val="en-AU"/>
        </w:rPr>
        <w:t xml:space="preserve"> </w:t>
      </w:r>
      <w:r w:rsidRPr="00266393">
        <w:rPr>
          <w:rFonts w:ascii="Arial" w:eastAsiaTheme="minorHAnsi" w:hAnsi="Arial" w:cs="Arial"/>
          <w:b/>
          <w:bCs/>
          <w:color w:val="0070C0"/>
          <w:sz w:val="22"/>
          <w:lang w:val="en-AU"/>
        </w:rPr>
        <w:t>1800 800 588</w:t>
      </w:r>
      <w:r w:rsidRPr="00266393">
        <w:rPr>
          <w:rFonts w:ascii="Arial" w:eastAsiaTheme="minorHAnsi" w:hAnsi="Arial" w:cs="Arial"/>
          <w:b/>
          <w:bCs/>
          <w:color w:val="000000"/>
          <w:sz w:val="22"/>
          <w:lang w:val="en-AU"/>
        </w:rPr>
        <w:t xml:space="preserve">. </w:t>
      </w:r>
      <w:r w:rsidRPr="00266393">
        <w:rPr>
          <w:lang w:val="en-AU"/>
        </w:rPr>
        <w:t>This is a free call</w:t>
      </w:r>
      <w:r w:rsidR="00561E71">
        <w:rPr>
          <w:lang w:val="en-AU"/>
        </w:rPr>
        <w:t xml:space="preserve"> number</w:t>
      </w:r>
      <w:r w:rsidRPr="00266393">
        <w:rPr>
          <w:lang w:val="en-AU"/>
        </w:rPr>
        <w:t>.</w:t>
      </w:r>
      <w:r w:rsidRPr="00266393">
        <w:rPr>
          <w:rFonts w:ascii="Arial" w:eastAsiaTheme="minorHAnsi" w:hAnsi="Arial" w:cs="Arial"/>
          <w:color w:val="000000"/>
          <w:sz w:val="22"/>
          <w:lang w:val="en-AU"/>
        </w:rPr>
        <w:t xml:space="preserve"> </w:t>
      </w:r>
    </w:p>
    <w:p w14:paraId="2155C2B0" w14:textId="77777777" w:rsidR="009F3010" w:rsidRPr="00266393" w:rsidRDefault="009F3010">
      <w:pPr>
        <w:rPr>
          <w:lang w:val="en-AU"/>
        </w:rPr>
      </w:pPr>
    </w:p>
    <w:p w14:paraId="721A92BB" w14:textId="77777777" w:rsidR="009F3010" w:rsidRPr="00266393" w:rsidRDefault="009F3010">
      <w:pPr>
        <w:widowControl/>
        <w:adjustRightInd w:val="0"/>
        <w:spacing w:before="0" w:after="0"/>
        <w:rPr>
          <w:lang w:val="en-AU"/>
        </w:rPr>
      </w:pPr>
      <w:r w:rsidRPr="00266393">
        <w:rPr>
          <w:lang w:val="en-AU"/>
        </w:rPr>
        <w:t xml:space="preserve">People can also access the Front Door at these Anglicare Tasmania offices between the hours of 9.00 am and 5.00 pm, Monday to Friday: </w:t>
      </w:r>
    </w:p>
    <w:p w14:paraId="007C0400" w14:textId="77777777" w:rsidR="009F3010" w:rsidRPr="00266393" w:rsidRDefault="009F3010" w:rsidP="00282792">
      <w:pPr>
        <w:pStyle w:val="Bullets"/>
      </w:pPr>
      <w:r w:rsidRPr="00266393">
        <w:t xml:space="preserve">159 Collins Street, Hobart </w:t>
      </w:r>
    </w:p>
    <w:p w14:paraId="30B2356A" w14:textId="77777777" w:rsidR="009F3010" w:rsidRPr="00266393" w:rsidRDefault="009F3010" w:rsidP="00282792">
      <w:pPr>
        <w:pStyle w:val="Bullets"/>
      </w:pPr>
      <w:r w:rsidRPr="00266393">
        <w:t xml:space="preserve">122 Elizabeth Street, Launceston </w:t>
      </w:r>
    </w:p>
    <w:p w14:paraId="3FB7ECF0" w14:textId="77777777" w:rsidR="009F3010" w:rsidRPr="00266393" w:rsidRDefault="009F3010" w:rsidP="00282792">
      <w:pPr>
        <w:pStyle w:val="Bullets"/>
      </w:pPr>
      <w:r w:rsidRPr="00266393">
        <w:t xml:space="preserve">31 King Street, Devonport </w:t>
      </w:r>
    </w:p>
    <w:p w14:paraId="0E0998D5" w14:textId="77777777" w:rsidR="009F3010" w:rsidRPr="00266393" w:rsidRDefault="009F3010" w:rsidP="00282792">
      <w:pPr>
        <w:pStyle w:val="Bullets"/>
      </w:pPr>
      <w:r w:rsidRPr="00266393">
        <w:t xml:space="preserve">51 Wilmot Street, Burnie. </w:t>
      </w:r>
    </w:p>
    <w:p w14:paraId="2138D2E3" w14:textId="77777777" w:rsidR="009F3010" w:rsidRPr="00A71948" w:rsidRDefault="009F3010">
      <w:pPr>
        <w:spacing w:after="360"/>
        <w:rPr>
          <w:lang w:val="en-AU"/>
        </w:rPr>
      </w:pPr>
      <w:proofErr w:type="spellStart"/>
      <w:r w:rsidRPr="00266393">
        <w:rPr>
          <w:lang w:val="en-AU"/>
        </w:rPr>
        <w:t>Wyndarra</w:t>
      </w:r>
      <w:proofErr w:type="spellEnd"/>
      <w:r w:rsidRPr="00266393">
        <w:rPr>
          <w:lang w:val="en-AU"/>
        </w:rPr>
        <w:t xml:space="preserve"> Centre Inc. provides a Front Door service at 43 Smith Street, Smithton. </w:t>
      </w:r>
      <w:r w:rsidRPr="00AD16B0">
        <w:t xml:space="preserve"> </w:t>
      </w:r>
    </w:p>
    <w:p w14:paraId="1BFF0816" w14:textId="77777777" w:rsidR="009F3010" w:rsidRPr="00266393" w:rsidRDefault="009F3010">
      <w:pPr>
        <w:widowControl/>
        <w:pBdr>
          <w:top w:val="single" w:sz="4" w:space="1" w:color="auto"/>
          <w:left w:val="single" w:sz="4" w:space="4" w:color="auto"/>
          <w:bottom w:val="single" w:sz="4" w:space="1" w:color="auto"/>
          <w:right w:val="single" w:sz="4" w:space="4" w:color="auto"/>
        </w:pBdr>
        <w:shd w:val="clear" w:color="auto" w:fill="0070C0"/>
        <w:adjustRightInd w:val="0"/>
        <w:spacing w:before="0" w:after="0"/>
        <w:jc w:val="center"/>
        <w:rPr>
          <w:rFonts w:ascii="Avenir Next LT Pro" w:eastAsiaTheme="minorHAnsi" w:hAnsi="Avenir Next LT Pro" w:cs="Arial"/>
          <w:b/>
          <w:color w:val="FFFFFF" w:themeColor="background1"/>
          <w:sz w:val="32"/>
          <w:szCs w:val="32"/>
          <w:lang w:val="en-AU"/>
        </w:rPr>
      </w:pPr>
    </w:p>
    <w:p w14:paraId="21E6019F" w14:textId="77777777" w:rsidR="009F3010" w:rsidRPr="00266393" w:rsidRDefault="009F3010">
      <w:pPr>
        <w:widowControl/>
        <w:pBdr>
          <w:top w:val="single" w:sz="4" w:space="1" w:color="auto"/>
          <w:left w:val="single" w:sz="4" w:space="4" w:color="auto"/>
          <w:bottom w:val="single" w:sz="4" w:space="1" w:color="auto"/>
          <w:right w:val="single" w:sz="4" w:space="4" w:color="auto"/>
        </w:pBdr>
        <w:shd w:val="clear" w:color="auto" w:fill="0070C0"/>
        <w:adjustRightInd w:val="0"/>
        <w:spacing w:before="0" w:after="0"/>
        <w:jc w:val="center"/>
        <w:rPr>
          <w:rFonts w:ascii="Avenir Next LT Pro" w:eastAsiaTheme="minorHAnsi" w:hAnsi="Avenir Next LT Pro" w:cs="Arial"/>
          <w:b/>
          <w:color w:val="FFFFFF" w:themeColor="background1"/>
          <w:sz w:val="32"/>
          <w:szCs w:val="32"/>
          <w:lang w:val="en-AU"/>
        </w:rPr>
      </w:pPr>
      <w:r w:rsidRPr="00266393">
        <w:rPr>
          <w:rFonts w:ascii="Avenir Next LT Pro" w:eastAsiaTheme="minorHAnsi" w:hAnsi="Avenir Next LT Pro" w:cs="Arial"/>
          <w:b/>
          <w:color w:val="FFFFFF" w:themeColor="background1"/>
          <w:sz w:val="32"/>
          <w:szCs w:val="32"/>
          <w:lang w:val="en-AU"/>
        </w:rPr>
        <w:t>The Housing Connect Front Door does not provide housing</w:t>
      </w:r>
    </w:p>
    <w:p w14:paraId="0FD8EB22" w14:textId="77777777" w:rsidR="009F3010" w:rsidRPr="00266393" w:rsidRDefault="009F3010">
      <w:pPr>
        <w:widowControl/>
        <w:pBdr>
          <w:top w:val="single" w:sz="4" w:space="1" w:color="auto"/>
          <w:left w:val="single" w:sz="4" w:space="4" w:color="auto"/>
          <w:bottom w:val="single" w:sz="4" w:space="1" w:color="auto"/>
          <w:right w:val="single" w:sz="4" w:space="4" w:color="auto"/>
        </w:pBdr>
        <w:shd w:val="clear" w:color="auto" w:fill="0070C0"/>
        <w:adjustRightInd w:val="0"/>
        <w:spacing w:before="0" w:after="0"/>
        <w:jc w:val="center"/>
        <w:rPr>
          <w:rFonts w:ascii="Avenir Next LT Pro" w:eastAsiaTheme="minorHAnsi" w:hAnsi="Avenir Next LT Pro" w:cs="Arial"/>
          <w:color w:val="FFFFFF" w:themeColor="background1"/>
          <w:sz w:val="32"/>
          <w:szCs w:val="32"/>
          <w:lang w:val="en-AU"/>
        </w:rPr>
      </w:pPr>
    </w:p>
    <w:p w14:paraId="0FC13DF0" w14:textId="77777777" w:rsidR="009F3010" w:rsidRPr="00266393" w:rsidRDefault="009F3010">
      <w:pPr>
        <w:widowControl/>
        <w:adjustRightInd w:val="0"/>
        <w:spacing w:before="0" w:after="0"/>
        <w:rPr>
          <w:rFonts w:ascii="Arial" w:eastAsiaTheme="minorHAnsi" w:hAnsi="Arial" w:cs="Arial"/>
          <w:color w:val="000000"/>
          <w:sz w:val="22"/>
          <w:lang w:val="en-AU"/>
        </w:rPr>
      </w:pPr>
    </w:p>
    <w:p w14:paraId="0371D7B7" w14:textId="77777777" w:rsidR="009F3010" w:rsidRDefault="009F3010">
      <w:pPr>
        <w:rPr>
          <w:lang w:val="en-AU"/>
        </w:rPr>
      </w:pPr>
      <w:r w:rsidRPr="00266393">
        <w:rPr>
          <w:lang w:val="en-AU"/>
        </w:rPr>
        <w:t>The Front Door service links people with supports that are suited to their life stage and individual circumstances. Although the Front Door service does not provide housing, it can assist clients to apply for social housing or to secure or maintain a private rental tenancy.</w:t>
      </w:r>
    </w:p>
    <w:p w14:paraId="416D2B72" w14:textId="77777777" w:rsidR="009F3010" w:rsidRPr="00266393" w:rsidRDefault="009F3010">
      <w:pPr>
        <w:rPr>
          <w:lang w:val="en-AU"/>
        </w:rPr>
      </w:pPr>
      <w:r w:rsidRPr="00266393">
        <w:rPr>
          <w:lang w:val="en-AU"/>
        </w:rPr>
        <w:t xml:space="preserve">For many people, the Front Door can provide the level of support they need. However, for those who require more intensive and ongoing support, the Front Door connects them with Key Development </w:t>
      </w:r>
      <w:r>
        <w:rPr>
          <w:lang w:val="en-AU"/>
        </w:rPr>
        <w:t>C</w:t>
      </w:r>
      <w:r w:rsidRPr="00266393">
        <w:rPr>
          <w:lang w:val="en-AU"/>
        </w:rPr>
        <w:t>oaches in their region.</w:t>
      </w:r>
    </w:p>
    <w:p w14:paraId="14289573" w14:textId="77777777" w:rsidR="009F3010" w:rsidRPr="0026637C" w:rsidRDefault="009F3010">
      <w:pPr>
        <w:spacing w:before="0" w:after="0"/>
        <w:rPr>
          <w:rFonts w:ascii="Avenir Next Demi Bold" w:eastAsia="AvenirNextLTPro-Demi" w:hAnsi="Avenir Next Demi Bold" w:cs="AvenirNextLTPro-Demi"/>
          <w:b/>
          <w:bCs/>
          <w:iCs/>
          <w:color w:val="1598CB"/>
          <w:sz w:val="48"/>
          <w:szCs w:val="48"/>
          <w:lang w:val="en-AU"/>
        </w:rPr>
      </w:pPr>
      <w:r w:rsidRPr="00266393">
        <w:rPr>
          <w:i/>
          <w:lang w:val="en-AU"/>
        </w:rPr>
        <w:br w:type="page"/>
      </w:r>
    </w:p>
    <w:p w14:paraId="73FA18DE" w14:textId="77777777" w:rsidR="009F3010" w:rsidRDefault="009F3010">
      <w:pPr>
        <w:pStyle w:val="Heading1"/>
      </w:pPr>
      <w:r>
        <w:lastRenderedPageBreak/>
        <w:t>Support provided this quarter</w:t>
      </w:r>
    </w:p>
    <w:p w14:paraId="5C98F069" w14:textId="17018ECC" w:rsidR="009F3010" w:rsidRDefault="009F3010">
      <w:pPr>
        <w:pStyle w:val="BodyText"/>
      </w:pPr>
      <w:r>
        <w:t>From</w:t>
      </w:r>
      <w:r w:rsidRPr="00022DD3">
        <w:t xml:space="preserve"> </w:t>
      </w:r>
      <w:r w:rsidR="00843530">
        <w:t xml:space="preserve">1 </w:t>
      </w:r>
      <w:r w:rsidR="006C2FA5">
        <w:t>April</w:t>
      </w:r>
      <w:r w:rsidR="00843530">
        <w:t xml:space="preserve"> to 3</w:t>
      </w:r>
      <w:r w:rsidR="006C2FA5">
        <w:t>0</w:t>
      </w:r>
      <w:r w:rsidR="00843530">
        <w:t xml:space="preserve"> </w:t>
      </w:r>
      <w:r w:rsidR="006C2FA5">
        <w:t>June 2026</w:t>
      </w:r>
      <w:r w:rsidR="00843530">
        <w:t xml:space="preserve"> </w:t>
      </w:r>
      <w:r>
        <w:t>(compared to the same period in 202</w:t>
      </w:r>
      <w:r w:rsidR="00843530">
        <w:t>5</w:t>
      </w:r>
      <w:r>
        <w:t>)</w:t>
      </w:r>
      <w:r w:rsidRPr="00022DD3">
        <w:t>, the Front Door service has:</w:t>
      </w:r>
    </w:p>
    <w:p w14:paraId="18DA8CA8" w14:textId="0D92376A" w:rsidR="006C2FA5" w:rsidRDefault="006C2FA5" w:rsidP="0026637C">
      <w:pPr>
        <w:pStyle w:val="Bullets"/>
        <w:spacing w:line="276" w:lineRule="auto"/>
      </w:pPr>
      <w:r>
        <w:t xml:space="preserve">responded to </w:t>
      </w:r>
      <w:r w:rsidR="002E5631">
        <w:t>13</w:t>
      </w:r>
      <w:r w:rsidR="004C0EAA">
        <w:t>,</w:t>
      </w:r>
      <w:r w:rsidR="002E5631">
        <w:t>030</w:t>
      </w:r>
      <w:r>
        <w:t xml:space="preserve"> enquiries from Tasmanians seeking housing support (up </w:t>
      </w:r>
      <w:r w:rsidR="002E5631">
        <w:t>4</w:t>
      </w:r>
      <w:r>
        <w:t>%)</w:t>
      </w:r>
    </w:p>
    <w:p w14:paraId="5929C12E" w14:textId="4BA6F8D0" w:rsidR="006C2FA5" w:rsidRDefault="006C2FA5" w:rsidP="0026637C">
      <w:pPr>
        <w:pStyle w:val="Bullets"/>
        <w:spacing w:line="276" w:lineRule="auto"/>
      </w:pPr>
      <w:r>
        <w:t xml:space="preserve">provided </w:t>
      </w:r>
      <w:r w:rsidR="002E5631">
        <w:t>2</w:t>
      </w:r>
      <w:r w:rsidR="004C0EAA">
        <w:t>,</w:t>
      </w:r>
      <w:r w:rsidR="002E5631">
        <w:t>198</w:t>
      </w:r>
      <w:r>
        <w:t xml:space="preserve"> periods of support to </w:t>
      </w:r>
      <w:r w:rsidR="002E5631">
        <w:t>1</w:t>
      </w:r>
      <w:r w:rsidR="004C0EAA">
        <w:t>,</w:t>
      </w:r>
      <w:r w:rsidR="002E5631">
        <w:t>966</w:t>
      </w:r>
      <w:r>
        <w:t xml:space="preserve"> people or families (number of people supported up </w:t>
      </w:r>
      <w:r w:rsidR="002E5631">
        <w:t>63</w:t>
      </w:r>
      <w:r>
        <w:t>%)</w:t>
      </w:r>
    </w:p>
    <w:p w14:paraId="5AF19C98" w14:textId="307949AF" w:rsidR="006C2FA5" w:rsidRDefault="006C2FA5" w:rsidP="0026637C">
      <w:pPr>
        <w:pStyle w:val="Bullets"/>
        <w:spacing w:line="276" w:lineRule="auto"/>
      </w:pPr>
      <w:r>
        <w:t xml:space="preserve">responded to </w:t>
      </w:r>
      <w:r w:rsidR="002E5631">
        <w:t>414</w:t>
      </w:r>
      <w:r>
        <w:t xml:space="preserve"> new applications for private rental assistance </w:t>
      </w:r>
    </w:p>
    <w:p w14:paraId="744453B4" w14:textId="1C7766AC" w:rsidR="006C2FA5" w:rsidRDefault="006C2FA5" w:rsidP="0026637C">
      <w:pPr>
        <w:pStyle w:val="Bullets"/>
        <w:spacing w:line="276" w:lineRule="auto"/>
      </w:pPr>
      <w:r>
        <w:t xml:space="preserve">met </w:t>
      </w:r>
      <w:r w:rsidR="002E5631">
        <w:t>89</w:t>
      </w:r>
      <w:r>
        <w:t xml:space="preserve">% of client needs for support services other than housing </w:t>
      </w:r>
    </w:p>
    <w:p w14:paraId="6DAC889F" w14:textId="006C3D9C" w:rsidR="006C2FA5" w:rsidRDefault="006C2FA5" w:rsidP="0026637C">
      <w:pPr>
        <w:pStyle w:val="Bullets"/>
        <w:spacing w:line="276" w:lineRule="auto"/>
      </w:pPr>
      <w:r>
        <w:t xml:space="preserve">met </w:t>
      </w:r>
      <w:r w:rsidR="002E5631">
        <w:t>12</w:t>
      </w:r>
      <w:r>
        <w:t xml:space="preserve">% of client needs for housing </w:t>
      </w:r>
    </w:p>
    <w:p w14:paraId="7816ABAA" w14:textId="532417D9" w:rsidR="006C2FA5" w:rsidRPr="006C2FA5" w:rsidRDefault="006C2FA5" w:rsidP="0026637C">
      <w:pPr>
        <w:pStyle w:val="Bullets"/>
        <w:spacing w:line="276" w:lineRule="auto"/>
      </w:pPr>
      <w:r>
        <w:t xml:space="preserve">received an average rating of </w:t>
      </w:r>
      <w:r w:rsidR="002E5631">
        <w:t>4.9</w:t>
      </w:r>
      <w:r>
        <w:t>/5.0 for client satisfaction with support and services</w:t>
      </w:r>
      <w:r w:rsidR="0026637C">
        <w:t>.</w:t>
      </w:r>
    </w:p>
    <w:p w14:paraId="56E15481" w14:textId="77777777" w:rsidR="009F3010" w:rsidRPr="00342035" w:rsidRDefault="009F3010" w:rsidP="00282792">
      <w:pPr>
        <w:pStyle w:val="Bullets"/>
        <w:rPr>
          <w:rFonts w:ascii="Avenir Next Demi Bold" w:eastAsia="AvenirNextLTPro-Demi" w:hAnsi="Avenir Next Demi Bold" w:cs="AvenirNextLTPro-Demi"/>
          <w:color w:val="248EB9"/>
          <w:spacing w:val="-6"/>
          <w:sz w:val="36"/>
          <w:szCs w:val="36"/>
        </w:rPr>
      </w:pPr>
      <w:r w:rsidRPr="00342035">
        <w:br w:type="page"/>
      </w:r>
    </w:p>
    <w:p w14:paraId="67607D28" w14:textId="4AC755B1" w:rsidR="009F3010" w:rsidRDefault="009F3010">
      <w:pPr>
        <w:pStyle w:val="Heading1"/>
      </w:pPr>
      <w:bookmarkStart w:id="0" w:name="_Hlk178520408"/>
      <w:r w:rsidRPr="00AD16B0">
        <w:lastRenderedPageBreak/>
        <w:t xml:space="preserve">People </w:t>
      </w:r>
      <w:r>
        <w:t xml:space="preserve">accessing housing </w:t>
      </w:r>
      <w:r w:rsidRPr="00B82F87">
        <w:t>support</w:t>
      </w:r>
    </w:p>
    <w:p w14:paraId="7BAE573F" w14:textId="5306C82A" w:rsidR="009F3010" w:rsidRDefault="009F3010">
      <w:pPr>
        <w:pStyle w:val="BodyText"/>
      </w:pPr>
      <w:r w:rsidRPr="00A7142F">
        <w:t xml:space="preserve">Housing Connect </w:t>
      </w:r>
      <w:r w:rsidR="008F708F">
        <w:t xml:space="preserve">Front Door </w:t>
      </w:r>
      <w:r w:rsidRPr="00A7142F">
        <w:t>provides support to people who are homeless or at risk of being homeless, or who cannot stay where they normally live, including for safety reasons. Support may also be available to people having trouble paying for housing or moving costs.</w:t>
      </w:r>
    </w:p>
    <w:p w14:paraId="6A56056B" w14:textId="71415F55" w:rsidR="009F3010" w:rsidRDefault="009F3010">
      <w:pPr>
        <w:pStyle w:val="BodyText"/>
      </w:pPr>
      <w:r w:rsidRPr="004C7060">
        <w:t>Compared to the same period in 202</w:t>
      </w:r>
      <w:r w:rsidR="00B35C69">
        <w:t>5</w:t>
      </w:r>
      <w:r w:rsidRPr="004C7060">
        <w:t xml:space="preserve">, the total number of people and families receiving housing support has risen by </w:t>
      </w:r>
      <w:r w:rsidR="002E5631">
        <w:t>63</w:t>
      </w:r>
      <w:r w:rsidR="00B35C69">
        <w:t>%</w:t>
      </w:r>
      <w:r w:rsidRPr="004C7060">
        <w:t>.</w:t>
      </w:r>
      <w:r w:rsidR="000C1494">
        <w:rPr>
          <w:rStyle w:val="FootnoteReference"/>
        </w:rPr>
        <w:footnoteReference w:id="2"/>
      </w:r>
    </w:p>
    <w:p w14:paraId="229E1A4F" w14:textId="41577F23" w:rsidR="00ED1FD0" w:rsidRPr="004C7060" w:rsidRDefault="00ED1FD0">
      <w:pPr>
        <w:pStyle w:val="BodyText"/>
      </w:pPr>
      <w:r>
        <w:t xml:space="preserve">The number of clients sleeping rough or in cars, tents or improvised dwellings has </w:t>
      </w:r>
      <w:r w:rsidR="00106CFD">
        <w:t xml:space="preserve">increased </w:t>
      </w:r>
      <w:r>
        <w:t xml:space="preserve">by </w:t>
      </w:r>
      <w:r w:rsidR="002E5631" w:rsidRPr="00FD7867">
        <w:t>54</w:t>
      </w:r>
      <w:r w:rsidRPr="00FD7867">
        <w:t xml:space="preserve">%, from </w:t>
      </w:r>
      <w:r w:rsidR="002E5631" w:rsidRPr="00FD7867">
        <w:t>170</w:t>
      </w:r>
      <w:r w:rsidR="006C2FA5" w:rsidRPr="00FD7867">
        <w:t xml:space="preserve"> to </w:t>
      </w:r>
      <w:r w:rsidR="002E5631" w:rsidRPr="00FD7867">
        <w:t>262</w:t>
      </w:r>
      <w:r>
        <w:t>.</w:t>
      </w:r>
      <w:r>
        <w:rPr>
          <w:rStyle w:val="FootnoteReference"/>
        </w:rPr>
        <w:footnoteReference w:id="3"/>
      </w:r>
      <w:r>
        <w:t xml:space="preserve"> </w:t>
      </w:r>
    </w:p>
    <w:p w14:paraId="011ACBB1" w14:textId="3307DC2B" w:rsidR="009F3010" w:rsidRPr="004C7060" w:rsidRDefault="009F3010">
      <w:pPr>
        <w:pStyle w:val="BodyText"/>
      </w:pPr>
      <w:r w:rsidRPr="004C7060">
        <w:t xml:space="preserve">Over the same period, the number of employed people who have accessed housing support has </w:t>
      </w:r>
      <w:r w:rsidR="009404E0" w:rsidRPr="009404E0">
        <w:t xml:space="preserve">increased </w:t>
      </w:r>
      <w:r w:rsidR="00B35C69" w:rsidRPr="009404E0">
        <w:t xml:space="preserve">by </w:t>
      </w:r>
      <w:r w:rsidR="002E5631" w:rsidRPr="002E5631">
        <w:t>60</w:t>
      </w:r>
      <w:r w:rsidR="00B35C69" w:rsidRPr="002E5631">
        <w:t xml:space="preserve">% from </w:t>
      </w:r>
      <w:r w:rsidR="002E5631" w:rsidRPr="002E5631">
        <w:t>194</w:t>
      </w:r>
      <w:r w:rsidR="00B35C69" w:rsidRPr="002E5631">
        <w:t xml:space="preserve"> to </w:t>
      </w:r>
      <w:r w:rsidR="002E5631">
        <w:t>310</w:t>
      </w:r>
      <w:r w:rsidRPr="004C7060">
        <w:t>. Private rentals are unaffordable for a</w:t>
      </w:r>
      <w:r w:rsidR="00060C99">
        <w:t>n ever-</w:t>
      </w:r>
      <w:r w:rsidRPr="004C7060">
        <w:t>growing share of the community, which is resulting in more employed Tasmanians needing housing support.</w:t>
      </w:r>
    </w:p>
    <w:p w14:paraId="54BF88AB" w14:textId="1AFFEBB5" w:rsidR="0012734F" w:rsidRDefault="009F3010">
      <w:pPr>
        <w:pStyle w:val="BodyText"/>
      </w:pPr>
      <w:r w:rsidRPr="00FE7C81">
        <w:t>The number of families with children accessing housing support</w:t>
      </w:r>
      <w:r w:rsidR="009404E0" w:rsidRPr="00FE7C81">
        <w:t xml:space="preserve"> increased by </w:t>
      </w:r>
      <w:r w:rsidR="0018177E" w:rsidRPr="0018177E">
        <w:t>62</w:t>
      </w:r>
      <w:r w:rsidR="009404E0" w:rsidRPr="0018177E">
        <w:t>%</w:t>
      </w:r>
      <w:r w:rsidR="009404E0" w:rsidRPr="00FE7C81">
        <w:t xml:space="preserve"> from the same period in 2025, </w:t>
      </w:r>
      <w:r w:rsidR="009404E0" w:rsidRPr="0018177E">
        <w:t xml:space="preserve">from </w:t>
      </w:r>
      <w:r w:rsidR="0018177E" w:rsidRPr="0018177E">
        <w:t>366</w:t>
      </w:r>
      <w:r w:rsidR="009404E0" w:rsidRPr="0018177E">
        <w:t xml:space="preserve"> to </w:t>
      </w:r>
      <w:r w:rsidR="0018177E" w:rsidRPr="0018177E">
        <w:t>593</w:t>
      </w:r>
      <w:r w:rsidR="009404E0" w:rsidRPr="0018177E">
        <w:t>.</w:t>
      </w:r>
      <w:r w:rsidRPr="004C7060">
        <w:t xml:space="preserve"> </w:t>
      </w:r>
    </w:p>
    <w:p w14:paraId="7E7F3AA7" w14:textId="16837F64" w:rsidR="009F3010" w:rsidRDefault="009F3010">
      <w:pPr>
        <w:pStyle w:val="BodyText"/>
      </w:pPr>
      <w:r>
        <w:t>From 1</w:t>
      </w:r>
      <w:r w:rsidR="00B35C69">
        <w:t xml:space="preserve"> </w:t>
      </w:r>
      <w:r w:rsidR="006C2FA5">
        <w:t>April</w:t>
      </w:r>
      <w:r>
        <w:t xml:space="preserve"> to 3</w:t>
      </w:r>
      <w:r w:rsidR="006C2FA5">
        <w:t>0</w:t>
      </w:r>
      <w:r>
        <w:t xml:space="preserve"> </w:t>
      </w:r>
      <w:r w:rsidR="006C2FA5">
        <w:t>June</w:t>
      </w:r>
      <w:r w:rsidR="00307671">
        <w:t xml:space="preserve"> 2026</w:t>
      </w:r>
      <w:r>
        <w:t>, housing support was provided to:</w:t>
      </w:r>
    </w:p>
    <w:p w14:paraId="71FA0250" w14:textId="2CEADBDF" w:rsidR="009F3010" w:rsidRDefault="006430DD" w:rsidP="0026637C">
      <w:pPr>
        <w:pStyle w:val="Bullets"/>
        <w:spacing w:line="276" w:lineRule="auto"/>
      </w:pPr>
      <w:r>
        <w:t>1</w:t>
      </w:r>
      <w:r w:rsidR="004C0EAA">
        <w:t>,</w:t>
      </w:r>
      <w:r>
        <w:t>177</w:t>
      </w:r>
      <w:r w:rsidR="009404E0" w:rsidRPr="009404E0">
        <w:t xml:space="preserve"> </w:t>
      </w:r>
      <w:r w:rsidR="009404E0" w:rsidRPr="0048619F">
        <w:t>w</w:t>
      </w:r>
      <w:r w:rsidR="009F3010" w:rsidRPr="0048619F">
        <w:t>omen</w:t>
      </w:r>
    </w:p>
    <w:p w14:paraId="1F37BBC3" w14:textId="0DA543E6" w:rsidR="009F3010" w:rsidRDefault="006430DD" w:rsidP="0026637C">
      <w:pPr>
        <w:pStyle w:val="Bullets"/>
        <w:spacing w:line="276" w:lineRule="auto"/>
      </w:pPr>
      <w:r>
        <w:t>774</w:t>
      </w:r>
      <w:r w:rsidR="009F3010">
        <w:t xml:space="preserve"> </w:t>
      </w:r>
      <w:r w:rsidR="009F3010" w:rsidRPr="0048619F">
        <w:t>men</w:t>
      </w:r>
    </w:p>
    <w:p w14:paraId="382AF5B1" w14:textId="0DE3B58F" w:rsidR="009F3010" w:rsidRDefault="006430DD" w:rsidP="0026637C">
      <w:pPr>
        <w:pStyle w:val="Bullets"/>
        <w:spacing w:line="276" w:lineRule="auto"/>
      </w:pPr>
      <w:r>
        <w:t>495</w:t>
      </w:r>
      <w:r w:rsidR="00B35C69">
        <w:t xml:space="preserve"> </w:t>
      </w:r>
      <w:r w:rsidR="009F3010" w:rsidRPr="0048619F">
        <w:t>lone parents with children</w:t>
      </w:r>
    </w:p>
    <w:p w14:paraId="63205693" w14:textId="761610F4" w:rsidR="009F3010" w:rsidRDefault="006430DD" w:rsidP="0026637C">
      <w:pPr>
        <w:pStyle w:val="Bullets"/>
        <w:spacing w:line="276" w:lineRule="auto"/>
      </w:pPr>
      <w:r>
        <w:t xml:space="preserve">98 </w:t>
      </w:r>
      <w:r w:rsidR="009F3010" w:rsidRPr="0048619F">
        <w:t>couples with children</w:t>
      </w:r>
    </w:p>
    <w:p w14:paraId="6AA625FC" w14:textId="459F098F" w:rsidR="009F3010" w:rsidRDefault="006430DD" w:rsidP="0026637C">
      <w:pPr>
        <w:pStyle w:val="Bullets"/>
        <w:spacing w:line="276" w:lineRule="auto"/>
      </w:pPr>
      <w:r>
        <w:t>1</w:t>
      </w:r>
      <w:r w:rsidR="004C0EAA">
        <w:t>,</w:t>
      </w:r>
      <w:r>
        <w:t>891</w:t>
      </w:r>
      <w:r w:rsidR="006C2FA5">
        <w:t xml:space="preserve"> </w:t>
      </w:r>
      <w:r w:rsidR="009F3010" w:rsidRPr="0048619F">
        <w:t>children under 18 years of age in families</w:t>
      </w:r>
    </w:p>
    <w:p w14:paraId="015714B8" w14:textId="36071603" w:rsidR="009F3010" w:rsidRDefault="00E3449F" w:rsidP="0026637C">
      <w:pPr>
        <w:pStyle w:val="Bullets"/>
        <w:spacing w:line="276" w:lineRule="auto"/>
      </w:pPr>
      <w:r>
        <w:t>480</w:t>
      </w:r>
      <w:r w:rsidR="006C2FA5">
        <w:t xml:space="preserve"> </w:t>
      </w:r>
      <w:r w:rsidR="009F3010" w:rsidRPr="0048619F">
        <w:t>people aged 16-24 years</w:t>
      </w:r>
    </w:p>
    <w:p w14:paraId="04C27A11" w14:textId="4EC59939" w:rsidR="009F3010" w:rsidRDefault="006430DD" w:rsidP="0026637C">
      <w:pPr>
        <w:pStyle w:val="Bullets"/>
        <w:spacing w:line="276" w:lineRule="auto"/>
      </w:pPr>
      <w:r>
        <w:t>310</w:t>
      </w:r>
      <w:r w:rsidR="009F3010">
        <w:t xml:space="preserve"> </w:t>
      </w:r>
      <w:r w:rsidR="009F3010" w:rsidRPr="0048619F">
        <w:t>people in employment</w:t>
      </w:r>
    </w:p>
    <w:p w14:paraId="33D19086" w14:textId="13C25841" w:rsidR="009F3010" w:rsidRDefault="006430DD" w:rsidP="0026637C">
      <w:pPr>
        <w:pStyle w:val="Bullets"/>
        <w:spacing w:line="276" w:lineRule="auto"/>
      </w:pPr>
      <w:r>
        <w:t>238</w:t>
      </w:r>
      <w:r w:rsidR="009404E0">
        <w:t xml:space="preserve"> </w:t>
      </w:r>
      <w:r w:rsidR="009404E0" w:rsidRPr="0048619F">
        <w:t>[of those]</w:t>
      </w:r>
      <w:r w:rsidR="009F3010" w:rsidRPr="0048619F">
        <w:t xml:space="preserve"> people in part-time employment</w:t>
      </w:r>
      <w:r w:rsidR="0026637C">
        <w:t>.</w:t>
      </w:r>
    </w:p>
    <w:p w14:paraId="13648F0E" w14:textId="1ACE087F" w:rsidR="00A9505B" w:rsidRDefault="0026637C" w:rsidP="0026637C">
      <w:pPr>
        <w:pStyle w:val="Bullets"/>
        <w:numPr>
          <w:ilvl w:val="0"/>
          <w:numId w:val="0"/>
        </w:numPr>
        <w:spacing w:line="276" w:lineRule="auto"/>
      </w:pPr>
      <w:r>
        <w:t>1</w:t>
      </w:r>
      <w:r w:rsidR="006430DD">
        <w:t>21</w:t>
      </w:r>
      <w:r w:rsidR="00A9505B">
        <w:t xml:space="preserve"> </w:t>
      </w:r>
      <w:r w:rsidR="00A9505B" w:rsidRPr="0048619F">
        <w:t xml:space="preserve">periods of support </w:t>
      </w:r>
      <w:r w:rsidR="00BC5ADD" w:rsidRPr="0048619F">
        <w:t xml:space="preserve">were provided </w:t>
      </w:r>
      <w:r w:rsidR="00A9505B" w:rsidRPr="0048619F">
        <w:t>to children under 18 who presented alone</w:t>
      </w:r>
      <w:r>
        <w:t>.</w:t>
      </w:r>
      <w:r w:rsidR="00A9505B" w:rsidRPr="0048619F">
        <w:rPr>
          <w:rStyle w:val="FootnoteReference"/>
          <w:b/>
          <w:bCs/>
        </w:rPr>
        <w:footnoteReference w:id="4"/>
      </w:r>
    </w:p>
    <w:p w14:paraId="09A22DCB" w14:textId="13D0D871" w:rsidR="009F3010" w:rsidRDefault="009F3010">
      <w:pPr>
        <w:widowControl/>
        <w:autoSpaceDE/>
        <w:autoSpaceDN/>
        <w:spacing w:before="0" w:after="160" w:line="259" w:lineRule="auto"/>
        <w:rPr>
          <w:rFonts w:ascii="Avenir Next Demi Bold" w:eastAsia="AvenirNextLTPro-Demi" w:hAnsi="Avenir Next Demi Bold" w:cs="AvenirNextLTPro-Demi"/>
          <w:b/>
          <w:color w:val="248EB9"/>
          <w:spacing w:val="-6"/>
          <w:sz w:val="36"/>
          <w:szCs w:val="36"/>
          <w:lang w:val="en-AU"/>
        </w:rPr>
      </w:pPr>
      <w:r>
        <w:br w:type="page"/>
      </w:r>
    </w:p>
    <w:p w14:paraId="2DC38AE1" w14:textId="77777777" w:rsidR="009F3010" w:rsidRDefault="009F3010" w:rsidP="00CE4F12">
      <w:pPr>
        <w:pStyle w:val="Heading2"/>
      </w:pPr>
      <w:r>
        <w:lastRenderedPageBreak/>
        <w:t>Reasons for seeking support</w:t>
      </w:r>
    </w:p>
    <w:p w14:paraId="57471E3F" w14:textId="51AEC280" w:rsidR="003547AD" w:rsidRPr="0048619F" w:rsidRDefault="00682D31" w:rsidP="00B12873">
      <w:r w:rsidRPr="0048619F">
        <w:t>Housing</w:t>
      </w:r>
      <w:r w:rsidR="009F3010" w:rsidRPr="0048619F">
        <w:t xml:space="preserve"> crisis (</w:t>
      </w:r>
      <w:r w:rsidR="005076AC" w:rsidRPr="0048619F">
        <w:t>27</w:t>
      </w:r>
      <w:r w:rsidR="009F3010" w:rsidRPr="0048619F">
        <w:t>%), inadequate or inappropriate dwelling conditions (</w:t>
      </w:r>
      <w:r w:rsidR="005076AC" w:rsidRPr="0048619F">
        <w:t>19</w:t>
      </w:r>
      <w:r w:rsidR="009F3010" w:rsidRPr="0048619F">
        <w:t xml:space="preserve">%), housing affordability stress </w:t>
      </w:r>
      <w:r w:rsidR="006C2FA5" w:rsidRPr="0048619F">
        <w:t>(</w:t>
      </w:r>
      <w:r w:rsidR="005076AC" w:rsidRPr="0048619F">
        <w:t>11</w:t>
      </w:r>
      <w:r w:rsidR="009F3010" w:rsidRPr="0048619F">
        <w:t>%) and domestic and/or family violence (</w:t>
      </w:r>
      <w:r w:rsidR="005076AC" w:rsidRPr="0048619F">
        <w:t>7</w:t>
      </w:r>
      <w:r w:rsidR="009F3010" w:rsidRPr="0048619F">
        <w:t>%) were most commonly given as the main reason for seeking support.</w:t>
      </w:r>
    </w:p>
    <w:p w14:paraId="15C647EA" w14:textId="56F02FF6" w:rsidR="003547AD" w:rsidRPr="0048619F" w:rsidRDefault="003547AD" w:rsidP="00B12873">
      <w:r w:rsidRPr="0048619F">
        <w:t>Other common reasons for seeking support included financial difficulties, lack of family and/or community support,</w:t>
      </w:r>
      <w:r w:rsidR="005076AC" w:rsidRPr="0048619F">
        <w:t xml:space="preserve"> previous accommodation ended, mental health issues, and relationship/family breakdown, </w:t>
      </w:r>
      <w:r w:rsidRPr="0048619F">
        <w:t xml:space="preserve">though these were not necessarily listed as the main reason. </w:t>
      </w:r>
    </w:p>
    <w:p w14:paraId="69201F33" w14:textId="6F5E7548" w:rsidR="009F3010" w:rsidRPr="006D3A7C" w:rsidRDefault="009F3010" w:rsidP="00CE4F12">
      <w:pPr>
        <w:pStyle w:val="Heading2"/>
      </w:pPr>
      <w:r>
        <w:t>Housing circumstances</w:t>
      </w:r>
    </w:p>
    <w:p w14:paraId="1059DF1E" w14:textId="77777777" w:rsidR="009F3010" w:rsidRPr="00AD16B0" w:rsidRDefault="009F3010">
      <w:pPr>
        <w:pStyle w:val="BodyText"/>
      </w:pPr>
      <w:r w:rsidRPr="00AD16B0">
        <w:t>The most common housing circumstances of people receiving housing support were:</w:t>
      </w:r>
    </w:p>
    <w:p w14:paraId="63834C29" w14:textId="1E704A09" w:rsidR="00874C7C" w:rsidRDefault="000761C5" w:rsidP="0026637C">
      <w:pPr>
        <w:pStyle w:val="Bullets"/>
        <w:spacing w:line="276" w:lineRule="auto"/>
      </w:pPr>
      <w:r w:rsidRPr="000761C5">
        <w:rPr>
          <w:b/>
          <w:bCs/>
        </w:rPr>
        <w:t>561</w:t>
      </w:r>
      <w:r>
        <w:t xml:space="preserve"> </w:t>
      </w:r>
      <w:r w:rsidR="009F3010" w:rsidRPr="00AD16B0">
        <w:t>people renting in the private market</w:t>
      </w:r>
    </w:p>
    <w:p w14:paraId="0E63FC46" w14:textId="1A2F6972" w:rsidR="009F3010" w:rsidRDefault="000761C5" w:rsidP="0026637C">
      <w:pPr>
        <w:pStyle w:val="Bullets"/>
        <w:spacing w:line="276" w:lineRule="auto"/>
      </w:pPr>
      <w:r>
        <w:rPr>
          <w:b/>
          <w:bCs/>
        </w:rPr>
        <w:t xml:space="preserve">434 </w:t>
      </w:r>
      <w:r w:rsidR="009F3010" w:rsidRPr="004C7C43">
        <w:t>people couch</w:t>
      </w:r>
      <w:r w:rsidR="002F706E">
        <w:t>-</w:t>
      </w:r>
      <w:r w:rsidR="009F3010" w:rsidRPr="004C7C43">
        <w:t>surfing</w:t>
      </w:r>
    </w:p>
    <w:p w14:paraId="0D11EC44" w14:textId="6D3F9736" w:rsidR="000761C5" w:rsidRPr="000761C5" w:rsidRDefault="000761C5" w:rsidP="0026637C">
      <w:pPr>
        <w:pStyle w:val="Bullets"/>
        <w:spacing w:line="276" w:lineRule="auto"/>
      </w:pPr>
      <w:r>
        <w:rPr>
          <w:b/>
          <w:bCs/>
        </w:rPr>
        <w:t xml:space="preserve">262 </w:t>
      </w:r>
      <w:r w:rsidRPr="004C7C43">
        <w:t xml:space="preserve">people sleeping rough or in a car, tent, or improvised dwelling </w:t>
      </w:r>
    </w:p>
    <w:p w14:paraId="2CD1D2F0" w14:textId="6D28A602" w:rsidR="009F3010" w:rsidRPr="004C7C43" w:rsidRDefault="000761C5" w:rsidP="0026637C">
      <w:pPr>
        <w:pStyle w:val="Bullets"/>
        <w:spacing w:line="276" w:lineRule="auto"/>
      </w:pPr>
      <w:r>
        <w:rPr>
          <w:b/>
          <w:bCs/>
        </w:rPr>
        <w:t>172</w:t>
      </w:r>
      <w:r w:rsidR="00874C7C">
        <w:rPr>
          <w:b/>
          <w:bCs/>
        </w:rPr>
        <w:t xml:space="preserve"> </w:t>
      </w:r>
      <w:r w:rsidR="009F3010" w:rsidRPr="004C7C43">
        <w:t>people in emergency and crisis accommodation</w:t>
      </w:r>
      <w:r w:rsidR="0026637C">
        <w:t>.</w:t>
      </w:r>
    </w:p>
    <w:p w14:paraId="7CEEC2E2" w14:textId="77777777" w:rsidR="009F3010" w:rsidRPr="004C7C43" w:rsidRDefault="009F3010" w:rsidP="00AD3919">
      <w:pPr>
        <w:pStyle w:val="Heading1"/>
      </w:pPr>
      <w:r w:rsidRPr="44D02D71">
        <w:rPr>
          <w:lang w:val="en-GB"/>
        </w:rPr>
        <w:t>Identifying and meeting client needs</w:t>
      </w:r>
    </w:p>
    <w:p w14:paraId="6EB747BE" w14:textId="31D7ABC0" w:rsidR="009F3010" w:rsidRDefault="009F3010">
      <w:pPr>
        <w:rPr>
          <w:lang w:val="en-AU"/>
        </w:rPr>
      </w:pPr>
      <w:r w:rsidRPr="004C7C43">
        <w:rPr>
          <w:lang w:val="en-AU"/>
        </w:rPr>
        <w:t>Working with a</w:t>
      </w:r>
      <w:r w:rsidR="00342F58">
        <w:rPr>
          <w:lang w:val="en-AU"/>
        </w:rPr>
        <w:t>n Anglicare</w:t>
      </w:r>
      <w:r w:rsidRPr="004C7C43">
        <w:rPr>
          <w:lang w:val="en-AU"/>
        </w:rPr>
        <w:t xml:space="preserve"> Connections Coach, people receiving housing support identify their needs, which can be multiple.</w:t>
      </w:r>
    </w:p>
    <w:p w14:paraId="3B67495B" w14:textId="3F13DC24" w:rsidR="005769CF" w:rsidRPr="005769CF" w:rsidRDefault="005769CF">
      <w:pPr>
        <w:rPr>
          <w:b/>
          <w:bCs/>
          <w:lang w:val="en-AU"/>
        </w:rPr>
      </w:pPr>
      <w:r w:rsidRPr="00F13077">
        <w:rPr>
          <w:b/>
          <w:bCs/>
          <w:lang w:val="en-AU"/>
        </w:rPr>
        <w:t>Long-term housing was a need identified by</w:t>
      </w:r>
      <w:r>
        <w:rPr>
          <w:b/>
          <w:bCs/>
          <w:lang w:val="en-AU"/>
        </w:rPr>
        <w:t xml:space="preserve"> 53</w:t>
      </w:r>
      <w:r w:rsidRPr="00F13077">
        <w:rPr>
          <w:b/>
          <w:bCs/>
          <w:lang w:val="en-AU"/>
        </w:rPr>
        <w:t xml:space="preserve">% of clients. </w:t>
      </w:r>
    </w:p>
    <w:p w14:paraId="5CF3F2C1" w14:textId="57ABBBFB" w:rsidR="0029725B" w:rsidRDefault="0029725B">
      <w:pPr>
        <w:rPr>
          <w:lang w:val="en-AU"/>
        </w:rPr>
      </w:pPr>
      <w:r>
        <w:rPr>
          <w:lang w:val="en-AU"/>
        </w:rPr>
        <w:t xml:space="preserve">Over </w:t>
      </w:r>
      <w:r w:rsidR="003C3219">
        <w:rPr>
          <w:lang w:val="en-AU"/>
        </w:rPr>
        <w:t>4</w:t>
      </w:r>
      <w:r>
        <w:rPr>
          <w:lang w:val="en-AU"/>
        </w:rPr>
        <w:t xml:space="preserve">0 different types of non-housing supports were needed by clients, </w:t>
      </w:r>
      <w:r w:rsidRPr="004C7C43">
        <w:rPr>
          <w:lang w:val="en-AU"/>
        </w:rPr>
        <w:t>includ</w:t>
      </w:r>
      <w:r>
        <w:rPr>
          <w:lang w:val="en-AU"/>
        </w:rPr>
        <w:t>ing</w:t>
      </w:r>
      <w:r w:rsidRPr="004C7C43">
        <w:rPr>
          <w:lang w:val="en-AU"/>
        </w:rPr>
        <w:t xml:space="preserve"> s</w:t>
      </w:r>
      <w:r>
        <w:rPr>
          <w:lang w:val="en-AU"/>
        </w:rPr>
        <w:t>ervices</w:t>
      </w:r>
      <w:r w:rsidRPr="004C7C43">
        <w:rPr>
          <w:lang w:val="en-AU"/>
        </w:rPr>
        <w:t xml:space="preserve"> </w:t>
      </w:r>
      <w:r w:rsidR="00412BD1" w:rsidRPr="004C7C43">
        <w:rPr>
          <w:lang w:val="en-AU"/>
        </w:rPr>
        <w:t>to support</w:t>
      </w:r>
      <w:r w:rsidRPr="004C7C43">
        <w:rPr>
          <w:lang w:val="en-AU"/>
        </w:rPr>
        <w:t xml:space="preserve"> health and wellbeing, education and employment, and </w:t>
      </w:r>
      <w:r>
        <w:rPr>
          <w:lang w:val="en-AU"/>
        </w:rPr>
        <w:t xml:space="preserve">developing </w:t>
      </w:r>
      <w:r w:rsidRPr="004C7C43">
        <w:rPr>
          <w:lang w:val="en-AU"/>
        </w:rPr>
        <w:t>living skills</w:t>
      </w:r>
      <w:r>
        <w:rPr>
          <w:lang w:val="en-AU"/>
        </w:rPr>
        <w:t xml:space="preserve">. Clients received services or a referral to address </w:t>
      </w:r>
      <w:r w:rsidR="005076AC">
        <w:rPr>
          <w:lang w:val="en-AU"/>
        </w:rPr>
        <w:t>89</w:t>
      </w:r>
      <w:r>
        <w:rPr>
          <w:lang w:val="en-AU"/>
        </w:rPr>
        <w:t>% of non-housing support needs.</w:t>
      </w:r>
    </w:p>
    <w:p w14:paraId="5568CE18" w14:textId="7E37DB8B" w:rsidR="009F3010" w:rsidRDefault="009F3010">
      <w:pPr>
        <w:rPr>
          <w:b/>
          <w:bCs/>
          <w:lang w:val="en-AU"/>
        </w:rPr>
      </w:pPr>
      <w:r>
        <w:rPr>
          <w:lang w:val="en-AU"/>
        </w:rPr>
        <w:t xml:space="preserve">A shortage of </w:t>
      </w:r>
      <w:r w:rsidR="00B75E42">
        <w:rPr>
          <w:lang w:val="en-AU"/>
        </w:rPr>
        <w:t>available</w:t>
      </w:r>
      <w:r>
        <w:rPr>
          <w:lang w:val="en-AU"/>
        </w:rPr>
        <w:t xml:space="preserve"> and affordable homes resulted in only </w:t>
      </w:r>
      <w:r w:rsidR="005769CF">
        <w:rPr>
          <w:lang w:val="en-AU"/>
        </w:rPr>
        <w:t>12</w:t>
      </w:r>
      <w:r w:rsidR="00874C7C">
        <w:rPr>
          <w:lang w:val="en-AU"/>
        </w:rPr>
        <w:t>%</w:t>
      </w:r>
      <w:r>
        <w:rPr>
          <w:lang w:val="en-AU"/>
        </w:rPr>
        <w:t xml:space="preserve"> of client need for short-, medium- and long-term housing being met. This is down from</w:t>
      </w:r>
      <w:r w:rsidR="00874C7C">
        <w:rPr>
          <w:lang w:val="en-AU"/>
        </w:rPr>
        <w:t xml:space="preserve"> </w:t>
      </w:r>
      <w:r w:rsidR="005769CF">
        <w:rPr>
          <w:lang w:val="en-AU"/>
        </w:rPr>
        <w:t>23</w:t>
      </w:r>
      <w:r w:rsidR="00874C7C">
        <w:rPr>
          <w:lang w:val="en-AU"/>
        </w:rPr>
        <w:t>%</w:t>
      </w:r>
      <w:r>
        <w:rPr>
          <w:lang w:val="en-AU"/>
        </w:rPr>
        <w:t xml:space="preserve"> for the same period last year. </w:t>
      </w:r>
      <w:r w:rsidR="00874C7C" w:rsidRPr="00811995">
        <w:rPr>
          <w:b/>
          <w:bCs/>
          <w:lang w:val="en-AU"/>
        </w:rPr>
        <w:t xml:space="preserve">This demonstrates the </w:t>
      </w:r>
      <w:r w:rsidR="00B63AE4" w:rsidRPr="00811995">
        <w:rPr>
          <w:b/>
          <w:bCs/>
          <w:lang w:val="en-AU"/>
        </w:rPr>
        <w:t xml:space="preserve">persistent </w:t>
      </w:r>
      <w:r w:rsidR="0029725B" w:rsidRPr="00811995">
        <w:rPr>
          <w:b/>
          <w:bCs/>
          <w:lang w:val="en-AU"/>
        </w:rPr>
        <w:t xml:space="preserve">ongoing </w:t>
      </w:r>
      <w:r w:rsidR="00874C7C" w:rsidRPr="00811995">
        <w:rPr>
          <w:b/>
          <w:bCs/>
          <w:lang w:val="en-AU"/>
        </w:rPr>
        <w:t>lack of housing</w:t>
      </w:r>
      <w:r w:rsidR="003E5F97">
        <w:rPr>
          <w:b/>
          <w:bCs/>
          <w:lang w:val="en-AU"/>
        </w:rPr>
        <w:t xml:space="preserve">, which impacts people on low incomes most significantly. </w:t>
      </w:r>
    </w:p>
    <w:p w14:paraId="04F4B891" w14:textId="174A09D7" w:rsidR="00A90BC9" w:rsidRPr="000057F2" w:rsidRDefault="00A90BC9" w:rsidP="00A90BC9">
      <w:pPr>
        <w:pStyle w:val="IntenseQuote"/>
      </w:pPr>
      <w:r w:rsidRPr="00D83988">
        <w:rPr>
          <w:lang w:val="en-US"/>
        </w:rPr>
        <w:t>When people lack access to one critical infrastructure, like secure, appropriate housing, the risks that they face compound</w:t>
      </w:r>
      <w:r>
        <w:rPr>
          <w:lang w:val="en-US"/>
        </w:rPr>
        <w:t xml:space="preserve">. </w:t>
      </w:r>
      <w:r w:rsidRPr="002E6186">
        <w:rPr>
          <w:lang w:val="en-US"/>
        </w:rPr>
        <w:t>For example, people living in insecure or inappropriate housing often find it difficult to access other essential services that they require, and it can cost more to meet other needs, like food.</w:t>
      </w:r>
      <w:r>
        <w:rPr>
          <w:rStyle w:val="FootnoteReference"/>
          <w:lang w:val="en-US"/>
        </w:rPr>
        <w:footnoteReference w:id="5"/>
      </w:r>
    </w:p>
    <w:p w14:paraId="528382E9" w14:textId="215A0AA6" w:rsidR="009F3010" w:rsidRPr="004C7C43" w:rsidRDefault="0048619F" w:rsidP="00A90BC9">
      <w:r>
        <w:br w:type="page"/>
      </w:r>
      <w:r w:rsidR="0038145A">
        <w:lastRenderedPageBreak/>
        <w:t>K</w:t>
      </w:r>
      <w:r w:rsidR="009F3010" w:rsidRPr="004C7C43">
        <w:t xml:space="preserve">ey outcomes for people supported in </w:t>
      </w:r>
      <w:r w:rsidR="009F3010">
        <w:t>the</w:t>
      </w:r>
      <w:r w:rsidR="00E3449F">
        <w:t xml:space="preserve"> June </w:t>
      </w:r>
      <w:r w:rsidR="009F3010">
        <w:t>q</w:t>
      </w:r>
      <w:r w:rsidR="009F3010" w:rsidRPr="004C7C43">
        <w:t>uarter include:</w:t>
      </w:r>
    </w:p>
    <w:p w14:paraId="1A41F904" w14:textId="4CFCDD3F" w:rsidR="009F3010" w:rsidRDefault="00463B13" w:rsidP="0026637C">
      <w:pPr>
        <w:pStyle w:val="Bullets"/>
        <w:spacing w:line="276" w:lineRule="auto"/>
      </w:pPr>
      <w:r>
        <w:t>a</w:t>
      </w:r>
      <w:r w:rsidR="002F12A8">
        <w:t xml:space="preserve"> decrease in people sleeping rough from </w:t>
      </w:r>
      <w:r w:rsidR="005769CF">
        <w:t>11.9</w:t>
      </w:r>
      <w:r w:rsidR="002F12A8">
        <w:t>%</w:t>
      </w:r>
      <w:r w:rsidR="00127418">
        <w:t xml:space="preserve"> (262)</w:t>
      </w:r>
      <w:r w:rsidR="002F12A8">
        <w:t xml:space="preserve"> to </w:t>
      </w:r>
      <w:r w:rsidR="005769CF">
        <w:t>9.6</w:t>
      </w:r>
      <w:r w:rsidR="002F12A8">
        <w:t>%</w:t>
      </w:r>
      <w:r w:rsidR="00127418">
        <w:t xml:space="preserve"> (175)</w:t>
      </w:r>
    </w:p>
    <w:p w14:paraId="2520EAB0" w14:textId="52E3AE20" w:rsidR="00282792" w:rsidRPr="00282792" w:rsidRDefault="00282792" w:rsidP="0026637C">
      <w:pPr>
        <w:pStyle w:val="Bullets"/>
        <w:spacing w:line="276" w:lineRule="auto"/>
      </w:pPr>
      <w:r>
        <w:t>60.8% of clients achieved all goals in their case management plan at the time of support period closure, and 17.</w:t>
      </w:r>
      <w:r w:rsidR="00976514">
        <w:t>6</w:t>
      </w:r>
      <w:r>
        <w:t>% achieved half or more</w:t>
      </w:r>
      <w:r w:rsidR="0026637C">
        <w:t>.</w:t>
      </w:r>
      <w:r>
        <w:t xml:space="preserve"> </w:t>
      </w:r>
    </w:p>
    <w:p w14:paraId="66E6C34B" w14:textId="3C0EFA9E" w:rsidR="006C2FA5" w:rsidRDefault="00C325F1">
      <w:pPr>
        <w:widowControl/>
        <w:autoSpaceDE/>
        <w:autoSpaceDN/>
        <w:spacing w:before="0" w:after="160" w:line="259" w:lineRule="auto"/>
        <w:rPr>
          <w:b/>
          <w:lang w:val="en-AU"/>
        </w:rPr>
      </w:pPr>
      <w:r>
        <w:rPr>
          <w:b/>
          <w:lang w:val="en-AU"/>
        </w:rPr>
        <w:t>Figure 1</w:t>
      </w:r>
      <w:r w:rsidR="006C2FA5">
        <w:rPr>
          <w:b/>
          <w:lang w:val="en-AU"/>
        </w:rPr>
        <w:t>:</w:t>
      </w:r>
    </w:p>
    <w:bookmarkEnd w:id="0"/>
    <w:p w14:paraId="05F38649" w14:textId="77777777" w:rsidR="00073EE6" w:rsidRDefault="005769CF">
      <w:pPr>
        <w:widowControl/>
        <w:autoSpaceDE/>
        <w:autoSpaceDN/>
        <w:spacing w:before="0" w:after="160" w:line="259" w:lineRule="auto"/>
      </w:pPr>
      <w:r>
        <w:rPr>
          <w:noProof/>
          <w14:ligatures w14:val="standardContextual"/>
        </w:rPr>
        <w:drawing>
          <wp:inline distT="0" distB="0" distL="0" distR="0" wp14:anchorId="1E36FCD9" wp14:editId="7991C174">
            <wp:extent cx="6486525" cy="4229100"/>
            <wp:effectExtent l="0" t="0" r="9525" b="0"/>
            <wp:docPr id="1611196695" name="Chart 1" descr="Bar graph of keys needs identified and support provided for the quarter.&#10;From greatest to smallest, the bars are Other basic assistance, Advice/Information, Long term housing, Medium term/transitional housing, Short term or emergency accommodation, Advocacy/liaison on behalf of client, Material aid/brokerage, Assistance to sustain tenancy or prevent tenancy failure or eviction, Financial information, and Mental health services.&#10;Bars are coloured blue for service or referral provided and orange for unmet need. Most bars are primarily blue. The bars related to housing are mostly orange.&#10;&#10;">
              <a:extLst xmlns:a="http://schemas.openxmlformats.org/drawingml/2006/main">
                <a:ext uri="{FF2B5EF4-FFF2-40B4-BE49-F238E27FC236}">
                  <a16:creationId xmlns:a16="http://schemas.microsoft.com/office/drawing/2014/main" id="{DC14F5C9-B41E-52AD-FDFA-76874E33DC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7689A1" w14:textId="62A5DE53" w:rsidR="009F3010" w:rsidRDefault="00073EE6">
      <w:pPr>
        <w:widowControl/>
        <w:autoSpaceDE/>
        <w:autoSpaceDN/>
        <w:spacing w:before="0" w:after="160" w:line="259" w:lineRule="auto"/>
        <w:rPr>
          <w:rFonts w:ascii="Avenir Next Demi Bold" w:eastAsia="AvenirNextLTPro-Demi" w:hAnsi="Avenir Next Demi Bold" w:cs="AvenirNextLTPro-Demi"/>
          <w:b/>
          <w:bCs/>
          <w:color w:val="1598CB"/>
          <w:sz w:val="48"/>
          <w:szCs w:val="48"/>
          <w:lang w:val="en-AU"/>
        </w:rPr>
      </w:pPr>
      <w:r>
        <w:t xml:space="preserve">Data source: </w:t>
      </w:r>
      <w:r>
        <w:rPr>
          <w:i/>
          <w:iCs/>
        </w:rPr>
        <w:t>Anglicare Tasmania, Housing Connect Front Door</w:t>
      </w:r>
      <w:r w:rsidR="009F3010">
        <w:br w:type="page"/>
      </w:r>
    </w:p>
    <w:p w14:paraId="7F567BD5" w14:textId="77777777" w:rsidR="00534FE9" w:rsidRPr="00AD16B0" w:rsidRDefault="00534FE9" w:rsidP="00534FE9">
      <w:pPr>
        <w:pStyle w:val="Heading1"/>
      </w:pPr>
      <w:r w:rsidRPr="00AD16B0">
        <w:lastRenderedPageBreak/>
        <w:t xml:space="preserve">Housing system indicators </w:t>
      </w:r>
    </w:p>
    <w:p w14:paraId="33D9A021" w14:textId="77777777" w:rsidR="00534FE9" w:rsidRDefault="00534FE9" w:rsidP="00534FE9">
      <w:pPr>
        <w:rPr>
          <w:bCs/>
          <w:lang w:val="en-AU"/>
        </w:rPr>
      </w:pPr>
      <w:r>
        <w:rPr>
          <w:bCs/>
          <w:lang w:val="en-AU"/>
        </w:rPr>
        <w:t xml:space="preserve">Tasmania’s housing system indicators have </w:t>
      </w:r>
      <w:r w:rsidRPr="00765AFA">
        <w:rPr>
          <w:bCs/>
          <w:lang w:val="en-AU"/>
        </w:rPr>
        <w:t>continued to deteriorate over the past 12 months.</w:t>
      </w:r>
      <w:r>
        <w:rPr>
          <w:bCs/>
          <w:lang w:val="en-AU"/>
        </w:rPr>
        <w:t xml:space="preserve"> </w:t>
      </w:r>
    </w:p>
    <w:p w14:paraId="3EE0CE4E" w14:textId="245D893B" w:rsidR="00534FE9" w:rsidRPr="00A23DA4" w:rsidRDefault="00534FE9" w:rsidP="00534FE9">
      <w:pPr>
        <w:rPr>
          <w:bCs/>
          <w:lang w:val="en-AU"/>
        </w:rPr>
      </w:pPr>
      <w:r>
        <w:rPr>
          <w:bCs/>
          <w:lang w:val="en-AU"/>
        </w:rPr>
        <w:t xml:space="preserve">Private rents in Tasmania have increased by </w:t>
      </w:r>
      <w:r w:rsidR="00DA0269" w:rsidRPr="00DA0269">
        <w:rPr>
          <w:bCs/>
          <w:lang w:val="en-AU"/>
        </w:rPr>
        <w:t>1.7</w:t>
      </w:r>
      <w:r w:rsidRPr="00DA0269">
        <w:rPr>
          <w:bCs/>
          <w:lang w:val="en-AU"/>
        </w:rPr>
        <w:t>%</w:t>
      </w:r>
      <w:r>
        <w:rPr>
          <w:bCs/>
          <w:lang w:val="en-AU"/>
        </w:rPr>
        <w:t xml:space="preserve"> over the </w:t>
      </w:r>
      <w:r w:rsidR="006C2FA5">
        <w:rPr>
          <w:bCs/>
          <w:lang w:val="en-AU"/>
        </w:rPr>
        <w:t>June</w:t>
      </w:r>
      <w:r>
        <w:rPr>
          <w:bCs/>
          <w:lang w:val="en-AU"/>
        </w:rPr>
        <w:t xml:space="preserve"> quarter.</w:t>
      </w:r>
      <w:r>
        <w:rPr>
          <w:rStyle w:val="FootnoteReference"/>
          <w:bCs/>
          <w:lang w:val="en-AU"/>
        </w:rPr>
        <w:footnoteReference w:id="6"/>
      </w:r>
      <w:r>
        <w:rPr>
          <w:bCs/>
          <w:lang w:val="en-AU"/>
        </w:rPr>
        <w:t xml:space="preserve"> Rents have continued to rise faster than wages, further widening the gap between </w:t>
      </w:r>
      <w:r w:rsidR="000303C5">
        <w:rPr>
          <w:bCs/>
          <w:lang w:val="en-AU"/>
        </w:rPr>
        <w:t xml:space="preserve">market rent </w:t>
      </w:r>
      <w:r>
        <w:rPr>
          <w:bCs/>
          <w:lang w:val="en-AU"/>
        </w:rPr>
        <w:t>and what people can afford to pay. People on low incomes are impacted most significantly by persistent low rental vacancy rates and the lack of affordable housing, with growing numbers of people experiencing homelessness.</w:t>
      </w:r>
    </w:p>
    <w:p w14:paraId="515768A4" w14:textId="29ECC547" w:rsidR="00534FE9" w:rsidRDefault="00534FE9" w:rsidP="00534FE9">
      <w:pPr>
        <w:rPr>
          <w:bCs/>
          <w:lang w:val="en-AU"/>
        </w:rPr>
      </w:pPr>
      <w:r>
        <w:rPr>
          <w:bCs/>
          <w:lang w:val="en-AU"/>
        </w:rPr>
        <w:t>Anglicare Tasmania continues to call on governments to take direct action to increase affordable supply by building more social</w:t>
      </w:r>
      <w:r w:rsidR="00A73B4C">
        <w:rPr>
          <w:bCs/>
          <w:lang w:val="en-AU"/>
        </w:rPr>
        <w:t xml:space="preserve"> housing.</w:t>
      </w:r>
      <w:r>
        <w:rPr>
          <w:bCs/>
          <w:lang w:val="en-AU"/>
        </w:rPr>
        <w:t xml:space="preserve"> </w:t>
      </w:r>
    </w:p>
    <w:p w14:paraId="21564168" w14:textId="039BDAF2" w:rsidR="00534FE9" w:rsidRDefault="00534FE9" w:rsidP="0026637C">
      <w:pPr>
        <w:pStyle w:val="ListParagraph"/>
        <w:spacing w:line="276" w:lineRule="auto"/>
        <w:rPr>
          <w:lang w:val="en-AU"/>
        </w:rPr>
      </w:pPr>
      <w:r>
        <w:rPr>
          <w:lang w:val="en-AU"/>
        </w:rPr>
        <w:t>Re</w:t>
      </w:r>
      <w:r w:rsidRPr="000E09E3">
        <w:rPr>
          <w:lang w:val="en-AU"/>
        </w:rPr>
        <w:t xml:space="preserve">nts grew </w:t>
      </w:r>
      <w:r>
        <w:rPr>
          <w:lang w:val="en-AU"/>
        </w:rPr>
        <w:t xml:space="preserve">more than </w:t>
      </w:r>
      <w:r w:rsidR="008D724C">
        <w:rPr>
          <w:b/>
          <w:bCs/>
          <w:lang w:val="en-AU"/>
        </w:rPr>
        <w:t>3</w:t>
      </w:r>
      <w:r w:rsidRPr="00285995">
        <w:rPr>
          <w:b/>
          <w:bCs/>
          <w:lang w:val="en-AU"/>
        </w:rPr>
        <w:t>X</w:t>
      </w:r>
      <w:r w:rsidRPr="00CF6061">
        <w:rPr>
          <w:lang w:val="en-AU"/>
        </w:rPr>
        <w:t xml:space="preserve"> faster than wages</w:t>
      </w:r>
      <w:r w:rsidRPr="000E09E3">
        <w:rPr>
          <w:lang w:val="en-AU"/>
        </w:rPr>
        <w:t xml:space="preserve">, </w:t>
      </w:r>
      <w:r w:rsidR="006C2FA5">
        <w:rPr>
          <w:lang w:val="en-AU"/>
        </w:rPr>
        <w:t>June</w:t>
      </w:r>
      <w:r w:rsidRPr="000E09E3">
        <w:rPr>
          <w:lang w:val="en-AU"/>
        </w:rPr>
        <w:t xml:space="preserve"> 2025 to </w:t>
      </w:r>
      <w:r w:rsidR="006C2FA5">
        <w:rPr>
          <w:lang w:val="en-AU"/>
        </w:rPr>
        <w:t>June</w:t>
      </w:r>
      <w:r w:rsidRPr="000E09E3">
        <w:rPr>
          <w:lang w:val="en-AU"/>
        </w:rPr>
        <w:t xml:space="preserve"> 2026</w:t>
      </w:r>
      <w:r w:rsidR="0026637C">
        <w:rPr>
          <w:lang w:val="en-AU"/>
        </w:rPr>
        <w:t>.</w:t>
      </w:r>
      <w:r>
        <w:rPr>
          <w:rStyle w:val="FootnoteReference"/>
          <w:lang w:val="en-AU"/>
        </w:rPr>
        <w:footnoteReference w:id="7"/>
      </w:r>
      <w:r w:rsidRPr="000E09E3">
        <w:rPr>
          <w:lang w:val="en-AU"/>
        </w:rPr>
        <w:t xml:space="preserve"> </w:t>
      </w:r>
    </w:p>
    <w:p w14:paraId="051806DB" w14:textId="0D2B16D0" w:rsidR="00534FE9" w:rsidRDefault="00534FE9" w:rsidP="0026637C">
      <w:pPr>
        <w:pStyle w:val="ListParagraph"/>
        <w:spacing w:line="276" w:lineRule="auto"/>
        <w:rPr>
          <w:lang w:val="en-AU"/>
        </w:rPr>
      </w:pPr>
      <w:r w:rsidRPr="002637D5">
        <w:rPr>
          <w:b/>
          <w:bCs/>
          <w:lang w:val="en-AU"/>
        </w:rPr>
        <w:t>0%</w:t>
      </w:r>
      <w:r>
        <w:rPr>
          <w:lang w:val="en-AU"/>
        </w:rPr>
        <w:t xml:space="preserve"> of private rentals </w:t>
      </w:r>
      <w:r w:rsidR="00B80505">
        <w:rPr>
          <w:lang w:val="en-AU"/>
        </w:rPr>
        <w:t xml:space="preserve">are </w:t>
      </w:r>
      <w:r>
        <w:rPr>
          <w:lang w:val="en-AU"/>
        </w:rPr>
        <w:t>affordable for Tasmanians relying on income support payments</w:t>
      </w:r>
      <w:r w:rsidR="0026637C">
        <w:rPr>
          <w:lang w:val="en-AU"/>
        </w:rPr>
        <w:t>.</w:t>
      </w:r>
      <w:r>
        <w:rPr>
          <w:rStyle w:val="FootnoteReference"/>
          <w:lang w:val="en-AU"/>
        </w:rPr>
        <w:footnoteReference w:id="8"/>
      </w:r>
    </w:p>
    <w:p w14:paraId="05CBAB65" w14:textId="4916D313" w:rsidR="00534FE9" w:rsidRDefault="002E5631" w:rsidP="0026637C">
      <w:pPr>
        <w:pStyle w:val="ListParagraph"/>
        <w:spacing w:line="276" w:lineRule="auto"/>
        <w:rPr>
          <w:lang w:val="en-AU"/>
        </w:rPr>
      </w:pPr>
      <w:r>
        <w:rPr>
          <w:b/>
          <w:bCs/>
          <w:lang w:val="en-AU"/>
        </w:rPr>
        <w:t>5</w:t>
      </w:r>
      <w:r w:rsidR="004C0EAA">
        <w:rPr>
          <w:b/>
          <w:bCs/>
          <w:lang w:val="en-AU"/>
        </w:rPr>
        <w:t>,</w:t>
      </w:r>
      <w:r>
        <w:rPr>
          <w:b/>
          <w:bCs/>
          <w:lang w:val="en-AU"/>
        </w:rPr>
        <w:t>655</w:t>
      </w:r>
      <w:r w:rsidR="00534FE9">
        <w:rPr>
          <w:lang w:val="en-AU"/>
        </w:rPr>
        <w:t xml:space="preserve"> social housing register applications, up </w:t>
      </w:r>
      <w:r w:rsidR="004E47B8">
        <w:rPr>
          <w:lang w:val="en-AU"/>
        </w:rPr>
        <w:t>9.5</w:t>
      </w:r>
      <w:r w:rsidR="00534FE9">
        <w:rPr>
          <w:lang w:val="en-AU"/>
        </w:rPr>
        <w:t>% over 12 months</w:t>
      </w:r>
      <w:r w:rsidR="0026637C">
        <w:rPr>
          <w:lang w:val="en-AU"/>
        </w:rPr>
        <w:t>.</w:t>
      </w:r>
      <w:r w:rsidR="00534FE9">
        <w:rPr>
          <w:rStyle w:val="FootnoteReference"/>
          <w:lang w:val="en-AU"/>
        </w:rPr>
        <w:footnoteReference w:id="9"/>
      </w:r>
    </w:p>
    <w:p w14:paraId="717AFF21" w14:textId="0BAC4B82" w:rsidR="00534FE9" w:rsidRPr="000E09E3" w:rsidRDefault="004E47B8" w:rsidP="0026637C">
      <w:pPr>
        <w:pStyle w:val="ListParagraph"/>
        <w:spacing w:line="276" w:lineRule="auto"/>
        <w:rPr>
          <w:lang w:val="en-AU"/>
        </w:rPr>
      </w:pPr>
      <w:r>
        <w:rPr>
          <w:b/>
          <w:bCs/>
          <w:lang w:val="en-AU"/>
        </w:rPr>
        <w:t>88.6</w:t>
      </w:r>
      <w:r w:rsidR="00534FE9">
        <w:rPr>
          <w:lang w:val="en-AU"/>
        </w:rPr>
        <w:t xml:space="preserve"> weeks on average to house priority applicants</w:t>
      </w:r>
      <w:r w:rsidR="0026637C">
        <w:rPr>
          <w:lang w:val="en-AU"/>
        </w:rPr>
        <w:t>.</w:t>
      </w:r>
      <w:r w:rsidR="00534FE9">
        <w:rPr>
          <w:rStyle w:val="FootnoteReference"/>
          <w:lang w:val="en-AU"/>
        </w:rPr>
        <w:footnoteReference w:id="10"/>
      </w:r>
      <w:r w:rsidR="00534FE9">
        <w:rPr>
          <w:lang w:val="en-AU"/>
        </w:rPr>
        <w:t xml:space="preserve"> </w:t>
      </w:r>
    </w:p>
    <w:p w14:paraId="169A9318" w14:textId="5EDF6F57" w:rsidR="00534FE9" w:rsidRDefault="0054126B" w:rsidP="00534FE9">
      <w:pPr>
        <w:rPr>
          <w:b/>
          <w:lang w:val="en-AU"/>
        </w:rPr>
      </w:pPr>
      <w:r>
        <w:rPr>
          <w:b/>
          <w:lang w:val="en-AU"/>
        </w:rPr>
        <w:t xml:space="preserve">Figure 2: </w:t>
      </w:r>
      <w:r w:rsidR="00534FE9" w:rsidRPr="002637D5">
        <w:rPr>
          <w:b/>
          <w:lang w:val="en-AU"/>
        </w:rPr>
        <w:t xml:space="preserve"> </w:t>
      </w:r>
    </w:p>
    <w:p w14:paraId="4309CE2B" w14:textId="748D993E" w:rsidR="00534FE9" w:rsidRDefault="005769CF" w:rsidP="00534FE9">
      <w:pPr>
        <w:widowControl/>
        <w:autoSpaceDE/>
        <w:autoSpaceDN/>
        <w:spacing w:before="0" w:after="160" w:line="278" w:lineRule="auto"/>
      </w:pPr>
      <w:r>
        <w:rPr>
          <w:noProof/>
          <w14:ligatures w14:val="standardContextual"/>
        </w:rPr>
        <w:drawing>
          <wp:inline distT="0" distB="0" distL="0" distR="0" wp14:anchorId="773CE21F" wp14:editId="7C7E7B15">
            <wp:extent cx="6108700" cy="3995420"/>
            <wp:effectExtent l="0" t="0" r="6350" b="5080"/>
            <wp:docPr id="177939039" name="Chart 1" descr="Line graph showing the rental vacancy rate from June 2025 to June 2026. There is a line at the 3% mark representing the target vacancy rate. Lines for Hobart, Launceston and Burnie are clustered together below 1%.">
              <a:extLst xmlns:a="http://schemas.openxmlformats.org/drawingml/2006/main">
                <a:ext uri="{FF2B5EF4-FFF2-40B4-BE49-F238E27FC236}">
                  <a16:creationId xmlns:a16="http://schemas.microsoft.com/office/drawing/2014/main" id="{811D9F4D-6B40-0C73-4D6F-85F3DF027B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1111C5" w14:textId="6C2F042C" w:rsidR="00534FE9" w:rsidRPr="00985072" w:rsidRDefault="00534FE9" w:rsidP="00985072">
      <w:pPr>
        <w:rPr>
          <w:lang w:val="en-AU"/>
        </w:rPr>
      </w:pPr>
      <w:r w:rsidRPr="005C6123">
        <w:rPr>
          <w:lang w:val="en-AU"/>
        </w:rPr>
        <w:t xml:space="preserve">Data source: </w:t>
      </w:r>
      <w:r w:rsidRPr="005C6123">
        <w:rPr>
          <w:i/>
          <w:iCs/>
          <w:lang w:val="en-AU"/>
        </w:rPr>
        <w:t>Homes Tasmania Dashboard</w:t>
      </w:r>
    </w:p>
    <w:p w14:paraId="4BA46757" w14:textId="616BCF14" w:rsidR="002D7363" w:rsidRPr="00106CFD" w:rsidRDefault="002D7363" w:rsidP="00B12873">
      <w:r w:rsidRPr="00106CFD">
        <w:lastRenderedPageBreak/>
        <w:t>Over the year, applications on the Housing Register have increased by 9.5%, and the average time to house priority applicants has also steadily increased:</w:t>
      </w:r>
    </w:p>
    <w:p w14:paraId="7D1D4C0B" w14:textId="77777777" w:rsidR="002D7363" w:rsidRDefault="002D7363" w:rsidP="00B12873"/>
    <w:p w14:paraId="67FB4139" w14:textId="285F14A8" w:rsidR="002D7363" w:rsidRPr="008941E1" w:rsidRDefault="002D7363" w:rsidP="002D7363">
      <w:pPr>
        <w:pStyle w:val="BodyText"/>
        <w:rPr>
          <w:b/>
          <w:bCs/>
        </w:rPr>
      </w:pPr>
      <w:r w:rsidRPr="008941E1">
        <w:rPr>
          <w:b/>
          <w:bCs/>
        </w:rPr>
        <w:t>Figure 3</w:t>
      </w:r>
      <w:r w:rsidR="008941E1" w:rsidRPr="008941E1">
        <w:rPr>
          <w:b/>
          <w:bCs/>
        </w:rPr>
        <w:t>:</w:t>
      </w:r>
    </w:p>
    <w:p w14:paraId="2D021208" w14:textId="77777777" w:rsidR="002D7363" w:rsidRDefault="002D7363" w:rsidP="00B12873">
      <w:r>
        <w:rPr>
          <w:noProof/>
        </w:rPr>
        <w:drawing>
          <wp:inline distT="0" distB="0" distL="0" distR="0" wp14:anchorId="4CB01316" wp14:editId="5B6B1D4B">
            <wp:extent cx="4572000" cy="2743200"/>
            <wp:effectExtent l="0" t="0" r="0" b="0"/>
            <wp:docPr id="276209740" name="Chart 1" descr="Line graph showing aplications on the Tasmanian Housing Register.&#10;The line starts at 5,163 in June 2025 and steadily climbs to 5,655 in June 2026.">
              <a:extLst xmlns:a="http://schemas.openxmlformats.org/drawingml/2006/main">
                <a:ext uri="{FF2B5EF4-FFF2-40B4-BE49-F238E27FC236}">
                  <a16:creationId xmlns:a16="http://schemas.microsoft.com/office/drawing/2014/main" id="{BDB637A0-69F3-9EB5-43AE-92BE7170ED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7A8D14" w14:textId="77777777" w:rsidR="002D7363" w:rsidRDefault="002D7363" w:rsidP="00B12873"/>
    <w:p w14:paraId="4F831FBE" w14:textId="77777777" w:rsidR="002D7363" w:rsidRDefault="002D7363" w:rsidP="00B12873">
      <w:r>
        <w:t xml:space="preserve">Source: </w:t>
      </w:r>
      <w:r w:rsidRPr="008941E1">
        <w:rPr>
          <w:i/>
          <w:iCs/>
        </w:rPr>
        <w:t>Homes Tasmania Dashboard</w:t>
      </w:r>
    </w:p>
    <w:p w14:paraId="74658FF1" w14:textId="77777777" w:rsidR="002D7363" w:rsidRDefault="002D7363" w:rsidP="00B12873"/>
    <w:p w14:paraId="774FFB2C" w14:textId="7FF41877" w:rsidR="002D7363" w:rsidRDefault="002D7363" w:rsidP="00B12873"/>
    <w:p w14:paraId="5263B31B" w14:textId="77777777" w:rsidR="002D7363" w:rsidRPr="008941E1" w:rsidRDefault="002D7363" w:rsidP="00B12873">
      <w:pPr>
        <w:rPr>
          <w:b/>
          <w:bCs/>
        </w:rPr>
      </w:pPr>
      <w:r w:rsidRPr="008941E1">
        <w:rPr>
          <w:b/>
          <w:bCs/>
        </w:rPr>
        <w:t>Figure 4:</w:t>
      </w:r>
    </w:p>
    <w:p w14:paraId="55DAF0D8" w14:textId="77777777" w:rsidR="002D7363" w:rsidRDefault="002D7363" w:rsidP="00B12873">
      <w:r>
        <w:rPr>
          <w:noProof/>
        </w:rPr>
        <w:drawing>
          <wp:inline distT="0" distB="0" distL="0" distR="0" wp14:anchorId="383568E3" wp14:editId="3F41CFAD">
            <wp:extent cx="4772025" cy="2928937"/>
            <wp:effectExtent l="0" t="0" r="9525" b="5080"/>
            <wp:docPr id="215981275" name="Chart 1" descr="Line graph showing average time taken to house priority applicants, in weeks, as a rolling 12-month average. The line starts at 79.1 in June 2025 and steadily climbs to 88.6 in June 2026.">
              <a:extLst xmlns:a="http://schemas.openxmlformats.org/drawingml/2006/main">
                <a:ext uri="{FF2B5EF4-FFF2-40B4-BE49-F238E27FC236}">
                  <a16:creationId xmlns:a16="http://schemas.microsoft.com/office/drawing/2014/main" id="{C6259DED-050C-4519-EAC8-56B077085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B5666BC" w14:textId="77777777" w:rsidR="002D7363" w:rsidRDefault="002D7363" w:rsidP="00B12873"/>
    <w:p w14:paraId="474F6361" w14:textId="63343081" w:rsidR="002D7363" w:rsidRDefault="002D7363">
      <w:pPr>
        <w:widowControl/>
        <w:autoSpaceDE/>
        <w:autoSpaceDN/>
        <w:spacing w:before="0" w:after="160" w:line="278" w:lineRule="auto"/>
        <w:rPr>
          <w:rFonts w:ascii="Avenir Next Demi Bold" w:eastAsia="AvenirNextLTPro-Demi" w:hAnsi="Avenir Next Demi Bold" w:cs="AvenirNextLTPro-Demi"/>
          <w:b/>
          <w:bCs/>
          <w:color w:val="1598CB"/>
          <w:sz w:val="48"/>
          <w:szCs w:val="48"/>
          <w:lang w:val="en-AU"/>
        </w:rPr>
      </w:pPr>
      <w:r>
        <w:t xml:space="preserve">Source: </w:t>
      </w:r>
      <w:r w:rsidRPr="002D7363">
        <w:rPr>
          <w:i/>
          <w:iCs/>
        </w:rPr>
        <w:t>Homes Tasmania Dashboard</w:t>
      </w:r>
      <w:r>
        <w:br w:type="page"/>
      </w:r>
    </w:p>
    <w:p w14:paraId="056AEDE0" w14:textId="5B53D5D7" w:rsidR="003C0B7A" w:rsidRPr="003C0B7A" w:rsidRDefault="003C0B7A" w:rsidP="003C0B7A">
      <w:pPr>
        <w:pStyle w:val="Heading1"/>
      </w:pPr>
      <w:r>
        <w:lastRenderedPageBreak/>
        <w:t xml:space="preserve">The </w:t>
      </w:r>
      <w:r w:rsidR="006C2FA5">
        <w:t>2025/26 year in review</w:t>
      </w:r>
    </w:p>
    <w:p w14:paraId="035BA4A2" w14:textId="380DCF50" w:rsidR="00512E56" w:rsidRDefault="00512E56" w:rsidP="00512E56">
      <w:r>
        <w:t>1 July 2025 to 30 June 2026 was the second year of the Housing Connect 2.0 model.</w:t>
      </w:r>
    </w:p>
    <w:p w14:paraId="275717AD" w14:textId="77777777" w:rsidR="00512E56" w:rsidRDefault="00512E56" w:rsidP="00512E56">
      <w:pPr>
        <w:pStyle w:val="Heading3"/>
      </w:pPr>
      <w:r>
        <w:t>South</w:t>
      </w:r>
    </w:p>
    <w:p w14:paraId="5334177F" w14:textId="77777777" w:rsidR="00512E56" w:rsidRDefault="00512E56" w:rsidP="00512E56">
      <w:pPr>
        <w:pStyle w:val="BodyText"/>
      </w:pPr>
      <w:r w:rsidRPr="003C0B7A">
        <w:t>In the South of the state, the Housing Connect Front Door has increase</w:t>
      </w:r>
      <w:r>
        <w:t>d</w:t>
      </w:r>
      <w:r w:rsidRPr="003C0B7A">
        <w:t xml:space="preserve"> outreach activity over the past year, with a stronger focus on proactively engaging with the local community and reducing barriers to accessing the service.</w:t>
      </w:r>
      <w:r>
        <w:t xml:space="preserve"> </w:t>
      </w:r>
      <w:r w:rsidRPr="003C0B7A">
        <w:t>This has included fortnightly outreach in the Huon Valley, as well as twice-weekly outreach at Safe Space. The Safe Space outreach has been particularly focused on supporting people who may find it difficult to transition from an existing service or environment and engage with a new service.</w:t>
      </w:r>
    </w:p>
    <w:p w14:paraId="10764033" w14:textId="77777777" w:rsidR="00512E56" w:rsidRDefault="00512E56" w:rsidP="00512E56">
      <w:pPr>
        <w:pStyle w:val="Heading3"/>
      </w:pPr>
      <w:r>
        <w:t xml:space="preserve">North </w:t>
      </w:r>
    </w:p>
    <w:p w14:paraId="1EE3BD3B" w14:textId="77777777" w:rsidR="0026637C" w:rsidRDefault="00512E56" w:rsidP="00512E56">
      <w:pPr>
        <w:pStyle w:val="BodyText"/>
      </w:pPr>
      <w:r>
        <w:t xml:space="preserve">In the </w:t>
      </w:r>
      <w:r w:rsidRPr="00F145B7">
        <w:t>North</w:t>
      </w:r>
      <w:r>
        <w:t>, the Front Door</w:t>
      </w:r>
      <w:r w:rsidRPr="00F145B7">
        <w:t xml:space="preserve"> have continued to attend walk throughs of </w:t>
      </w:r>
      <w:r>
        <w:t xml:space="preserve">adult supported accommodation sites, </w:t>
      </w:r>
      <w:r w:rsidRPr="00F145B7">
        <w:t xml:space="preserve">temporary stay </w:t>
      </w:r>
      <w:r>
        <w:t>h</w:t>
      </w:r>
      <w:r w:rsidRPr="00F145B7">
        <w:t>ouses and Safe Space locations to familiarise the Connections Coaches with their sites. Valuable information on referral process was discussed and shared to best benefit</w:t>
      </w:r>
      <w:r>
        <w:t xml:space="preserve"> Housing Connect</w:t>
      </w:r>
      <w:r w:rsidR="00DC11CE">
        <w:t xml:space="preserve"> Front Door</w:t>
      </w:r>
      <w:r w:rsidRPr="00F145B7">
        <w:t xml:space="preserve"> clients and their referrals to these locations.</w:t>
      </w:r>
    </w:p>
    <w:p w14:paraId="2389AEEF" w14:textId="1D59F39E" w:rsidR="00512E56" w:rsidRDefault="00512E56" w:rsidP="00512E56">
      <w:pPr>
        <w:pStyle w:val="BodyText"/>
      </w:pPr>
      <w:r w:rsidRPr="00F145B7">
        <w:t>The North have also started a trial with outreach to National Job Link, to support</w:t>
      </w:r>
      <w:r>
        <w:t xml:space="preserve"> </w:t>
      </w:r>
      <w:r w:rsidRPr="00F145B7">
        <w:t>clients who feel safe attending the N</w:t>
      </w:r>
      <w:r>
        <w:t xml:space="preserve">ational </w:t>
      </w:r>
      <w:r w:rsidRPr="00F145B7">
        <w:t>J</w:t>
      </w:r>
      <w:r>
        <w:t xml:space="preserve">ob </w:t>
      </w:r>
      <w:r w:rsidRPr="00F145B7">
        <w:t>L</w:t>
      </w:r>
      <w:r>
        <w:t>ink</w:t>
      </w:r>
      <w:r w:rsidRPr="00F145B7">
        <w:t xml:space="preserve"> site for Housing Connect </w:t>
      </w:r>
      <w:r w:rsidR="00DC11CE">
        <w:t xml:space="preserve">Front Door </w:t>
      </w:r>
      <w:r w:rsidRPr="00F145B7">
        <w:t xml:space="preserve">appointments to bridge the gap in missed servicing and to support the clients to eventually feel comfortable attending </w:t>
      </w:r>
      <w:r>
        <w:t xml:space="preserve">the </w:t>
      </w:r>
      <w:r w:rsidRPr="00F145B7">
        <w:t>H</w:t>
      </w:r>
      <w:r>
        <w:t xml:space="preserve">ousing </w:t>
      </w:r>
      <w:r w:rsidRPr="00F145B7">
        <w:t>C</w:t>
      </w:r>
      <w:r>
        <w:t xml:space="preserve">onnect </w:t>
      </w:r>
      <w:r w:rsidRPr="00F145B7">
        <w:t>F</w:t>
      </w:r>
      <w:r>
        <w:t xml:space="preserve">ront </w:t>
      </w:r>
      <w:r w:rsidRPr="00F145B7">
        <w:t>D</w:t>
      </w:r>
      <w:r>
        <w:t>oor</w:t>
      </w:r>
      <w:r w:rsidRPr="00F145B7">
        <w:t>.</w:t>
      </w:r>
      <w:r w:rsidR="00DD4568">
        <w:t xml:space="preserve"> A similar trial with Safe Day Space has also commenced.</w:t>
      </w:r>
    </w:p>
    <w:p w14:paraId="7408C875" w14:textId="77777777" w:rsidR="00512E56" w:rsidRPr="003C0B7A" w:rsidRDefault="00512E56" w:rsidP="00512E56">
      <w:pPr>
        <w:pStyle w:val="Heading3"/>
      </w:pPr>
      <w:r>
        <w:t>North West</w:t>
      </w:r>
    </w:p>
    <w:p w14:paraId="0FFF3535" w14:textId="3CD8BF26" w:rsidR="00512E56" w:rsidRPr="003C0B7A" w:rsidRDefault="00512E56" w:rsidP="00512E56">
      <w:pPr>
        <w:pStyle w:val="BodyText"/>
      </w:pPr>
      <w:r w:rsidRPr="003C0B7A">
        <w:t xml:space="preserve">Providing equitable access to services across Tasmania's remote West Coast communities has long been a challenge. Significant staff travel, unpredictable weather, road closures, and safety concerns can all affect service delivery. At the same time, many people face barriers of their own, including limited transport, communication difficulties, and a lack of trust in services that are not consistently present in their community. Together, these challenges can make it difficult for people to access the Housing Connect </w:t>
      </w:r>
      <w:r w:rsidR="00D13C2A">
        <w:t xml:space="preserve">Front Door </w:t>
      </w:r>
      <w:r w:rsidRPr="003C0B7A">
        <w:t xml:space="preserve">support they need. Recognising these realities, Housing Connect </w:t>
      </w:r>
      <w:r w:rsidR="00D13C2A">
        <w:t xml:space="preserve">Front Door </w:t>
      </w:r>
      <w:r w:rsidRPr="003C0B7A">
        <w:t>has been working alongside local communities and service providers to find new ways of bringing services closer to people.</w:t>
      </w:r>
    </w:p>
    <w:p w14:paraId="4CA8D9BE" w14:textId="71002127" w:rsidR="00512E56" w:rsidRDefault="00512E56" w:rsidP="00512E56">
      <w:pPr>
        <w:pStyle w:val="BodyText"/>
      </w:pPr>
      <w:r w:rsidRPr="003C0B7A">
        <w:t xml:space="preserve">Housing Connect </w:t>
      </w:r>
      <w:r>
        <w:t xml:space="preserve">Front Door </w:t>
      </w:r>
      <w:r w:rsidRPr="003C0B7A">
        <w:t xml:space="preserve">North West has established partnerships with Rural Health Queenstown and Rosebery Community House to launch a weekly Video Consultation Trial. These organisations will act as Video Consultation Host Sites, providing a welcoming and private space where clients can connect directly with Housing Connect </w:t>
      </w:r>
      <w:r w:rsidR="00A649D4">
        <w:t xml:space="preserve">Front Door </w:t>
      </w:r>
      <w:r w:rsidRPr="003C0B7A">
        <w:t xml:space="preserve">workers. </w:t>
      </w:r>
    </w:p>
    <w:p w14:paraId="04B61D4D" w14:textId="77777777" w:rsidR="00512E56" w:rsidRPr="003C0B7A" w:rsidRDefault="00512E56" w:rsidP="00512E56">
      <w:pPr>
        <w:pStyle w:val="BodyText"/>
      </w:pPr>
      <w:r w:rsidRPr="003C0B7A">
        <w:t>Unlike a phone call, video consultations allow face-to-face interaction, helping to build trust and strengthen relationships. Workers can observe body language, facial expressions, and emotional responses, leading to a better understanding of each person's circumstances and needs. The combination of trusted local host sites and face-to-face video engagement offers a middle ground between traditional outreach and telephone-based support, preserving the human connection that is essential for building trust while overcoming the barriers of distance and travel.</w:t>
      </w:r>
    </w:p>
    <w:p w14:paraId="598ECD31" w14:textId="77777777" w:rsidR="00512E56" w:rsidRDefault="00512E56" w:rsidP="00512E56">
      <w:pPr>
        <w:pStyle w:val="BodyText"/>
      </w:pPr>
      <w:r w:rsidRPr="003C0B7A">
        <w:t xml:space="preserve">The six-month trial, running from September 2026 to March 2027, represents an opportunity to test a more accessible, flexible, and sustainable model of service delivery. The project will assess community demand for video consultations and their effectiveness in improving access to services and client </w:t>
      </w:r>
      <w:r w:rsidRPr="003C0B7A">
        <w:lastRenderedPageBreak/>
        <w:t>outcomes. Success will mean more people receiving support when they need it, fewer barriers caused by distance and travel, stronger partnerships between local services, and valuable insights into how technology can enhance future service delivery across Tasmania's remote communities.</w:t>
      </w:r>
    </w:p>
    <w:p w14:paraId="18CB2C08" w14:textId="794E93F9" w:rsidR="00512E56" w:rsidRDefault="00512E56" w:rsidP="00512E56">
      <w:pPr>
        <w:pStyle w:val="Heading2"/>
      </w:pPr>
      <w:r>
        <w:t>Support provided in 2025/26</w:t>
      </w:r>
    </w:p>
    <w:p w14:paraId="35CB991A" w14:textId="77777777" w:rsidR="00F145B7" w:rsidRDefault="00F145B7" w:rsidP="00F145B7">
      <w:r>
        <w:t>From 1 July 2025 to 30 June 2026, the Housing Connect Front Door:</w:t>
      </w:r>
    </w:p>
    <w:p w14:paraId="5EBD54F5" w14:textId="77777777" w:rsidR="00F145B7" w:rsidRDefault="00F145B7" w:rsidP="0026637C">
      <w:pPr>
        <w:pStyle w:val="Bullets"/>
        <w:spacing w:line="276" w:lineRule="auto"/>
      </w:pPr>
      <w:r>
        <w:t>responded to 52,273 enquiries (an increase of 7% compared to 2024/25)</w:t>
      </w:r>
    </w:p>
    <w:p w14:paraId="20712508" w14:textId="77777777" w:rsidR="00F145B7" w:rsidRDefault="00F145B7" w:rsidP="0026637C">
      <w:pPr>
        <w:pStyle w:val="Bullets"/>
        <w:spacing w:line="276" w:lineRule="auto"/>
      </w:pPr>
      <w:r>
        <w:t xml:space="preserve">provided 7,125 periods of support to 5,306 Tasmanians </w:t>
      </w:r>
    </w:p>
    <w:p w14:paraId="2FA65835" w14:textId="21DF4931" w:rsidR="00F145B7" w:rsidRDefault="00F145B7" w:rsidP="0026637C">
      <w:pPr>
        <w:pStyle w:val="Bullets"/>
        <w:spacing w:line="276" w:lineRule="auto"/>
      </w:pPr>
      <w:r>
        <w:t>provided 331 periods of support to children under 18 who presented alone</w:t>
      </w:r>
      <w:r w:rsidR="0026637C">
        <w:t>.</w:t>
      </w:r>
      <w:r>
        <w:t xml:space="preserve"> </w:t>
      </w:r>
    </w:p>
    <w:p w14:paraId="67170F9D" w14:textId="77777777" w:rsidR="00F145B7" w:rsidRDefault="00F145B7" w:rsidP="00F145B7">
      <w:pPr>
        <w:pStyle w:val="BodyText"/>
      </w:pPr>
      <w:r>
        <w:t>The main reasons people sought support over the year were:</w:t>
      </w:r>
    </w:p>
    <w:p w14:paraId="7ABEF2BE" w14:textId="77777777" w:rsidR="00F145B7" w:rsidRDefault="00F145B7" w:rsidP="0026637C">
      <w:pPr>
        <w:pStyle w:val="Bullets"/>
        <w:spacing w:line="276" w:lineRule="auto"/>
      </w:pPr>
      <w:r>
        <w:t>housing crisis (1943)</w:t>
      </w:r>
    </w:p>
    <w:p w14:paraId="0A7354C5" w14:textId="77777777" w:rsidR="00F145B7" w:rsidRDefault="00F145B7" w:rsidP="0026637C">
      <w:pPr>
        <w:pStyle w:val="Bullets"/>
        <w:spacing w:line="276" w:lineRule="auto"/>
      </w:pPr>
      <w:r>
        <w:t>inadequate or inappropriate dwelling conditions (1417)</w:t>
      </w:r>
    </w:p>
    <w:p w14:paraId="0587B2DB" w14:textId="77777777" w:rsidR="00F145B7" w:rsidRDefault="00F145B7" w:rsidP="0026637C">
      <w:pPr>
        <w:pStyle w:val="Bullets"/>
        <w:spacing w:line="276" w:lineRule="auto"/>
      </w:pPr>
      <w:r>
        <w:t xml:space="preserve">housing affordability stress (752) </w:t>
      </w:r>
    </w:p>
    <w:p w14:paraId="41E53242" w14:textId="77777777" w:rsidR="00F145B7" w:rsidRDefault="00F145B7" w:rsidP="0026637C">
      <w:pPr>
        <w:pStyle w:val="Bullets"/>
        <w:spacing w:line="276" w:lineRule="auto"/>
      </w:pPr>
      <w:r>
        <w:t>domestic and family violence (579)</w:t>
      </w:r>
    </w:p>
    <w:p w14:paraId="10C5D862" w14:textId="77777777" w:rsidR="00F145B7" w:rsidRDefault="00F145B7" w:rsidP="0026637C">
      <w:pPr>
        <w:pStyle w:val="Bullets"/>
        <w:spacing w:line="276" w:lineRule="auto"/>
      </w:pPr>
      <w:r>
        <w:t>financial difficulties (469).</w:t>
      </w:r>
    </w:p>
    <w:p w14:paraId="110AE93E" w14:textId="77777777" w:rsidR="00F145B7" w:rsidRPr="002D7363" w:rsidRDefault="00F145B7" w:rsidP="00F145B7">
      <w:pPr>
        <w:pStyle w:val="BodyText"/>
      </w:pPr>
      <w:r>
        <w:t>On average, the Front Door:</w:t>
      </w:r>
    </w:p>
    <w:p w14:paraId="6AA2A77E" w14:textId="77777777" w:rsidR="00F145B7" w:rsidRDefault="00F145B7" w:rsidP="0026637C">
      <w:pPr>
        <w:pStyle w:val="Bullets"/>
        <w:spacing w:line="276" w:lineRule="auto"/>
      </w:pPr>
      <w:r>
        <w:t xml:space="preserve">met 90% of non-housing client needs </w:t>
      </w:r>
    </w:p>
    <w:p w14:paraId="7D0080E9" w14:textId="77777777" w:rsidR="00F145B7" w:rsidRPr="008941E1" w:rsidRDefault="00F145B7" w:rsidP="0026637C">
      <w:pPr>
        <w:pStyle w:val="Bullets"/>
        <w:spacing w:line="276" w:lineRule="auto"/>
      </w:pPr>
      <w:r>
        <w:t xml:space="preserve">met 15% of client need for short-, medium- and long-term housing. </w:t>
      </w:r>
    </w:p>
    <w:p w14:paraId="175E5951" w14:textId="77777777" w:rsidR="00F145B7" w:rsidRDefault="00F145B7" w:rsidP="00F145B7">
      <w:pPr>
        <w:pStyle w:val="BodyText"/>
        <w:rPr>
          <w:lang w:val="en-GB"/>
        </w:rPr>
      </w:pPr>
      <w:r>
        <w:t>Over the year, a</w:t>
      </w:r>
      <w:proofErr w:type="spellStart"/>
      <w:r w:rsidRPr="00682641">
        <w:rPr>
          <w:lang w:val="en-GB"/>
        </w:rPr>
        <w:t>bout</w:t>
      </w:r>
      <w:proofErr w:type="spellEnd"/>
      <w:r w:rsidRPr="00682641">
        <w:rPr>
          <w:lang w:val="en-GB"/>
        </w:rPr>
        <w:t xml:space="preserve"> half of all support periods involved people who had been homeless within the last 12 months</w:t>
      </w:r>
      <w:r>
        <w:rPr>
          <w:lang w:val="en-GB"/>
        </w:rPr>
        <w:t>.</w:t>
      </w:r>
      <w:r>
        <w:rPr>
          <w:rStyle w:val="FootnoteReference"/>
          <w:lang w:val="en-GB"/>
        </w:rPr>
        <w:footnoteReference w:id="11"/>
      </w:r>
      <w:r>
        <w:rPr>
          <w:lang w:val="en-GB"/>
        </w:rPr>
        <w:t xml:space="preserve"> The story of Kris and Tim, below, provides an example of an experience of homelessness prior to reaching out to the Housing Connect Front Door.</w:t>
      </w:r>
    </w:p>
    <w:p w14:paraId="199536D8" w14:textId="77777777" w:rsidR="00F145B7" w:rsidRDefault="00F145B7" w:rsidP="00F145B7">
      <w:pPr>
        <w:pStyle w:val="BodyText"/>
      </w:pPr>
      <w:r>
        <w:t>Episodes of homelessness are a consequence of the ongoing lack of available and affordable housing and continued deterioration in housing system indicators set out above. Government responses should include:</w:t>
      </w:r>
    </w:p>
    <w:p w14:paraId="0C65BBB6" w14:textId="0D84FAE5" w:rsidR="00F145B7" w:rsidRDefault="0026637C" w:rsidP="0026637C">
      <w:pPr>
        <w:pStyle w:val="Bullets"/>
        <w:spacing w:line="276" w:lineRule="auto"/>
      </w:pPr>
      <w:r>
        <w:t>i</w:t>
      </w:r>
      <w:r w:rsidR="00F145B7" w:rsidRPr="004D3DE3">
        <w:t>ncreas</w:t>
      </w:r>
      <w:r w:rsidR="00F145B7">
        <w:t xml:space="preserve">ing </w:t>
      </w:r>
      <w:r w:rsidR="00F145B7" w:rsidRPr="004D3DE3">
        <w:t>social housing sufficient</w:t>
      </w:r>
      <w:r w:rsidR="00DC11CE">
        <w:t>ly</w:t>
      </w:r>
      <w:r w:rsidR="00F145B7" w:rsidRPr="004D3DE3">
        <w:t xml:space="preserve"> to reduce the number of people on the social housing register</w:t>
      </w:r>
    </w:p>
    <w:p w14:paraId="35DEF448" w14:textId="59D6A4EB" w:rsidR="00F145B7" w:rsidRPr="00162537" w:rsidRDefault="0026637C" w:rsidP="0026637C">
      <w:pPr>
        <w:pStyle w:val="Bullets"/>
        <w:spacing w:line="276" w:lineRule="auto"/>
      </w:pPr>
      <w:r>
        <w:t>a</w:t>
      </w:r>
      <w:r w:rsidR="00F145B7">
        <w:t>ctive intervention to raise</w:t>
      </w:r>
      <w:r w:rsidR="00F145B7" w:rsidRPr="004D3DE3">
        <w:t xml:space="preserve"> the vacancy rate toward a 3% target</w:t>
      </w:r>
    </w:p>
    <w:p w14:paraId="454E4CB7" w14:textId="7CA2E3A7" w:rsidR="00F145B7" w:rsidRPr="004D3DE3" w:rsidRDefault="0026637C" w:rsidP="0026637C">
      <w:pPr>
        <w:pStyle w:val="Bullets"/>
        <w:spacing w:line="276" w:lineRule="auto"/>
      </w:pPr>
      <w:r>
        <w:t>e</w:t>
      </w:r>
      <w:r w:rsidR="00F145B7" w:rsidRPr="004D3DE3">
        <w:t>ffective initiatives to provide appropriate housing for people with complex needs including those with mental health challenges or escaping domestic and family violence</w:t>
      </w:r>
      <w:r w:rsidR="00F145B7">
        <w:t>.</w:t>
      </w:r>
    </w:p>
    <w:p w14:paraId="4698B1FF" w14:textId="77777777" w:rsidR="00F145B7" w:rsidRDefault="00F145B7" w:rsidP="00282792">
      <w:pPr>
        <w:pStyle w:val="Bullets"/>
        <w:numPr>
          <w:ilvl w:val="0"/>
          <w:numId w:val="0"/>
        </w:numPr>
      </w:pPr>
    </w:p>
    <w:p w14:paraId="306F9839" w14:textId="77777777" w:rsidR="00F30346" w:rsidRDefault="00F30346">
      <w:pPr>
        <w:widowControl/>
        <w:autoSpaceDE/>
        <w:autoSpaceDN/>
        <w:spacing w:before="0" w:after="160" w:line="278" w:lineRule="auto"/>
        <w:rPr>
          <w:rFonts w:eastAsia="Times New Roman" w:cs="Calibri"/>
          <w:i/>
          <w:iCs/>
          <w:spacing w:val="-2"/>
          <w:sz w:val="36"/>
          <w:szCs w:val="36"/>
          <w:lang w:val="en-AU"/>
        </w:rPr>
      </w:pPr>
      <w:r>
        <w:br w:type="page"/>
      </w:r>
    </w:p>
    <w:p w14:paraId="67E1EB29" w14:textId="59BA5AF8" w:rsidR="00F145B7" w:rsidRPr="0023708D" w:rsidRDefault="00F145B7" w:rsidP="00F30346">
      <w:pPr>
        <w:pStyle w:val="Breakout"/>
      </w:pPr>
      <w:r w:rsidRPr="0023708D">
        <w:lastRenderedPageBreak/>
        <w:t>Kris</w:t>
      </w:r>
      <w:r w:rsidR="00F30346">
        <w:t xml:space="preserve"> </w:t>
      </w:r>
      <w:r w:rsidRPr="0023708D">
        <w:t>and Ti</w:t>
      </w:r>
      <w:r w:rsidR="00F30346">
        <w:t>m’s story</w:t>
      </w:r>
    </w:p>
    <w:p w14:paraId="61076633" w14:textId="15D5975F" w:rsidR="00F145B7" w:rsidRDefault="00F145B7" w:rsidP="0026637C">
      <w:pPr>
        <w:pStyle w:val="BodyText"/>
      </w:pPr>
      <w:r>
        <w:t>Kris</w:t>
      </w:r>
      <w:r w:rsidR="00F30346">
        <w:t>*</w:t>
      </w:r>
      <w:r>
        <w:t xml:space="preserve"> and his cousin Tim</w:t>
      </w:r>
      <w:r w:rsidR="00F30346">
        <w:t>*</w:t>
      </w:r>
      <w:r>
        <w:t xml:space="preserve"> were good mates growing up. Later they lost touch and ended up living in different states. Kris went through a hard time and spent years struggling to keep a roof over his head. For a while he slept rough in a mainland city, and he was staying in a crisis shelter when he heard through family that his younger cousin Tim had just become homeless in Tasmania.</w:t>
      </w:r>
    </w:p>
    <w:p w14:paraId="73E8985A" w14:textId="77777777" w:rsidR="00F145B7" w:rsidRDefault="00F145B7" w:rsidP="0026637C">
      <w:pPr>
        <w:pStyle w:val="BodyText"/>
      </w:pPr>
      <w:r>
        <w:t>Tim left a family violence situation that had become unsafe, knowing he had nowhere to go. He had no idea how to live day to day or where to start with getting help. His elderly grandparents were worried about him, but frail and living in residential care, there was little they could do. When Kris rang them to find out more about the situation, he realised he could help. He had a little money saved – not enough for housing, but enough for a cheap flight.</w:t>
      </w:r>
    </w:p>
    <w:p w14:paraId="3D29AF21" w14:textId="6D8713A2" w:rsidR="00F145B7" w:rsidRDefault="00F145B7" w:rsidP="0026637C">
      <w:pPr>
        <w:pStyle w:val="BodyText"/>
      </w:pPr>
      <w:r>
        <w:t>Soon Kris was in Tasmania, looking for his cousin. He tracked Tim down and helped him find a safe place to sleep. His experience with the service system led him to Housing Connect</w:t>
      </w:r>
      <w:r w:rsidR="00D13C2A">
        <w:t xml:space="preserve"> Front Door</w:t>
      </w:r>
      <w:r>
        <w:t xml:space="preserve">, where the cousins each worked with a Connections Coach. Tim’s Connections Coach suggested the cousins team up to get a private rental together, as this would be more economical than living separately. The Connections Coach had a good professional relationship with a local real estate agent and advocated for the cousins to be considered for a private rental. Housing Connect </w:t>
      </w:r>
      <w:r w:rsidR="00D106F1">
        <w:t xml:space="preserve">Front Door </w:t>
      </w:r>
      <w:r>
        <w:t xml:space="preserve">helped them with bond assistance, two week’s rent in advance, and some essential furniture. </w:t>
      </w:r>
    </w:p>
    <w:p w14:paraId="03305757" w14:textId="77777777" w:rsidR="00F145B7" w:rsidRDefault="00F145B7" w:rsidP="0026637C">
      <w:pPr>
        <w:pStyle w:val="BodyText"/>
      </w:pPr>
      <w:r>
        <w:t xml:space="preserve">With help and support, Tim was able to settle into the private rental after being homeless for a few months, while Kris realised that a fresh start in a new state opened up the possibility of finding employment. </w:t>
      </w:r>
    </w:p>
    <w:p w14:paraId="7093499E" w14:textId="77777777" w:rsidR="00F145B7" w:rsidRDefault="00F145B7" w:rsidP="0026637C">
      <w:pPr>
        <w:pStyle w:val="BodyText"/>
      </w:pPr>
      <w:r>
        <w:t>*Names and some details changed to protect privacy.</w:t>
      </w:r>
    </w:p>
    <w:p w14:paraId="711CBBF6" w14:textId="386E3C59" w:rsidR="002D7363" w:rsidRDefault="002D7363" w:rsidP="00282792">
      <w:pPr>
        <w:pStyle w:val="Bullets"/>
      </w:pPr>
      <w:r>
        <w:br w:type="page"/>
      </w:r>
    </w:p>
    <w:p w14:paraId="488AD714" w14:textId="69266AA6" w:rsidR="009F3010" w:rsidRPr="00B82F87" w:rsidRDefault="009F3010">
      <w:pPr>
        <w:pStyle w:val="Heading1"/>
      </w:pPr>
      <w:r w:rsidRPr="00B82F87">
        <w:lastRenderedPageBreak/>
        <w:t>Recommendations</w:t>
      </w:r>
    </w:p>
    <w:p w14:paraId="116A0232" w14:textId="77777777" w:rsidR="009F3010" w:rsidRPr="00342035" w:rsidRDefault="009F3010">
      <w:pPr>
        <w:widowControl/>
        <w:autoSpaceDE/>
        <w:autoSpaceDN/>
        <w:spacing w:after="160" w:line="259" w:lineRule="auto"/>
        <w:rPr>
          <w:i/>
          <w:iCs/>
          <w:lang w:val="en-AU"/>
        </w:rPr>
      </w:pPr>
      <w:r w:rsidRPr="00342035">
        <w:rPr>
          <w:szCs w:val="24"/>
          <w:lang w:val="en-AU"/>
        </w:rPr>
        <w:t>Anglicare Tasmania continues to recommend that the Federal Government increases income support payments above the poverty line.</w:t>
      </w:r>
    </w:p>
    <w:p w14:paraId="2AE2E92B" w14:textId="77777777" w:rsidR="009F3010" w:rsidRPr="004D4476" w:rsidRDefault="009F3010">
      <w:pPr>
        <w:pStyle w:val="BodyText"/>
        <w:rPr>
          <w:b/>
          <w:bCs/>
        </w:rPr>
      </w:pPr>
      <w:r w:rsidRPr="004D4476">
        <w:rPr>
          <w:b/>
          <w:bCs/>
        </w:rPr>
        <w:t>Anglicare Tasmania recommends that the Tasmanian Government:</w:t>
      </w:r>
    </w:p>
    <w:p w14:paraId="083657B9" w14:textId="60313FAC" w:rsidR="009F3010" w:rsidRDefault="009F3010" w:rsidP="009F3010">
      <w:pPr>
        <w:pStyle w:val="BodyText"/>
        <w:numPr>
          <w:ilvl w:val="0"/>
          <w:numId w:val="39"/>
        </w:numPr>
        <w:rPr>
          <w:b/>
        </w:rPr>
      </w:pPr>
      <w:r w:rsidRPr="00AD16B0">
        <w:rPr>
          <w:b/>
        </w:rPr>
        <w:t xml:space="preserve">Works with the Australian Government to scale up investment in long-term social housing. </w:t>
      </w:r>
    </w:p>
    <w:p w14:paraId="6EEEA7E2" w14:textId="77777777" w:rsidR="0069217C" w:rsidRPr="00162537" w:rsidRDefault="0069217C" w:rsidP="0069217C">
      <w:pPr>
        <w:pStyle w:val="BodyText"/>
        <w:numPr>
          <w:ilvl w:val="0"/>
          <w:numId w:val="39"/>
        </w:numPr>
      </w:pPr>
      <w:r w:rsidRPr="00162537">
        <w:rPr>
          <w:b/>
        </w:rPr>
        <w:t>Funds delivery of more crisis and transitional accommodation and long-term homes, including:</w:t>
      </w:r>
    </w:p>
    <w:p w14:paraId="54AB815C" w14:textId="65FCF5B7" w:rsidR="0069217C" w:rsidRPr="00162537" w:rsidRDefault="00261FCE" w:rsidP="0069217C">
      <w:pPr>
        <w:pStyle w:val="BodyText"/>
        <w:numPr>
          <w:ilvl w:val="0"/>
          <w:numId w:val="47"/>
        </w:numPr>
      </w:pPr>
      <w:r>
        <w:t>o</w:t>
      </w:r>
      <w:r w:rsidR="0069217C" w:rsidRPr="00162537">
        <w:t xml:space="preserve">ptions that are safe and suitable for people living with mental health conditions </w:t>
      </w:r>
    </w:p>
    <w:p w14:paraId="78DA6F59" w14:textId="346B59AE" w:rsidR="0069217C" w:rsidRPr="0069217C" w:rsidRDefault="00261FCE" w:rsidP="0069217C">
      <w:pPr>
        <w:pStyle w:val="BodyText"/>
        <w:numPr>
          <w:ilvl w:val="0"/>
          <w:numId w:val="47"/>
        </w:numPr>
      </w:pPr>
      <w:r>
        <w:t>i</w:t>
      </w:r>
      <w:r w:rsidR="0069217C" w:rsidRPr="00162537">
        <w:t>ncreasing options that are safe and suitable for victim-survivors of domestic and family violence to meet demand, based on the regional prevalence of domestic and family violence.</w:t>
      </w:r>
    </w:p>
    <w:p w14:paraId="27CFF6AD" w14:textId="77777777" w:rsidR="009F3010" w:rsidRPr="00AD16B0" w:rsidRDefault="009F3010" w:rsidP="009F3010">
      <w:pPr>
        <w:pStyle w:val="BodyText"/>
        <w:numPr>
          <w:ilvl w:val="0"/>
          <w:numId w:val="39"/>
        </w:numPr>
      </w:pPr>
      <w:r w:rsidRPr="00AD16B0">
        <w:rPr>
          <w:b/>
        </w:rPr>
        <w:t>Commits to reducing the harmful impacts of waiting for social housing</w:t>
      </w:r>
      <w:r w:rsidRPr="00AD16B0">
        <w:t xml:space="preserve"> by:</w:t>
      </w:r>
    </w:p>
    <w:p w14:paraId="7037139A" w14:textId="5C64A364" w:rsidR="009F3010" w:rsidRPr="006B2AFF" w:rsidRDefault="009F3010" w:rsidP="00162537">
      <w:pPr>
        <w:pStyle w:val="ListParagraph"/>
        <w:numPr>
          <w:ilvl w:val="1"/>
          <w:numId w:val="39"/>
        </w:numPr>
        <w:rPr>
          <w:lang w:val="en-AU"/>
        </w:rPr>
      </w:pPr>
      <w:r w:rsidRPr="006B2AFF">
        <w:rPr>
          <w:lang w:val="en-AU"/>
        </w:rPr>
        <w:t>establishing targets in the next housing action plan for reducing the number of applicants on the social housing register and average waiting times for applicants, in consultation with stakeholders</w:t>
      </w:r>
    </w:p>
    <w:p w14:paraId="0BF7E319" w14:textId="77777777" w:rsidR="009F3010" w:rsidRPr="006B2AFF" w:rsidRDefault="009F3010" w:rsidP="00162537">
      <w:pPr>
        <w:pStyle w:val="ListParagraph"/>
        <w:numPr>
          <w:ilvl w:val="1"/>
          <w:numId w:val="39"/>
        </w:numPr>
        <w:rPr>
          <w:lang w:val="en-AU"/>
        </w:rPr>
      </w:pPr>
      <w:r w:rsidRPr="006B2AFF">
        <w:rPr>
          <w:lang w:val="en-AU"/>
        </w:rPr>
        <w:t>developing a process for providing applicants with realistic estimates of waiting times and the progress of their application.</w:t>
      </w:r>
    </w:p>
    <w:p w14:paraId="3FCFFC24" w14:textId="77777777" w:rsidR="009F3010" w:rsidRPr="00A83183" w:rsidRDefault="009F3010" w:rsidP="009F3010">
      <w:pPr>
        <w:pStyle w:val="BodyText"/>
        <w:numPr>
          <w:ilvl w:val="0"/>
          <w:numId w:val="39"/>
        </w:numPr>
      </w:pPr>
      <w:r w:rsidRPr="00A83183">
        <w:rPr>
          <w:b/>
        </w:rPr>
        <w:t>Improves reporting and measurement</w:t>
      </w:r>
      <w:r w:rsidRPr="00A83183">
        <w:t xml:space="preserve"> </w:t>
      </w:r>
      <w:r w:rsidRPr="00A83183">
        <w:rPr>
          <w:b/>
        </w:rPr>
        <w:t xml:space="preserve">of progress against the Tasmanian Housing Strategy </w:t>
      </w:r>
      <w:r w:rsidRPr="00A83183">
        <w:t>by:</w:t>
      </w:r>
    </w:p>
    <w:p w14:paraId="50691609" w14:textId="4AE90C27" w:rsidR="009F3010" w:rsidRPr="006B2AFF" w:rsidRDefault="009F3010" w:rsidP="00162537">
      <w:pPr>
        <w:pStyle w:val="ListParagraph"/>
        <w:numPr>
          <w:ilvl w:val="1"/>
          <w:numId w:val="39"/>
        </w:numPr>
        <w:rPr>
          <w:lang w:val="en-AU"/>
        </w:rPr>
      </w:pPr>
      <w:r w:rsidRPr="006B2AFF">
        <w:rPr>
          <w:lang w:val="en-AU"/>
        </w:rPr>
        <w:t>clearly reporting how many of the 10,000 houses delivered by Homes Tasmania under the Action Plan were affordable for people in the bottom two income</w:t>
      </w:r>
      <w:r w:rsidR="00CB2392">
        <w:rPr>
          <w:lang w:val="en-AU"/>
        </w:rPr>
        <w:t xml:space="preserve"> </w:t>
      </w:r>
      <w:r w:rsidRPr="006B2AFF">
        <w:rPr>
          <w:lang w:val="en-AU"/>
        </w:rPr>
        <w:t xml:space="preserve">quintiles. </w:t>
      </w:r>
    </w:p>
    <w:p w14:paraId="6A7F35AD" w14:textId="77777777" w:rsidR="009F3010" w:rsidRPr="006B2AFF" w:rsidRDefault="009F3010">
      <w:pPr>
        <w:rPr>
          <w:b/>
          <w:lang w:val="en-AU"/>
        </w:rPr>
      </w:pPr>
    </w:p>
    <w:p w14:paraId="2D3B28F5" w14:textId="77777777" w:rsidR="009F3010" w:rsidRPr="006B2AFF" w:rsidRDefault="009F3010">
      <w:pPr>
        <w:rPr>
          <w:sz w:val="32"/>
          <w:szCs w:val="32"/>
          <w:lang w:val="en-AU"/>
        </w:rPr>
      </w:pPr>
      <w:r w:rsidRPr="006B2AFF">
        <w:rPr>
          <w:lang w:val="en-AU"/>
        </w:rPr>
        <w:br w:type="page"/>
      </w:r>
    </w:p>
    <w:p w14:paraId="519F0330" w14:textId="77777777" w:rsidR="009F3010" w:rsidRPr="00266393" w:rsidRDefault="009F3010" w:rsidP="00CE4F12">
      <w:pPr>
        <w:pStyle w:val="Heading2"/>
      </w:pPr>
      <w:r w:rsidRPr="00266393">
        <w:lastRenderedPageBreak/>
        <w:t xml:space="preserve">Acknowledgement of Country </w:t>
      </w:r>
    </w:p>
    <w:p w14:paraId="24C0FC11" w14:textId="72C32F54" w:rsidR="009F3010" w:rsidRPr="00266393" w:rsidRDefault="009F3010" w:rsidP="00FF5FB8">
      <w:pPr>
        <w:pStyle w:val="TitleinText"/>
      </w:pPr>
      <w:r w:rsidRPr="00266393">
        <w:t xml:space="preserve">Anglicare Tasmania acknowledges and pays respect to the Tasmanian Aboriginal community as the traditional and original owners and continuing custodians of this land, </w:t>
      </w:r>
      <w:proofErr w:type="spellStart"/>
      <w:r w:rsidRPr="00266393">
        <w:t>Lutruwita</w:t>
      </w:r>
      <w:proofErr w:type="spellEnd"/>
      <w:r w:rsidRPr="00266393">
        <w:t>/Tasmania, on which this project has taken place. We acknowledge Elders past and present, and Aboriginal people who have participated in and are connected with this research.</w:t>
      </w:r>
    </w:p>
    <w:p w14:paraId="1A92ED39" w14:textId="77777777" w:rsidR="009F3010" w:rsidRPr="00266393" w:rsidRDefault="009F3010" w:rsidP="00CE4F12">
      <w:pPr>
        <w:pStyle w:val="Heading2"/>
      </w:pPr>
      <w:r w:rsidRPr="00266393">
        <w:t xml:space="preserve">Acknowledgements </w:t>
      </w:r>
    </w:p>
    <w:p w14:paraId="11A35D68" w14:textId="77777777" w:rsidR="009F3010" w:rsidRPr="00266393" w:rsidRDefault="009F3010">
      <w:pPr>
        <w:rPr>
          <w:lang w:val="en-AU"/>
        </w:rPr>
      </w:pPr>
      <w:r w:rsidRPr="00266393">
        <w:rPr>
          <w:lang w:val="en-AU"/>
        </w:rPr>
        <w:t xml:space="preserve">The assistance of the staff of Anglicare Tasmania’s Housing Connect Front Door service in the preparation of this report is gratefully acknowledged. Thank you for the important work you do, and to the people you work with for their strength and resilience. </w:t>
      </w:r>
    </w:p>
    <w:p w14:paraId="43430D03" w14:textId="77777777" w:rsidR="009F3010" w:rsidRPr="00266393" w:rsidRDefault="009F3010">
      <w:pPr>
        <w:rPr>
          <w:lang w:val="en-AU"/>
        </w:rPr>
      </w:pPr>
      <w:r w:rsidRPr="00266393">
        <w:rPr>
          <w:lang w:val="en-AU"/>
        </w:rPr>
        <w:t>The assistance of Homes Tasmania in providing data is also acknowledged.</w:t>
      </w:r>
    </w:p>
    <w:p w14:paraId="7E5708B3" w14:textId="77777777" w:rsidR="009F3010" w:rsidRPr="00266393" w:rsidRDefault="009F3010" w:rsidP="00CE4F12">
      <w:pPr>
        <w:pStyle w:val="Heading2"/>
      </w:pPr>
      <w:r w:rsidRPr="00266393">
        <w:t xml:space="preserve">About Anglicare Tasmania </w:t>
      </w:r>
    </w:p>
    <w:p w14:paraId="6BF5A858" w14:textId="77777777" w:rsidR="009F3010" w:rsidRPr="00266393" w:rsidRDefault="009F3010">
      <w:pPr>
        <w:rPr>
          <w:lang w:val="en-AU"/>
        </w:rPr>
      </w:pPr>
      <w:r w:rsidRPr="00266393">
        <w:rPr>
          <w:lang w:val="en-AU"/>
        </w:rPr>
        <w:t xml:space="preserve">Anglicare, in response to the Christian faith, strives to achieve social justice and to provide the opportunity for people in need to reach fullness of life. </w:t>
      </w:r>
    </w:p>
    <w:p w14:paraId="4A4838C5" w14:textId="77777777" w:rsidR="009F3010" w:rsidRPr="00266393" w:rsidRDefault="009F3010">
      <w:pPr>
        <w:rPr>
          <w:lang w:val="en-AU"/>
        </w:rPr>
      </w:pPr>
      <w:r w:rsidRPr="00266393">
        <w:rPr>
          <w:lang w:val="en-AU"/>
        </w:rPr>
        <w:t xml:space="preserve">Our values: </w:t>
      </w:r>
    </w:p>
    <w:p w14:paraId="4FB6C0B2" w14:textId="77777777" w:rsidR="009F3010" w:rsidRPr="00266393" w:rsidRDefault="009F3010">
      <w:pPr>
        <w:rPr>
          <w:lang w:val="en-AU"/>
        </w:rPr>
      </w:pPr>
      <w:r w:rsidRPr="00266393">
        <w:rPr>
          <w:b/>
          <w:lang w:val="en-AU"/>
        </w:rPr>
        <w:t>Hope</w:t>
      </w:r>
      <w:r w:rsidRPr="00266393">
        <w:rPr>
          <w:lang w:val="en-AU"/>
        </w:rPr>
        <w:t xml:space="preserve">: Confidently reaching for fullness of life. </w:t>
      </w:r>
    </w:p>
    <w:p w14:paraId="310B526B" w14:textId="77777777" w:rsidR="009F3010" w:rsidRPr="00266393" w:rsidRDefault="009F3010">
      <w:pPr>
        <w:rPr>
          <w:lang w:val="en-AU"/>
        </w:rPr>
      </w:pPr>
      <w:r w:rsidRPr="00266393">
        <w:rPr>
          <w:b/>
          <w:lang w:val="en-AU"/>
        </w:rPr>
        <w:t>Compassion</w:t>
      </w:r>
      <w:r w:rsidRPr="00266393">
        <w:rPr>
          <w:lang w:val="en-AU"/>
        </w:rPr>
        <w:t xml:space="preserve">: Showing empathy and care for those in need. </w:t>
      </w:r>
    </w:p>
    <w:p w14:paraId="1A659FFA" w14:textId="77777777" w:rsidR="009F3010" w:rsidRPr="00266393" w:rsidRDefault="009F3010">
      <w:pPr>
        <w:rPr>
          <w:lang w:val="en-AU"/>
        </w:rPr>
      </w:pPr>
      <w:r w:rsidRPr="00266393">
        <w:rPr>
          <w:b/>
          <w:lang w:val="en-AU"/>
        </w:rPr>
        <w:t>Justice</w:t>
      </w:r>
      <w:r w:rsidRPr="00266393">
        <w:rPr>
          <w:lang w:val="en-AU"/>
        </w:rPr>
        <w:t xml:space="preserve">: Promoting the fair distribution of resources and opportunities. </w:t>
      </w:r>
    </w:p>
    <w:p w14:paraId="47B6E9C6" w14:textId="77777777" w:rsidR="009F3010" w:rsidRPr="00266393" w:rsidRDefault="009F3010">
      <w:pPr>
        <w:rPr>
          <w:lang w:val="en-AU"/>
        </w:rPr>
      </w:pPr>
      <w:r w:rsidRPr="00266393">
        <w:rPr>
          <w:b/>
          <w:lang w:val="en-AU"/>
        </w:rPr>
        <w:t>Respect</w:t>
      </w:r>
      <w:r w:rsidRPr="00266393">
        <w:rPr>
          <w:lang w:val="en-AU"/>
        </w:rPr>
        <w:t>: Recognising the inherent value and dignity of every person.</w:t>
      </w:r>
    </w:p>
    <w:p w14:paraId="4F33345C" w14:textId="77777777" w:rsidR="009F3010" w:rsidRPr="00266393" w:rsidRDefault="009F3010" w:rsidP="00CE4F12">
      <w:pPr>
        <w:pStyle w:val="Heading2"/>
      </w:pPr>
      <w:r w:rsidRPr="00266393">
        <w:t xml:space="preserve">Anglicare Tasmania’s Social Action and Research Centre </w:t>
      </w:r>
    </w:p>
    <w:p w14:paraId="7A6C88AE" w14:textId="77777777" w:rsidR="009F3010" w:rsidRDefault="009F3010">
      <w:pPr>
        <w:rPr>
          <w:lang w:val="en-AU"/>
        </w:rPr>
      </w:pPr>
      <w:r w:rsidRPr="00266393">
        <w:rPr>
          <w:lang w:val="en-AU"/>
        </w:rPr>
        <w:t xml:space="preserve">The Social Action and Research Centre investigate how and why Tasmanians are affected by poverty and inequality. We use what we learn to advocate for changes that improve people’s lives. </w:t>
      </w:r>
    </w:p>
    <w:p w14:paraId="30C4848E" w14:textId="77777777" w:rsidR="009F3010" w:rsidRDefault="009F3010">
      <w:pPr>
        <w:rPr>
          <w:lang w:val="en-AU"/>
        </w:rPr>
      </w:pPr>
    </w:p>
    <w:p w14:paraId="7E1E1379" w14:textId="77777777" w:rsidR="009F3010" w:rsidRDefault="009F3010">
      <w:pPr>
        <w:rPr>
          <w:lang w:val="en-AU"/>
        </w:rPr>
      </w:pPr>
      <w:r>
        <w:rPr>
          <w:lang w:val="en-AU"/>
        </w:rPr>
        <w:t>To request information or arrange a meeting, contact us:</w:t>
      </w:r>
    </w:p>
    <w:p w14:paraId="62DE0BA1" w14:textId="77777777" w:rsidR="009F3010" w:rsidRPr="00155C31" w:rsidRDefault="009F3010">
      <w:pPr>
        <w:rPr>
          <w:b/>
          <w:bCs/>
          <w:lang w:val="en-AU"/>
        </w:rPr>
      </w:pPr>
      <w:r w:rsidRPr="00155C31">
        <w:rPr>
          <w:b/>
          <w:bCs/>
          <w:lang w:val="en-AU"/>
        </w:rPr>
        <w:t>Office of the CEO</w:t>
      </w:r>
    </w:p>
    <w:p w14:paraId="7B71174C" w14:textId="77777777" w:rsidR="009F3010" w:rsidRDefault="009F3010">
      <w:pPr>
        <w:rPr>
          <w:lang w:val="en-AU"/>
        </w:rPr>
      </w:pPr>
      <w:r>
        <w:rPr>
          <w:lang w:val="en-AU"/>
        </w:rPr>
        <w:t>Anglicare Tasmania</w:t>
      </w:r>
    </w:p>
    <w:p w14:paraId="3C97A975" w14:textId="5BBA2941" w:rsidR="009F3010" w:rsidRDefault="00B35C69">
      <w:pPr>
        <w:rPr>
          <w:lang w:val="en-AU"/>
        </w:rPr>
      </w:pPr>
      <w:hyperlink r:id="rId15" w:history="1">
        <w:r w:rsidRPr="0094703F">
          <w:rPr>
            <w:rStyle w:val="Hyperlink"/>
            <w:rFonts w:ascii="Avenir Next" w:hAnsi="Avenir Next"/>
            <w:lang w:val="en-AU"/>
          </w:rPr>
          <w:t>c.jones@anglicare-tas.org.au</w:t>
        </w:r>
      </w:hyperlink>
    </w:p>
    <w:p w14:paraId="214CC83F" w14:textId="77777777" w:rsidR="009F3010" w:rsidRDefault="009F3010">
      <w:pPr>
        <w:rPr>
          <w:lang w:val="en-AU"/>
        </w:rPr>
      </w:pPr>
      <w:r>
        <w:rPr>
          <w:lang w:val="en-AU"/>
        </w:rPr>
        <w:t>Phone: 1800 243 232</w:t>
      </w:r>
    </w:p>
    <w:p w14:paraId="19AACB17" w14:textId="77777777" w:rsidR="009F3010" w:rsidRDefault="009F3010">
      <w:pPr>
        <w:rPr>
          <w:lang w:val="en-AU"/>
        </w:rPr>
      </w:pPr>
      <w:r>
        <w:rPr>
          <w:lang w:val="en-AU"/>
        </w:rPr>
        <w:t xml:space="preserve">You can find out more about the </w:t>
      </w:r>
      <w:hyperlink r:id="rId16" w:history="1">
        <w:r w:rsidRPr="000050B2">
          <w:rPr>
            <w:rStyle w:val="Hyperlink"/>
            <w:rFonts w:ascii="Avenir Next" w:hAnsi="Avenir Next"/>
            <w:lang w:val="en-AU"/>
          </w:rPr>
          <w:t>Social Action and Research Centre</w:t>
        </w:r>
      </w:hyperlink>
      <w:r>
        <w:rPr>
          <w:lang w:val="en-AU"/>
        </w:rPr>
        <w:t xml:space="preserve"> and access our </w:t>
      </w:r>
      <w:hyperlink r:id="rId17" w:history="1">
        <w:r w:rsidRPr="000050B2">
          <w:rPr>
            <w:rStyle w:val="Hyperlink"/>
            <w:rFonts w:ascii="Avenir Next" w:hAnsi="Avenir Next"/>
            <w:lang w:val="en-AU"/>
          </w:rPr>
          <w:t>online library of Anglicare Tasmania research</w:t>
        </w:r>
      </w:hyperlink>
      <w:r>
        <w:rPr>
          <w:lang w:val="en-AU"/>
        </w:rPr>
        <w:t xml:space="preserve"> by visiting </w:t>
      </w:r>
      <w:hyperlink r:id="rId18" w:history="1">
        <w:r w:rsidRPr="000050B2">
          <w:rPr>
            <w:rStyle w:val="Hyperlink"/>
            <w:rFonts w:ascii="Avenir Next" w:hAnsi="Avenir Next"/>
            <w:lang w:val="en-AU"/>
          </w:rPr>
          <w:t>www.anglicare-tas.org.au</w:t>
        </w:r>
      </w:hyperlink>
      <w:r>
        <w:rPr>
          <w:lang w:val="en-AU"/>
        </w:rPr>
        <w:t>.</w:t>
      </w:r>
    </w:p>
    <w:p w14:paraId="483DFFA8" w14:textId="77777777" w:rsidR="009F3010" w:rsidRDefault="009F3010">
      <w:pPr>
        <w:rPr>
          <w:lang w:val="en-AU"/>
        </w:rPr>
      </w:pPr>
    </w:p>
    <w:p w14:paraId="41792858" w14:textId="44899CD1" w:rsidR="002157C9" w:rsidRDefault="002157C9" w:rsidP="007266B5">
      <w:pPr>
        <w:widowControl/>
        <w:autoSpaceDE/>
        <w:autoSpaceDN/>
        <w:spacing w:before="0" w:after="160" w:line="259" w:lineRule="auto"/>
      </w:pPr>
    </w:p>
    <w:sectPr w:rsidR="002157C9" w:rsidSect="00CB2392">
      <w:headerReference w:type="even" r:id="rId19"/>
      <w:headerReference w:type="default" r:id="rId20"/>
      <w:footerReference w:type="even" r:id="rId21"/>
      <w:footerReference w:type="default" r:id="rId22"/>
      <w:headerReference w:type="first" r:id="rId23"/>
      <w:footerReference w:type="first" r:id="rId24"/>
      <w:pgSz w:w="11910" w:h="16840"/>
      <w:pgMar w:top="1540" w:right="100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7FE83" w14:textId="77777777" w:rsidR="000A5AAF" w:rsidRDefault="000A5AAF" w:rsidP="009F3010">
      <w:pPr>
        <w:spacing w:before="0" w:after="0"/>
      </w:pPr>
      <w:r>
        <w:separator/>
      </w:r>
    </w:p>
  </w:endnote>
  <w:endnote w:type="continuationSeparator" w:id="0">
    <w:p w14:paraId="4BB52F7E" w14:textId="77777777" w:rsidR="000A5AAF" w:rsidRDefault="000A5AAF" w:rsidP="009F30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w:altName w:val="Calibri"/>
    <w:charset w:val="00"/>
    <w:family w:val="swiss"/>
    <w:pitch w:val="variable"/>
    <w:sig w:usb0="8000002F" w:usb1="5000204A" w:usb2="00000000" w:usb3="00000000" w:csb0="0000009B" w:csb1="00000000"/>
  </w:font>
  <w:font w:name="AvenirNext LT Pro Bold">
    <w:altName w:val="Calibri"/>
    <w:panose1 w:val="00000000000000000000"/>
    <w:charset w:val="4D"/>
    <w:family w:val="swiss"/>
    <w:notTrueType/>
    <w:pitch w:val="variable"/>
    <w:sig w:usb0="800000AF" w:usb1="5000204A" w:usb2="00000000" w:usb3="00000000" w:csb0="0000009B"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venir Next Demi Bold">
    <w:altName w:val="Calibri"/>
    <w:charset w:val="00"/>
    <w:family w:val="swiss"/>
    <w:pitch w:val="variable"/>
    <w:sig w:usb0="8000002F" w:usb1="5000204A" w:usb2="00000000" w:usb3="00000000" w:csb0="0000009B" w:csb1="00000000"/>
  </w:font>
  <w:font w:name="AvenirNextLTPro-Demi">
    <w:altName w:val="Cambria"/>
    <w:panose1 w:val="00000000000000000000"/>
    <w:charset w:val="4D"/>
    <w:family w:val="swiss"/>
    <w:notTrueType/>
    <w:pitch w:val="variable"/>
    <w:sig w:usb0="800000AF" w:usb1="5000205B"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venirNext LT Pro Regular">
    <w:altName w:val="Calibri"/>
    <w:panose1 w:val="00000000000000000000"/>
    <w:charset w:val="4D"/>
    <w:family w:val="swiss"/>
    <w:notTrueType/>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Sora">
    <w:altName w:val="Calibri"/>
    <w:panose1 w:val="00000000000000000000"/>
    <w:charset w:val="00"/>
    <w:family w:val="swiss"/>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0060690"/>
      <w:docPartObj>
        <w:docPartGallery w:val="Page Numbers (Bottom of Page)"/>
        <w:docPartUnique/>
      </w:docPartObj>
    </w:sdtPr>
    <w:sdtEndPr>
      <w:rPr>
        <w:rStyle w:val="PageNumber"/>
      </w:rPr>
    </w:sdtEndPr>
    <w:sdtContent>
      <w:p w14:paraId="02AF4622" w14:textId="77777777" w:rsidR="009F3010" w:rsidRPr="0000085C" w:rsidRDefault="009F3010">
        <w:pPr>
          <w:pStyle w:val="Footer"/>
          <w:framePr w:wrap="none" w:vAnchor="text" w:hAnchor="margin" w:xAlign="right" w:y="1"/>
          <w:rPr>
            <w:rStyle w:val="PageNumber"/>
          </w:rPr>
        </w:pPr>
        <w:r w:rsidRPr="0000085C">
          <w:rPr>
            <w:rStyle w:val="PageNumber"/>
          </w:rPr>
          <w:fldChar w:fldCharType="begin"/>
        </w:r>
        <w:r w:rsidRPr="0000085C">
          <w:rPr>
            <w:rStyle w:val="PageNumber"/>
          </w:rPr>
          <w:instrText xml:space="preserve"> PAGE </w:instrText>
        </w:r>
        <w:r w:rsidRPr="0000085C">
          <w:rPr>
            <w:rStyle w:val="PageNumber"/>
          </w:rPr>
          <w:fldChar w:fldCharType="separate"/>
        </w:r>
        <w:r w:rsidRPr="00BC7966">
          <w:rPr>
            <w:rStyle w:val="PageNumber"/>
          </w:rPr>
          <w:t>4</w:t>
        </w:r>
        <w:r w:rsidRPr="0000085C">
          <w:rPr>
            <w:rStyle w:val="PageNumber"/>
          </w:rPr>
          <w:fldChar w:fldCharType="end"/>
        </w:r>
      </w:p>
    </w:sdtContent>
  </w:sdt>
  <w:p w14:paraId="19222C31" w14:textId="77777777" w:rsidR="009F3010" w:rsidRPr="0000085C" w:rsidRDefault="009F30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950165"/>
      <w:docPartObj>
        <w:docPartGallery w:val="Page Numbers (Bottom of Page)"/>
        <w:docPartUnique/>
      </w:docPartObj>
    </w:sdtPr>
    <w:sdtEndPr/>
    <w:sdtContent>
      <w:p w14:paraId="3982473B" w14:textId="77777777" w:rsidR="009F3010" w:rsidRPr="0000085C" w:rsidRDefault="009F3010">
        <w:pPr>
          <w:pStyle w:val="Footer"/>
        </w:pPr>
        <w:r w:rsidRPr="00BC7966">
          <w:fldChar w:fldCharType="begin"/>
        </w:r>
        <w:r w:rsidRPr="0000085C">
          <w:instrText xml:space="preserve"> PAGE   \* MERGEFORMAT </w:instrText>
        </w:r>
        <w:r w:rsidRPr="00BC7966">
          <w:fldChar w:fldCharType="separate"/>
        </w:r>
        <w:r w:rsidRPr="00BC7966">
          <w:t>2</w:t>
        </w:r>
        <w:r w:rsidRPr="00BC7966">
          <w:fldChar w:fldCharType="end"/>
        </w:r>
      </w:p>
    </w:sdtContent>
  </w:sdt>
  <w:p w14:paraId="55F37022" w14:textId="77777777" w:rsidR="009F3010" w:rsidRPr="0000085C" w:rsidRDefault="009F3010">
    <w:pPr>
      <w:pStyle w:val="Foote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31F5" w14:textId="77777777" w:rsidR="000A74F2" w:rsidRDefault="000A7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8F2F" w14:textId="77777777" w:rsidR="000A5AAF" w:rsidRDefault="000A5AAF" w:rsidP="009F3010">
      <w:pPr>
        <w:spacing w:before="0" w:after="0"/>
      </w:pPr>
      <w:r>
        <w:separator/>
      </w:r>
    </w:p>
  </w:footnote>
  <w:footnote w:type="continuationSeparator" w:id="0">
    <w:p w14:paraId="7AAF4221" w14:textId="77777777" w:rsidR="000A5AAF" w:rsidRDefault="000A5AAF" w:rsidP="009F3010">
      <w:pPr>
        <w:spacing w:before="0" w:after="0"/>
      </w:pPr>
      <w:r>
        <w:continuationSeparator/>
      </w:r>
    </w:p>
  </w:footnote>
  <w:footnote w:id="1">
    <w:p w14:paraId="4D69696E" w14:textId="77777777" w:rsidR="006D2216" w:rsidRPr="008941E1" w:rsidRDefault="006D2216" w:rsidP="006D2216">
      <w:pPr>
        <w:pStyle w:val="FootnoteText"/>
        <w:rPr>
          <w:lang w:val="en-US"/>
        </w:rPr>
      </w:pPr>
      <w:r>
        <w:rPr>
          <w:rStyle w:val="FootnoteReference"/>
        </w:rPr>
        <w:footnoteRef/>
      </w:r>
      <w:r>
        <w:t xml:space="preserve"> </w:t>
      </w:r>
      <w:r>
        <w:rPr>
          <w:lang w:val="en-US"/>
        </w:rPr>
        <w:t>Homelessness includes sleeping rough or in non-conventional accommodation, and short-term or emergency accommodation.</w:t>
      </w:r>
    </w:p>
  </w:footnote>
  <w:footnote w:id="2">
    <w:p w14:paraId="113D6D87" w14:textId="273C3F87" w:rsidR="000C1494" w:rsidRPr="000C1494" w:rsidRDefault="000C1494">
      <w:pPr>
        <w:pStyle w:val="FootnoteText"/>
        <w:rPr>
          <w:lang w:val="en-US"/>
        </w:rPr>
      </w:pPr>
      <w:r>
        <w:rPr>
          <w:rStyle w:val="FootnoteReference"/>
        </w:rPr>
        <w:footnoteRef/>
      </w:r>
      <w:r>
        <w:t xml:space="preserve"> </w:t>
      </w:r>
      <w:r w:rsidRPr="005076AC">
        <w:rPr>
          <w:lang w:val="en-US"/>
        </w:rPr>
        <w:t xml:space="preserve">The increase of </w:t>
      </w:r>
      <w:r w:rsidR="005076AC" w:rsidRPr="005076AC">
        <w:rPr>
          <w:lang w:val="en-US"/>
        </w:rPr>
        <w:t>63</w:t>
      </w:r>
      <w:r w:rsidRPr="005076AC">
        <w:rPr>
          <w:lang w:val="en-US"/>
        </w:rPr>
        <w:t>% in</w:t>
      </w:r>
      <w:r w:rsidR="00887191">
        <w:rPr>
          <w:lang w:val="en-US"/>
        </w:rPr>
        <w:t xml:space="preserve"> people</w:t>
      </w:r>
      <w:r w:rsidRPr="005076AC">
        <w:rPr>
          <w:lang w:val="en-US"/>
        </w:rPr>
        <w:t xml:space="preserve"> support</w:t>
      </w:r>
      <w:r w:rsidR="00887191">
        <w:rPr>
          <w:lang w:val="en-US"/>
        </w:rPr>
        <w:t>ed</w:t>
      </w:r>
      <w:r w:rsidRPr="005076AC">
        <w:rPr>
          <w:lang w:val="en-US"/>
        </w:rPr>
        <w:t xml:space="preserve">, compared to only a </w:t>
      </w:r>
      <w:r w:rsidR="005076AC" w:rsidRPr="005076AC">
        <w:rPr>
          <w:lang w:val="en-US"/>
        </w:rPr>
        <w:t>4</w:t>
      </w:r>
      <w:r w:rsidRPr="005076AC">
        <w:rPr>
          <w:lang w:val="en-US"/>
        </w:rPr>
        <w:t>% increase in enquiries, can be attributed to a change of procedure in July 2025 requiring support periods to be opened for low-level enquiries.</w:t>
      </w:r>
    </w:p>
  </w:footnote>
  <w:footnote w:id="3">
    <w:p w14:paraId="1B68CF3A" w14:textId="352E72CF" w:rsidR="00ED1FD0" w:rsidRPr="00ED1FD0" w:rsidRDefault="00ED1FD0">
      <w:pPr>
        <w:pStyle w:val="FootnoteText"/>
        <w:rPr>
          <w:lang w:val="en-US"/>
        </w:rPr>
      </w:pPr>
      <w:r>
        <w:rPr>
          <w:rStyle w:val="FootnoteReference"/>
        </w:rPr>
        <w:footnoteRef/>
      </w:r>
      <w:r>
        <w:t xml:space="preserve"> </w:t>
      </w:r>
      <w:r w:rsidR="00682D31" w:rsidRPr="00FD7867">
        <w:t>T</w:t>
      </w:r>
      <w:r w:rsidRPr="00FD7867">
        <w:rPr>
          <w:lang w:val="en-US"/>
        </w:rPr>
        <w:t xml:space="preserve">his has been calculated from the housing circumstance of the person on presentation to the Housing Connect Front Door Service. In the </w:t>
      </w:r>
      <w:r w:rsidR="006C2FA5" w:rsidRPr="00FD7867">
        <w:rPr>
          <w:lang w:val="en-US"/>
        </w:rPr>
        <w:t>June</w:t>
      </w:r>
      <w:r w:rsidRPr="00FD7867">
        <w:rPr>
          <w:lang w:val="en-US"/>
        </w:rPr>
        <w:t xml:space="preserve"> 2025 Housing Connect Front Door Snapshot</w:t>
      </w:r>
      <w:r w:rsidR="00AE1DE3" w:rsidRPr="00FD7867">
        <w:rPr>
          <w:lang w:val="en-US"/>
        </w:rPr>
        <w:t xml:space="preserve"> report</w:t>
      </w:r>
      <w:r w:rsidRPr="00FD7867">
        <w:rPr>
          <w:lang w:val="en-US"/>
        </w:rPr>
        <w:t xml:space="preserve">, the metric used was the housing circumstance one week prior to presentation, which was </w:t>
      </w:r>
      <w:r w:rsidR="00FD7867" w:rsidRPr="00FD7867">
        <w:rPr>
          <w:lang w:val="en-US"/>
        </w:rPr>
        <w:t>155</w:t>
      </w:r>
      <w:r w:rsidRPr="00FD7867">
        <w:rPr>
          <w:lang w:val="en-US"/>
        </w:rPr>
        <w:t>.</w:t>
      </w:r>
      <w:r>
        <w:rPr>
          <w:lang w:val="en-US"/>
        </w:rPr>
        <w:t xml:space="preserve">  </w:t>
      </w:r>
    </w:p>
  </w:footnote>
  <w:footnote w:id="4">
    <w:p w14:paraId="4E0C1E0C" w14:textId="6891C4DE" w:rsidR="00A9505B" w:rsidRPr="00C176A0" w:rsidRDefault="00A9505B" w:rsidP="00A9505B">
      <w:pPr>
        <w:pStyle w:val="FootnoteText"/>
        <w:rPr>
          <w:lang w:val="en-US"/>
        </w:rPr>
      </w:pPr>
      <w:r>
        <w:rPr>
          <w:rStyle w:val="FootnoteReference"/>
        </w:rPr>
        <w:footnoteRef/>
      </w:r>
      <w:r>
        <w:t xml:space="preserve"> </w:t>
      </w:r>
      <w:r w:rsidRPr="00FD7867">
        <w:rPr>
          <w:lang w:val="en-US"/>
        </w:rPr>
        <w:t>This metric captures</w:t>
      </w:r>
      <w:r w:rsidR="003D5F33">
        <w:rPr>
          <w:lang w:val="en-US"/>
        </w:rPr>
        <w:t xml:space="preserve"> the number of</w:t>
      </w:r>
      <w:r w:rsidRPr="00FD7867">
        <w:rPr>
          <w:lang w:val="en-US"/>
        </w:rPr>
        <w:t xml:space="preserve"> </w:t>
      </w:r>
      <w:r w:rsidR="0084479D" w:rsidRPr="00FD7867">
        <w:rPr>
          <w:lang w:val="en-US"/>
        </w:rPr>
        <w:t xml:space="preserve">support periods for </w:t>
      </w:r>
      <w:r w:rsidRPr="00FD7867">
        <w:rPr>
          <w:lang w:val="en-US"/>
        </w:rPr>
        <w:t>children who presented alone</w:t>
      </w:r>
      <w:r w:rsidR="0084479D" w:rsidRPr="00FD7867">
        <w:rPr>
          <w:lang w:val="en-US"/>
        </w:rPr>
        <w:t>, not unique clients.</w:t>
      </w:r>
      <w:r w:rsidR="00887191">
        <w:rPr>
          <w:lang w:val="en-US"/>
        </w:rPr>
        <w:t xml:space="preserve"> </w:t>
      </w:r>
      <w:r w:rsidR="00887191">
        <w:t>A</w:t>
      </w:r>
      <w:r w:rsidR="00887191" w:rsidRPr="008C4352">
        <w:t xml:space="preserve"> support period is the period of time a client receives assistance from Housing Connect</w:t>
      </w:r>
      <w:r w:rsidR="00887191">
        <w:t xml:space="preserve"> </w:t>
      </w:r>
      <w:r w:rsidR="00D13C2A">
        <w:t xml:space="preserve">Front Door </w:t>
      </w:r>
      <w:r w:rsidR="00887191">
        <w:t>(</w:t>
      </w:r>
      <w:r w:rsidR="004C0EAA">
        <w:t xml:space="preserve">AIHW </w:t>
      </w:r>
      <w:r w:rsidR="00887191" w:rsidRPr="008C4352">
        <w:t xml:space="preserve">(2023) </w:t>
      </w:r>
      <w:r w:rsidR="00887191" w:rsidRPr="00B12873">
        <w:rPr>
          <w:i/>
          <w:iCs/>
        </w:rPr>
        <w:t>Specialist Homelessness Services Collection Manual</w:t>
      </w:r>
      <w:r w:rsidR="00887191">
        <w:t>)</w:t>
      </w:r>
      <w:r w:rsidR="004C0EAA">
        <w:t>.</w:t>
      </w:r>
    </w:p>
  </w:footnote>
  <w:footnote w:id="5">
    <w:p w14:paraId="3B594208" w14:textId="10F8FA03" w:rsidR="00A90BC9" w:rsidRPr="002E6186" w:rsidRDefault="00A90BC9" w:rsidP="00A90BC9">
      <w:pPr>
        <w:pStyle w:val="FootnoteText"/>
        <w:rPr>
          <w:lang w:val="en-US"/>
        </w:rPr>
      </w:pPr>
      <w:r>
        <w:rPr>
          <w:rStyle w:val="FootnoteReference"/>
        </w:rPr>
        <w:footnoteRef/>
      </w:r>
      <w:r>
        <w:t xml:space="preserve"> </w:t>
      </w:r>
      <w:r w:rsidRPr="002E6186">
        <w:rPr>
          <w:lang w:val="en-US"/>
        </w:rPr>
        <w:t>Power E</w:t>
      </w:r>
      <w:r>
        <w:rPr>
          <w:lang w:val="en-US"/>
        </w:rPr>
        <w:t xml:space="preserve"> </w:t>
      </w:r>
      <w:r w:rsidRPr="002E6186">
        <w:rPr>
          <w:lang w:val="en-US"/>
        </w:rPr>
        <w:t>R, Mitchell E, Wiesel I</w:t>
      </w:r>
      <w:r w:rsidR="004C0EAA">
        <w:rPr>
          <w:lang w:val="en-US"/>
        </w:rPr>
        <w:t xml:space="preserve"> and</w:t>
      </w:r>
      <w:r w:rsidRPr="002E6186">
        <w:rPr>
          <w:lang w:val="en-US"/>
        </w:rPr>
        <w:t xml:space="preserve"> Mee K</w:t>
      </w:r>
      <w:r>
        <w:rPr>
          <w:lang w:val="en-US"/>
        </w:rPr>
        <w:t xml:space="preserve"> </w:t>
      </w:r>
      <w:r w:rsidRPr="002E6186">
        <w:rPr>
          <w:lang w:val="en-US"/>
        </w:rPr>
        <w:t xml:space="preserve">J (2026) </w:t>
      </w:r>
      <w:r w:rsidRPr="00B12873">
        <w:rPr>
          <w:i/>
          <w:iCs/>
          <w:lang w:val="en-US"/>
        </w:rPr>
        <w:t>Surviving in a cost-of-living crisis: Australia’s fraying care infrastructures</w:t>
      </w:r>
      <w:r w:rsidR="004C0EAA">
        <w:rPr>
          <w:lang w:val="en-US"/>
        </w:rPr>
        <w:t>,</w:t>
      </w:r>
      <w:r w:rsidRPr="002E6186">
        <w:rPr>
          <w:lang w:val="en-US"/>
        </w:rPr>
        <w:t xml:space="preserve"> Western Sydney University. </w:t>
      </w:r>
    </w:p>
  </w:footnote>
  <w:footnote w:id="6">
    <w:p w14:paraId="01137AD4" w14:textId="3A9C03F5" w:rsidR="00534FE9" w:rsidRPr="000E09E3" w:rsidRDefault="00534FE9" w:rsidP="00534FE9">
      <w:pPr>
        <w:pStyle w:val="FootnoteText"/>
        <w:rPr>
          <w:i/>
          <w:iCs/>
          <w:lang w:val="en-US"/>
        </w:rPr>
      </w:pPr>
      <w:r>
        <w:rPr>
          <w:rStyle w:val="FootnoteReference"/>
        </w:rPr>
        <w:footnoteRef/>
      </w:r>
      <w:r>
        <w:t xml:space="preserve"> </w:t>
      </w:r>
      <w:r w:rsidRPr="00DA0269">
        <w:rPr>
          <w:lang w:val="en-US"/>
        </w:rPr>
        <w:t>Tenants</w:t>
      </w:r>
      <w:r w:rsidR="00F0798E" w:rsidRPr="00DA0269">
        <w:rPr>
          <w:lang w:val="en-US"/>
        </w:rPr>
        <w:t>’</w:t>
      </w:r>
      <w:r w:rsidRPr="00DA0269">
        <w:rPr>
          <w:lang w:val="en-US"/>
        </w:rPr>
        <w:t xml:space="preserve"> Union of Tasmania</w:t>
      </w:r>
      <w:r w:rsidR="005B6563" w:rsidRPr="00DA0269">
        <w:rPr>
          <w:lang w:val="en-US"/>
        </w:rPr>
        <w:t xml:space="preserve"> (</w:t>
      </w:r>
      <w:r w:rsidRPr="00DA0269">
        <w:rPr>
          <w:lang w:val="en-US"/>
        </w:rPr>
        <w:t>2026</w:t>
      </w:r>
      <w:r w:rsidR="005B6563" w:rsidRPr="00DA0269">
        <w:rPr>
          <w:lang w:val="en-US"/>
        </w:rPr>
        <w:t>)</w:t>
      </w:r>
      <w:r w:rsidR="00DA0269">
        <w:rPr>
          <w:lang w:val="en-US"/>
        </w:rPr>
        <w:t xml:space="preserve"> </w:t>
      </w:r>
      <w:proofErr w:type="spellStart"/>
      <w:r w:rsidR="00DA0269" w:rsidRPr="00B12873">
        <w:rPr>
          <w:i/>
          <w:iCs/>
          <w:lang w:val="en-US"/>
        </w:rPr>
        <w:t>TasRents</w:t>
      </w:r>
      <w:proofErr w:type="spellEnd"/>
      <w:r w:rsidR="00DA0269" w:rsidRPr="00B12873">
        <w:rPr>
          <w:i/>
          <w:iCs/>
          <w:lang w:val="en-US"/>
        </w:rPr>
        <w:t xml:space="preserve"> June 2026</w:t>
      </w:r>
    </w:p>
  </w:footnote>
  <w:footnote w:id="7">
    <w:p w14:paraId="635BCE16" w14:textId="30CE586F" w:rsidR="00534FE9" w:rsidRPr="00435626" w:rsidRDefault="00534FE9" w:rsidP="00534FE9">
      <w:pPr>
        <w:pStyle w:val="FootnoteText"/>
        <w:rPr>
          <w:lang w:val="en-US"/>
        </w:rPr>
      </w:pPr>
      <w:r>
        <w:rPr>
          <w:rStyle w:val="FootnoteReference"/>
        </w:rPr>
        <w:footnoteRef/>
      </w:r>
      <w:r>
        <w:t xml:space="preserve"> </w:t>
      </w:r>
      <w:r w:rsidRPr="007E1FA7">
        <w:rPr>
          <w:lang w:val="en-US"/>
        </w:rPr>
        <w:t>Calculated using Tenants</w:t>
      </w:r>
      <w:r w:rsidR="008E6130" w:rsidRPr="007E1FA7">
        <w:rPr>
          <w:lang w:val="en-US"/>
        </w:rPr>
        <w:t>’</w:t>
      </w:r>
      <w:r w:rsidRPr="007E1FA7">
        <w:rPr>
          <w:lang w:val="en-US"/>
        </w:rPr>
        <w:t xml:space="preserve"> Union of Tasmania </w:t>
      </w:r>
      <w:r w:rsidR="008E6130" w:rsidRPr="007E1FA7">
        <w:rPr>
          <w:lang w:val="en-US"/>
        </w:rPr>
        <w:t>m</w:t>
      </w:r>
      <w:r w:rsidRPr="007E1FA7">
        <w:rPr>
          <w:lang w:val="en-US"/>
        </w:rPr>
        <w:t>edian rent index and ABS wage price index</w:t>
      </w:r>
      <w:r w:rsidR="008E6130" w:rsidRPr="007E1FA7">
        <w:rPr>
          <w:lang w:val="en-US"/>
        </w:rPr>
        <w:t>.</w:t>
      </w:r>
    </w:p>
  </w:footnote>
  <w:footnote w:id="8">
    <w:p w14:paraId="53FE0F3D" w14:textId="772354FD" w:rsidR="00534FE9" w:rsidRPr="000E09E3" w:rsidRDefault="00534FE9" w:rsidP="00534FE9">
      <w:pPr>
        <w:pStyle w:val="FootnoteText"/>
        <w:rPr>
          <w:lang w:val="en-US"/>
        </w:rPr>
      </w:pPr>
      <w:r>
        <w:rPr>
          <w:rStyle w:val="FootnoteReference"/>
        </w:rPr>
        <w:footnoteRef/>
      </w:r>
      <w:r>
        <w:t xml:space="preserve"> </w:t>
      </w:r>
      <w:r>
        <w:rPr>
          <w:lang w:val="en-US"/>
        </w:rPr>
        <w:t xml:space="preserve">Anglicare Tasmania’s 2026 </w:t>
      </w:r>
      <w:hyperlink r:id="rId1" w:history="1">
        <w:r w:rsidRPr="000E09E3">
          <w:rPr>
            <w:rStyle w:val="Hyperlink"/>
            <w:rFonts w:ascii="Avenir Next" w:hAnsi="Avenir Next"/>
            <w:i/>
            <w:iCs/>
            <w:lang w:val="en-US"/>
          </w:rPr>
          <w:t>Rental Affordability Snapshot</w:t>
        </w:r>
      </w:hyperlink>
      <w:r>
        <w:rPr>
          <w:lang w:val="en-US"/>
        </w:rPr>
        <w:t xml:space="preserve"> found that 0% of rentals were affordable for single people receiving Jobseeker, Youth Allowance, Disability Support Pension, Parenting Payment Single or for people receiving Age Pension who wished to live alone. </w:t>
      </w:r>
    </w:p>
  </w:footnote>
  <w:footnote w:id="9">
    <w:p w14:paraId="549B7605" w14:textId="0E5090B2" w:rsidR="00534FE9" w:rsidRPr="00B12873" w:rsidRDefault="00534FE9" w:rsidP="00534FE9">
      <w:pPr>
        <w:pStyle w:val="FootnoteText"/>
        <w:rPr>
          <w:i/>
          <w:iCs/>
          <w:highlight w:val="yellow"/>
          <w:lang w:val="en-US"/>
        </w:rPr>
      </w:pPr>
      <w:r>
        <w:rPr>
          <w:rStyle w:val="FootnoteReference"/>
        </w:rPr>
        <w:footnoteRef/>
      </w:r>
      <w:r>
        <w:t xml:space="preserve"> </w:t>
      </w:r>
      <w:r w:rsidRPr="00524A72">
        <w:rPr>
          <w:lang w:val="en-US"/>
        </w:rPr>
        <w:t xml:space="preserve">Homes Tasmania </w:t>
      </w:r>
      <w:r w:rsidR="00A028DF" w:rsidRPr="00524A72">
        <w:rPr>
          <w:lang w:val="en-US"/>
        </w:rPr>
        <w:t>(</w:t>
      </w:r>
      <w:r w:rsidRPr="00524A72">
        <w:rPr>
          <w:lang w:val="en-US"/>
        </w:rPr>
        <w:t>2026</w:t>
      </w:r>
      <w:r w:rsidR="00A028DF" w:rsidRPr="00524A72">
        <w:rPr>
          <w:lang w:val="en-US"/>
        </w:rPr>
        <w:t>)</w:t>
      </w:r>
      <w:r w:rsidR="00524A72">
        <w:rPr>
          <w:lang w:val="en-US"/>
        </w:rPr>
        <w:t xml:space="preserve"> </w:t>
      </w:r>
      <w:r w:rsidR="00524A72" w:rsidRPr="00B12873">
        <w:rPr>
          <w:i/>
          <w:iCs/>
          <w:lang w:val="en-US"/>
        </w:rPr>
        <w:t>Dashboard June 2026</w:t>
      </w:r>
    </w:p>
  </w:footnote>
  <w:footnote w:id="10">
    <w:p w14:paraId="6B0B7601" w14:textId="763CFD40" w:rsidR="00534FE9" w:rsidRPr="002637D5" w:rsidRDefault="00534FE9" w:rsidP="00534FE9">
      <w:pPr>
        <w:pStyle w:val="FootnoteText"/>
        <w:rPr>
          <w:lang w:val="en-US"/>
        </w:rPr>
      </w:pPr>
      <w:r w:rsidRPr="00524A72">
        <w:rPr>
          <w:rStyle w:val="FootnoteReference"/>
        </w:rPr>
        <w:footnoteRef/>
      </w:r>
      <w:r w:rsidRPr="00524A72">
        <w:t xml:space="preserve"> </w:t>
      </w:r>
      <w:r w:rsidRPr="00524A72">
        <w:rPr>
          <w:lang w:val="en-US"/>
        </w:rPr>
        <w:t xml:space="preserve">Homes Tasmania </w:t>
      </w:r>
      <w:r w:rsidR="002D3308" w:rsidRPr="00524A72">
        <w:rPr>
          <w:lang w:val="en-US"/>
        </w:rPr>
        <w:t>(</w:t>
      </w:r>
      <w:r w:rsidRPr="00524A72">
        <w:rPr>
          <w:lang w:val="en-US"/>
        </w:rPr>
        <w:t>2026</w:t>
      </w:r>
      <w:r w:rsidR="002D3308" w:rsidRPr="00524A72">
        <w:rPr>
          <w:lang w:val="en-US"/>
        </w:rPr>
        <w:t>)</w:t>
      </w:r>
    </w:p>
  </w:footnote>
  <w:footnote w:id="11">
    <w:p w14:paraId="155E4936" w14:textId="77777777" w:rsidR="00F145B7" w:rsidRPr="008941E1" w:rsidRDefault="00F145B7" w:rsidP="00F145B7">
      <w:pPr>
        <w:pStyle w:val="FootnoteText"/>
        <w:rPr>
          <w:lang w:val="en-US"/>
        </w:rPr>
      </w:pPr>
      <w:r>
        <w:rPr>
          <w:rStyle w:val="FootnoteReference"/>
        </w:rPr>
        <w:footnoteRef/>
      </w:r>
      <w:r>
        <w:t xml:space="preserve"> </w:t>
      </w:r>
      <w:r>
        <w:rPr>
          <w:lang w:val="en-US"/>
        </w:rPr>
        <w:t>Homelessness includes sleeping rough or in non-conventional accommodation, and short-term or emergency accommodation.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22F5" w14:textId="77777777" w:rsidR="000A74F2" w:rsidRDefault="000A7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9CC4" w14:textId="5DA3EE8C" w:rsidR="000A74F2" w:rsidRDefault="000A7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CCD4" w14:textId="77777777" w:rsidR="000A74F2" w:rsidRDefault="000A7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8F85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C7B80"/>
    <w:multiLevelType w:val="hybridMultilevel"/>
    <w:tmpl w:val="3DDC886C"/>
    <w:lvl w:ilvl="0" w:tplc="14FC6682">
      <w:start w:val="1"/>
      <w:numFmt w:val="bullet"/>
      <w:pStyle w:val="Bullets"/>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 w15:restartNumberingAfterBreak="0">
    <w:nsid w:val="02105D66"/>
    <w:multiLevelType w:val="hybridMultilevel"/>
    <w:tmpl w:val="B794343E"/>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36B55EE"/>
    <w:multiLevelType w:val="hybridMultilevel"/>
    <w:tmpl w:val="D698237E"/>
    <w:lvl w:ilvl="0" w:tplc="0090D9B0">
      <w:start w:val="4"/>
      <w:numFmt w:val="bullet"/>
      <w:lvlText w:val="-"/>
      <w:lvlJc w:val="left"/>
      <w:pPr>
        <w:ind w:left="1224" w:hanging="360"/>
      </w:pPr>
      <w:rPr>
        <w:rFonts w:ascii="Avenir Next" w:eastAsia="AvenirNext LT Pro Bold" w:hAnsi="Avenir Next" w:cs="AvenirNext LT Pro Bold" w:hint="default"/>
      </w:rPr>
    </w:lvl>
    <w:lvl w:ilvl="1" w:tplc="0C090003" w:tentative="1">
      <w:start w:val="1"/>
      <w:numFmt w:val="bullet"/>
      <w:lvlText w:val="o"/>
      <w:lvlJc w:val="left"/>
      <w:pPr>
        <w:ind w:left="1944" w:hanging="360"/>
      </w:pPr>
      <w:rPr>
        <w:rFonts w:ascii="Courier New" w:hAnsi="Courier New" w:cs="Courier New" w:hint="default"/>
      </w:rPr>
    </w:lvl>
    <w:lvl w:ilvl="2" w:tplc="0C090005" w:tentative="1">
      <w:start w:val="1"/>
      <w:numFmt w:val="bullet"/>
      <w:lvlText w:val=""/>
      <w:lvlJc w:val="left"/>
      <w:pPr>
        <w:ind w:left="2664" w:hanging="360"/>
      </w:pPr>
      <w:rPr>
        <w:rFonts w:ascii="Wingdings" w:hAnsi="Wingdings" w:hint="default"/>
      </w:rPr>
    </w:lvl>
    <w:lvl w:ilvl="3" w:tplc="0C090001" w:tentative="1">
      <w:start w:val="1"/>
      <w:numFmt w:val="bullet"/>
      <w:lvlText w:val=""/>
      <w:lvlJc w:val="left"/>
      <w:pPr>
        <w:ind w:left="3384" w:hanging="360"/>
      </w:pPr>
      <w:rPr>
        <w:rFonts w:ascii="Symbol" w:hAnsi="Symbol" w:hint="default"/>
      </w:rPr>
    </w:lvl>
    <w:lvl w:ilvl="4" w:tplc="0C090003" w:tentative="1">
      <w:start w:val="1"/>
      <w:numFmt w:val="bullet"/>
      <w:lvlText w:val="o"/>
      <w:lvlJc w:val="left"/>
      <w:pPr>
        <w:ind w:left="4104" w:hanging="360"/>
      </w:pPr>
      <w:rPr>
        <w:rFonts w:ascii="Courier New" w:hAnsi="Courier New" w:cs="Courier New" w:hint="default"/>
      </w:rPr>
    </w:lvl>
    <w:lvl w:ilvl="5" w:tplc="0C090005" w:tentative="1">
      <w:start w:val="1"/>
      <w:numFmt w:val="bullet"/>
      <w:lvlText w:val=""/>
      <w:lvlJc w:val="left"/>
      <w:pPr>
        <w:ind w:left="4824" w:hanging="360"/>
      </w:pPr>
      <w:rPr>
        <w:rFonts w:ascii="Wingdings" w:hAnsi="Wingdings" w:hint="default"/>
      </w:rPr>
    </w:lvl>
    <w:lvl w:ilvl="6" w:tplc="0C090001" w:tentative="1">
      <w:start w:val="1"/>
      <w:numFmt w:val="bullet"/>
      <w:lvlText w:val=""/>
      <w:lvlJc w:val="left"/>
      <w:pPr>
        <w:ind w:left="5544" w:hanging="360"/>
      </w:pPr>
      <w:rPr>
        <w:rFonts w:ascii="Symbol" w:hAnsi="Symbol" w:hint="default"/>
      </w:rPr>
    </w:lvl>
    <w:lvl w:ilvl="7" w:tplc="0C090003" w:tentative="1">
      <w:start w:val="1"/>
      <w:numFmt w:val="bullet"/>
      <w:lvlText w:val="o"/>
      <w:lvlJc w:val="left"/>
      <w:pPr>
        <w:ind w:left="6264" w:hanging="360"/>
      </w:pPr>
      <w:rPr>
        <w:rFonts w:ascii="Courier New" w:hAnsi="Courier New" w:cs="Courier New" w:hint="default"/>
      </w:rPr>
    </w:lvl>
    <w:lvl w:ilvl="8" w:tplc="0C090005" w:tentative="1">
      <w:start w:val="1"/>
      <w:numFmt w:val="bullet"/>
      <w:lvlText w:val=""/>
      <w:lvlJc w:val="left"/>
      <w:pPr>
        <w:ind w:left="6984" w:hanging="360"/>
      </w:pPr>
      <w:rPr>
        <w:rFonts w:ascii="Wingdings" w:hAnsi="Wingdings" w:hint="default"/>
      </w:rPr>
    </w:lvl>
  </w:abstractNum>
  <w:abstractNum w:abstractNumId="4" w15:restartNumberingAfterBreak="0">
    <w:nsid w:val="0691205A"/>
    <w:multiLevelType w:val="hybridMultilevel"/>
    <w:tmpl w:val="9F34405A"/>
    <w:lvl w:ilvl="0" w:tplc="327C44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F33CD6"/>
    <w:multiLevelType w:val="hybridMultilevel"/>
    <w:tmpl w:val="800CC80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CA65F2B"/>
    <w:multiLevelType w:val="hybridMultilevel"/>
    <w:tmpl w:val="ACB65E6A"/>
    <w:lvl w:ilvl="0" w:tplc="71E26B3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A63EEA"/>
    <w:multiLevelType w:val="hybridMultilevel"/>
    <w:tmpl w:val="97C626F8"/>
    <w:lvl w:ilvl="0" w:tplc="1C1CE8D2">
      <w:start w:val="3"/>
      <w:numFmt w:val="decimal"/>
      <w:lvlText w:val="%1."/>
      <w:lvlJc w:val="left"/>
      <w:pPr>
        <w:ind w:left="720" w:hanging="360"/>
      </w:pPr>
      <w:rPr>
        <w:rFonts w:hint="default"/>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435F25"/>
    <w:multiLevelType w:val="hybridMultilevel"/>
    <w:tmpl w:val="BC42CE9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158EE2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6794CE8"/>
    <w:multiLevelType w:val="hybridMultilevel"/>
    <w:tmpl w:val="0A40B690"/>
    <w:lvl w:ilvl="0" w:tplc="2F8A3F62">
      <w:start w:val="1"/>
      <w:numFmt w:val="bullet"/>
      <w:lvlText w:val=""/>
      <w:lvlJc w:val="left"/>
      <w:pPr>
        <w:ind w:left="360" w:hanging="360"/>
      </w:pPr>
      <w:rPr>
        <w:rFonts w:ascii="Symbol" w:hAnsi="Symbol" w:hint="default"/>
        <w:color w:val="FFC000"/>
        <w:sz w:val="24"/>
        <w:szCs w:val="24"/>
      </w:rPr>
    </w:lvl>
    <w:lvl w:ilvl="1" w:tplc="0C090003">
      <w:start w:val="1"/>
      <w:numFmt w:val="bullet"/>
      <w:lvlText w:val="o"/>
      <w:lvlJc w:val="left"/>
      <w:pPr>
        <w:ind w:left="4680" w:hanging="360"/>
      </w:pPr>
      <w:rPr>
        <w:rFonts w:ascii="Courier New" w:hAnsi="Courier New" w:cs="Courier New" w:hint="default"/>
      </w:rPr>
    </w:lvl>
    <w:lvl w:ilvl="2" w:tplc="0C090005" w:tentative="1">
      <w:start w:val="1"/>
      <w:numFmt w:val="bullet"/>
      <w:lvlText w:val=""/>
      <w:lvlJc w:val="left"/>
      <w:pPr>
        <w:ind w:left="5400" w:hanging="360"/>
      </w:pPr>
      <w:rPr>
        <w:rFonts w:ascii="Wingdings" w:hAnsi="Wingdings" w:hint="default"/>
      </w:rPr>
    </w:lvl>
    <w:lvl w:ilvl="3" w:tplc="0C090001" w:tentative="1">
      <w:start w:val="1"/>
      <w:numFmt w:val="bullet"/>
      <w:lvlText w:val=""/>
      <w:lvlJc w:val="left"/>
      <w:pPr>
        <w:ind w:left="6120" w:hanging="360"/>
      </w:pPr>
      <w:rPr>
        <w:rFonts w:ascii="Symbol" w:hAnsi="Symbol" w:hint="default"/>
      </w:rPr>
    </w:lvl>
    <w:lvl w:ilvl="4" w:tplc="0C090003" w:tentative="1">
      <w:start w:val="1"/>
      <w:numFmt w:val="bullet"/>
      <w:lvlText w:val="o"/>
      <w:lvlJc w:val="left"/>
      <w:pPr>
        <w:ind w:left="6840" w:hanging="360"/>
      </w:pPr>
      <w:rPr>
        <w:rFonts w:ascii="Courier New" w:hAnsi="Courier New" w:cs="Courier New" w:hint="default"/>
      </w:rPr>
    </w:lvl>
    <w:lvl w:ilvl="5" w:tplc="0C090005" w:tentative="1">
      <w:start w:val="1"/>
      <w:numFmt w:val="bullet"/>
      <w:lvlText w:val=""/>
      <w:lvlJc w:val="left"/>
      <w:pPr>
        <w:ind w:left="7560" w:hanging="360"/>
      </w:pPr>
      <w:rPr>
        <w:rFonts w:ascii="Wingdings" w:hAnsi="Wingdings" w:hint="default"/>
      </w:rPr>
    </w:lvl>
    <w:lvl w:ilvl="6" w:tplc="0C090001" w:tentative="1">
      <w:start w:val="1"/>
      <w:numFmt w:val="bullet"/>
      <w:lvlText w:val=""/>
      <w:lvlJc w:val="left"/>
      <w:pPr>
        <w:ind w:left="8280" w:hanging="360"/>
      </w:pPr>
      <w:rPr>
        <w:rFonts w:ascii="Symbol" w:hAnsi="Symbol" w:hint="default"/>
      </w:rPr>
    </w:lvl>
    <w:lvl w:ilvl="7" w:tplc="0C090003" w:tentative="1">
      <w:start w:val="1"/>
      <w:numFmt w:val="bullet"/>
      <w:lvlText w:val="o"/>
      <w:lvlJc w:val="left"/>
      <w:pPr>
        <w:ind w:left="9000" w:hanging="360"/>
      </w:pPr>
      <w:rPr>
        <w:rFonts w:ascii="Courier New" w:hAnsi="Courier New" w:cs="Courier New" w:hint="default"/>
      </w:rPr>
    </w:lvl>
    <w:lvl w:ilvl="8" w:tplc="0C090005" w:tentative="1">
      <w:start w:val="1"/>
      <w:numFmt w:val="bullet"/>
      <w:lvlText w:val=""/>
      <w:lvlJc w:val="left"/>
      <w:pPr>
        <w:ind w:left="9720" w:hanging="360"/>
      </w:pPr>
      <w:rPr>
        <w:rFonts w:ascii="Wingdings" w:hAnsi="Wingdings" w:hint="default"/>
      </w:rPr>
    </w:lvl>
  </w:abstractNum>
  <w:abstractNum w:abstractNumId="11" w15:restartNumberingAfterBreak="0">
    <w:nsid w:val="17BC3B0B"/>
    <w:multiLevelType w:val="hybridMultilevel"/>
    <w:tmpl w:val="C20CD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39399C"/>
    <w:multiLevelType w:val="hybridMultilevel"/>
    <w:tmpl w:val="DACEA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655212"/>
    <w:multiLevelType w:val="hybridMultilevel"/>
    <w:tmpl w:val="52F4C992"/>
    <w:lvl w:ilvl="0" w:tplc="749CF2F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CF1B4B"/>
    <w:multiLevelType w:val="hybridMultilevel"/>
    <w:tmpl w:val="9C9443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B7179A6"/>
    <w:multiLevelType w:val="hybridMultilevel"/>
    <w:tmpl w:val="469A1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CE6070"/>
    <w:multiLevelType w:val="multilevel"/>
    <w:tmpl w:val="C7AA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9C5D9A"/>
    <w:multiLevelType w:val="hybridMultilevel"/>
    <w:tmpl w:val="64D82A70"/>
    <w:lvl w:ilvl="0" w:tplc="47285A26">
      <w:start w:val="2"/>
      <w:numFmt w:val="decimal"/>
      <w:lvlText w:val="%1."/>
      <w:lvlJc w:val="left"/>
      <w:pPr>
        <w:ind w:left="720" w:hanging="360"/>
      </w:pPr>
      <w:rPr>
        <w:rFonts w:hint="default"/>
        <w:b/>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62B7BC4"/>
    <w:multiLevelType w:val="hybridMultilevel"/>
    <w:tmpl w:val="590A626E"/>
    <w:lvl w:ilvl="0" w:tplc="7A86C89A">
      <w:start w:val="1"/>
      <w:numFmt w:val="decimal"/>
      <w:lvlText w:val="%1."/>
      <w:lvlJc w:val="left"/>
      <w:pPr>
        <w:ind w:left="720" w:hanging="360"/>
      </w:pPr>
      <w:rPr>
        <w:rFonts w:hint="default"/>
        <w:b/>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8A32CC0"/>
    <w:multiLevelType w:val="hybridMultilevel"/>
    <w:tmpl w:val="55F639C2"/>
    <w:lvl w:ilvl="0" w:tplc="3B78D01C">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2FC01D8E"/>
    <w:multiLevelType w:val="hybridMultilevel"/>
    <w:tmpl w:val="B06CAF38"/>
    <w:lvl w:ilvl="0" w:tplc="5476B7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17325C"/>
    <w:multiLevelType w:val="hybridMultilevel"/>
    <w:tmpl w:val="4A3A04AE"/>
    <w:lvl w:ilvl="0" w:tplc="CAF480E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7B7E37"/>
    <w:multiLevelType w:val="hybridMultilevel"/>
    <w:tmpl w:val="5F0A63B8"/>
    <w:lvl w:ilvl="0" w:tplc="21D8B6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A0D333E"/>
    <w:multiLevelType w:val="hybridMultilevel"/>
    <w:tmpl w:val="76728C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C58415F"/>
    <w:multiLevelType w:val="multilevel"/>
    <w:tmpl w:val="3D30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752510"/>
    <w:multiLevelType w:val="hybridMultilevel"/>
    <w:tmpl w:val="D52463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81216F"/>
    <w:multiLevelType w:val="hybridMultilevel"/>
    <w:tmpl w:val="3C90D926"/>
    <w:lvl w:ilvl="0" w:tplc="04E4008C">
      <w:numFmt w:val="bullet"/>
      <w:lvlText w:val="—"/>
      <w:lvlJc w:val="left"/>
      <w:pPr>
        <w:ind w:left="1224" w:hanging="360"/>
      </w:pPr>
      <w:rPr>
        <w:rFonts w:ascii="Avenir Next" w:eastAsia="AvenirNext LT Pro Bold" w:hAnsi="Avenir Next" w:cs="AvenirNext LT Pro Bold" w:hint="default"/>
      </w:rPr>
    </w:lvl>
    <w:lvl w:ilvl="1" w:tplc="0C090003" w:tentative="1">
      <w:start w:val="1"/>
      <w:numFmt w:val="bullet"/>
      <w:lvlText w:val="o"/>
      <w:lvlJc w:val="left"/>
      <w:pPr>
        <w:ind w:left="1944" w:hanging="360"/>
      </w:pPr>
      <w:rPr>
        <w:rFonts w:ascii="Courier New" w:hAnsi="Courier New" w:cs="Courier New" w:hint="default"/>
      </w:rPr>
    </w:lvl>
    <w:lvl w:ilvl="2" w:tplc="0C090005" w:tentative="1">
      <w:start w:val="1"/>
      <w:numFmt w:val="bullet"/>
      <w:lvlText w:val=""/>
      <w:lvlJc w:val="left"/>
      <w:pPr>
        <w:ind w:left="2664" w:hanging="360"/>
      </w:pPr>
      <w:rPr>
        <w:rFonts w:ascii="Wingdings" w:hAnsi="Wingdings" w:hint="default"/>
      </w:rPr>
    </w:lvl>
    <w:lvl w:ilvl="3" w:tplc="0C090001" w:tentative="1">
      <w:start w:val="1"/>
      <w:numFmt w:val="bullet"/>
      <w:lvlText w:val=""/>
      <w:lvlJc w:val="left"/>
      <w:pPr>
        <w:ind w:left="3384" w:hanging="360"/>
      </w:pPr>
      <w:rPr>
        <w:rFonts w:ascii="Symbol" w:hAnsi="Symbol" w:hint="default"/>
      </w:rPr>
    </w:lvl>
    <w:lvl w:ilvl="4" w:tplc="0C090003" w:tentative="1">
      <w:start w:val="1"/>
      <w:numFmt w:val="bullet"/>
      <w:lvlText w:val="o"/>
      <w:lvlJc w:val="left"/>
      <w:pPr>
        <w:ind w:left="4104" w:hanging="360"/>
      </w:pPr>
      <w:rPr>
        <w:rFonts w:ascii="Courier New" w:hAnsi="Courier New" w:cs="Courier New" w:hint="default"/>
      </w:rPr>
    </w:lvl>
    <w:lvl w:ilvl="5" w:tplc="0C090005" w:tentative="1">
      <w:start w:val="1"/>
      <w:numFmt w:val="bullet"/>
      <w:lvlText w:val=""/>
      <w:lvlJc w:val="left"/>
      <w:pPr>
        <w:ind w:left="4824" w:hanging="360"/>
      </w:pPr>
      <w:rPr>
        <w:rFonts w:ascii="Wingdings" w:hAnsi="Wingdings" w:hint="default"/>
      </w:rPr>
    </w:lvl>
    <w:lvl w:ilvl="6" w:tplc="0C090001" w:tentative="1">
      <w:start w:val="1"/>
      <w:numFmt w:val="bullet"/>
      <w:lvlText w:val=""/>
      <w:lvlJc w:val="left"/>
      <w:pPr>
        <w:ind w:left="5544" w:hanging="360"/>
      </w:pPr>
      <w:rPr>
        <w:rFonts w:ascii="Symbol" w:hAnsi="Symbol" w:hint="default"/>
      </w:rPr>
    </w:lvl>
    <w:lvl w:ilvl="7" w:tplc="0C090003" w:tentative="1">
      <w:start w:val="1"/>
      <w:numFmt w:val="bullet"/>
      <w:lvlText w:val="o"/>
      <w:lvlJc w:val="left"/>
      <w:pPr>
        <w:ind w:left="6264" w:hanging="360"/>
      </w:pPr>
      <w:rPr>
        <w:rFonts w:ascii="Courier New" w:hAnsi="Courier New" w:cs="Courier New" w:hint="default"/>
      </w:rPr>
    </w:lvl>
    <w:lvl w:ilvl="8" w:tplc="0C090005" w:tentative="1">
      <w:start w:val="1"/>
      <w:numFmt w:val="bullet"/>
      <w:lvlText w:val=""/>
      <w:lvlJc w:val="left"/>
      <w:pPr>
        <w:ind w:left="6984" w:hanging="360"/>
      </w:pPr>
      <w:rPr>
        <w:rFonts w:ascii="Wingdings" w:hAnsi="Wingdings" w:hint="default"/>
      </w:rPr>
    </w:lvl>
  </w:abstractNum>
  <w:abstractNum w:abstractNumId="27" w15:restartNumberingAfterBreak="0">
    <w:nsid w:val="3E841D94"/>
    <w:multiLevelType w:val="hybridMultilevel"/>
    <w:tmpl w:val="6D4C8064"/>
    <w:lvl w:ilvl="0" w:tplc="FC6691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101140B"/>
    <w:multiLevelType w:val="multilevel"/>
    <w:tmpl w:val="1DBA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5D7BBB"/>
    <w:multiLevelType w:val="hybridMultilevel"/>
    <w:tmpl w:val="2F24EFDC"/>
    <w:lvl w:ilvl="0" w:tplc="7AA6AA2E">
      <w:start w:val="5"/>
      <w:numFmt w:val="bullet"/>
      <w:lvlText w:val="-"/>
      <w:lvlJc w:val="left"/>
      <w:pPr>
        <w:ind w:left="927" w:hanging="360"/>
      </w:pPr>
      <w:rPr>
        <w:rFonts w:ascii="Avenir Next" w:eastAsia="AvenirNext LT Pro Bold" w:hAnsi="Avenir Next" w:cs="AvenirNext LT Pro Bold"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0" w15:restartNumberingAfterBreak="0">
    <w:nsid w:val="436534E3"/>
    <w:multiLevelType w:val="hybridMultilevel"/>
    <w:tmpl w:val="46B894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49981575"/>
    <w:multiLevelType w:val="hybridMultilevel"/>
    <w:tmpl w:val="BC04627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2" w15:restartNumberingAfterBreak="0">
    <w:nsid w:val="4C0A54C0"/>
    <w:multiLevelType w:val="hybridMultilevel"/>
    <w:tmpl w:val="2E60A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7831A8"/>
    <w:multiLevelType w:val="hybridMultilevel"/>
    <w:tmpl w:val="F1943D88"/>
    <w:lvl w:ilvl="0" w:tplc="37F2C884">
      <w:start w:val="1"/>
      <w:numFmt w:val="decimal"/>
      <w:lvlText w:val="%1."/>
      <w:lvlJc w:val="left"/>
      <w:pPr>
        <w:ind w:left="720" w:hanging="360"/>
      </w:pPr>
      <w:rPr>
        <w:b/>
      </w:rPr>
    </w:lvl>
    <w:lvl w:ilvl="1" w:tplc="64D6CD84">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5CC2828"/>
    <w:multiLevelType w:val="hybridMultilevel"/>
    <w:tmpl w:val="8C60B592"/>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35" w15:restartNumberingAfterBreak="0">
    <w:nsid w:val="5DB10726"/>
    <w:multiLevelType w:val="hybridMultilevel"/>
    <w:tmpl w:val="8DAC96A6"/>
    <w:lvl w:ilvl="0" w:tplc="FFFFFFFF">
      <w:start w:val="1"/>
      <w:numFmt w:val="decimal"/>
      <w:lvlText w:val="%1."/>
      <w:lvlJc w:val="left"/>
      <w:pPr>
        <w:ind w:left="720" w:hanging="360"/>
      </w:pPr>
      <w:rPr>
        <w:rFonts w:hint="default"/>
        <w:b/>
        <w:bCs w:val="0"/>
      </w:rPr>
    </w:lvl>
    <w:lvl w:ilvl="1" w:tplc="0C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3A1FA0"/>
    <w:multiLevelType w:val="hybridMultilevel"/>
    <w:tmpl w:val="8390B3A2"/>
    <w:lvl w:ilvl="0" w:tplc="E800F9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9E601F"/>
    <w:multiLevelType w:val="hybridMultilevel"/>
    <w:tmpl w:val="AF8C2A58"/>
    <w:lvl w:ilvl="0" w:tplc="83D61B66">
      <w:start w:val="1"/>
      <w:numFmt w:val="decimal"/>
      <w:lvlText w:val="%1."/>
      <w:lvlJc w:val="left"/>
      <w:pPr>
        <w:ind w:left="720" w:hanging="360"/>
      </w:pPr>
      <w:rPr>
        <w:rFonts w:hint="default"/>
        <w:b/>
        <w:bCs w:val="0"/>
      </w:rPr>
    </w:lvl>
    <w:lvl w:ilvl="1" w:tplc="26B41922">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A1B03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4370D4"/>
    <w:multiLevelType w:val="hybridMultilevel"/>
    <w:tmpl w:val="AF8C2A58"/>
    <w:lvl w:ilvl="0" w:tplc="FFFFFFFF">
      <w:start w:val="1"/>
      <w:numFmt w:val="decimal"/>
      <w:lvlText w:val="%1."/>
      <w:lvlJc w:val="left"/>
      <w:pPr>
        <w:ind w:left="720" w:hanging="360"/>
      </w:pPr>
      <w:rPr>
        <w:rFonts w:hint="default"/>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0EC6FC4"/>
    <w:multiLevelType w:val="hybridMultilevel"/>
    <w:tmpl w:val="030AD2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18C4F02"/>
    <w:multiLevelType w:val="hybridMultilevel"/>
    <w:tmpl w:val="376820CC"/>
    <w:lvl w:ilvl="0" w:tplc="8C52A4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076F1B"/>
    <w:multiLevelType w:val="hybridMultilevel"/>
    <w:tmpl w:val="7CE2815E"/>
    <w:lvl w:ilvl="0" w:tplc="CCDA3C6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570662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69E62FF"/>
    <w:multiLevelType w:val="hybridMultilevel"/>
    <w:tmpl w:val="182A71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76EB97E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A061D84"/>
    <w:multiLevelType w:val="hybridMultilevel"/>
    <w:tmpl w:val="EF6A6E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D9D5683"/>
    <w:multiLevelType w:val="hybridMultilevel"/>
    <w:tmpl w:val="CE40EB44"/>
    <w:lvl w:ilvl="0" w:tplc="4FACF0C0">
      <w:start w:val="1"/>
      <w:numFmt w:val="decimal"/>
      <w:lvlText w:val="%1."/>
      <w:lvlJc w:val="left"/>
      <w:pPr>
        <w:ind w:left="720" w:hanging="360"/>
      </w:pPr>
      <w:rPr>
        <w:b/>
        <w:bCs w:val="0"/>
      </w:rPr>
    </w:lvl>
    <w:lvl w:ilvl="1" w:tplc="804A1212">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331274">
    <w:abstractNumId w:val="10"/>
  </w:num>
  <w:num w:numId="2" w16cid:durableId="1829131221">
    <w:abstractNumId w:val="47"/>
  </w:num>
  <w:num w:numId="3" w16cid:durableId="562523891">
    <w:abstractNumId w:val="18"/>
  </w:num>
  <w:num w:numId="4" w16cid:durableId="212082939">
    <w:abstractNumId w:val="26"/>
  </w:num>
  <w:num w:numId="5" w16cid:durableId="1806314352">
    <w:abstractNumId w:val="11"/>
  </w:num>
  <w:num w:numId="6" w16cid:durableId="1938826543">
    <w:abstractNumId w:val="22"/>
  </w:num>
  <w:num w:numId="7" w16cid:durableId="346837353">
    <w:abstractNumId w:val="46"/>
  </w:num>
  <w:num w:numId="8" w16cid:durableId="339235976">
    <w:abstractNumId w:val="14"/>
  </w:num>
  <w:num w:numId="9" w16cid:durableId="153955939">
    <w:abstractNumId w:val="23"/>
  </w:num>
  <w:num w:numId="10" w16cid:durableId="629944056">
    <w:abstractNumId w:val="12"/>
  </w:num>
  <w:num w:numId="11" w16cid:durableId="674768131">
    <w:abstractNumId w:val="28"/>
  </w:num>
  <w:num w:numId="12" w16cid:durableId="684332183">
    <w:abstractNumId w:val="13"/>
  </w:num>
  <w:num w:numId="13" w16cid:durableId="1650136179">
    <w:abstractNumId w:val="30"/>
  </w:num>
  <w:num w:numId="14" w16cid:durableId="886185805">
    <w:abstractNumId w:val="8"/>
  </w:num>
  <w:num w:numId="15" w16cid:durableId="26375780">
    <w:abstractNumId w:val="16"/>
  </w:num>
  <w:num w:numId="16" w16cid:durableId="2112780317">
    <w:abstractNumId w:val="24"/>
  </w:num>
  <w:num w:numId="17" w16cid:durableId="1079867593">
    <w:abstractNumId w:val="33"/>
  </w:num>
  <w:num w:numId="18" w16cid:durableId="1323314689">
    <w:abstractNumId w:val="6"/>
  </w:num>
  <w:num w:numId="19" w16cid:durableId="608044545">
    <w:abstractNumId w:val="41"/>
  </w:num>
  <w:num w:numId="20" w16cid:durableId="1602639024">
    <w:abstractNumId w:val="25"/>
  </w:num>
  <w:num w:numId="21" w16cid:durableId="1062289906">
    <w:abstractNumId w:val="15"/>
  </w:num>
  <w:num w:numId="22" w16cid:durableId="1660426913">
    <w:abstractNumId w:val="32"/>
  </w:num>
  <w:num w:numId="23" w16cid:durableId="1229152037">
    <w:abstractNumId w:val="34"/>
  </w:num>
  <w:num w:numId="24" w16cid:durableId="1073545727">
    <w:abstractNumId w:val="21"/>
  </w:num>
  <w:num w:numId="25" w16cid:durableId="432406767">
    <w:abstractNumId w:val="4"/>
  </w:num>
  <w:num w:numId="26" w16cid:durableId="1310136223">
    <w:abstractNumId w:val="7"/>
  </w:num>
  <w:num w:numId="27" w16cid:durableId="1524976992">
    <w:abstractNumId w:val="17"/>
  </w:num>
  <w:num w:numId="28" w16cid:durableId="1046950669">
    <w:abstractNumId w:val="37"/>
  </w:num>
  <w:num w:numId="29" w16cid:durableId="234245706">
    <w:abstractNumId w:val="27"/>
  </w:num>
  <w:num w:numId="30" w16cid:durableId="271861020">
    <w:abstractNumId w:val="5"/>
  </w:num>
  <w:num w:numId="31" w16cid:durableId="942687005">
    <w:abstractNumId w:val="44"/>
  </w:num>
  <w:num w:numId="32" w16cid:durableId="1895385238">
    <w:abstractNumId w:val="42"/>
  </w:num>
  <w:num w:numId="33" w16cid:durableId="1205679051">
    <w:abstractNumId w:val="29"/>
  </w:num>
  <w:num w:numId="34" w16cid:durableId="1170028530">
    <w:abstractNumId w:val="2"/>
  </w:num>
  <w:num w:numId="35" w16cid:durableId="900748071">
    <w:abstractNumId w:val="31"/>
  </w:num>
  <w:num w:numId="36" w16cid:durableId="1324774081">
    <w:abstractNumId w:val="20"/>
  </w:num>
  <w:num w:numId="37" w16cid:durableId="1802725392">
    <w:abstractNumId w:val="3"/>
  </w:num>
  <w:num w:numId="38" w16cid:durableId="663968668">
    <w:abstractNumId w:val="9"/>
  </w:num>
  <w:num w:numId="39" w16cid:durableId="1160733714">
    <w:abstractNumId w:val="39"/>
  </w:num>
  <w:num w:numId="40" w16cid:durableId="1650400215">
    <w:abstractNumId w:val="35"/>
  </w:num>
  <w:num w:numId="41" w16cid:durableId="1172838566">
    <w:abstractNumId w:val="36"/>
  </w:num>
  <w:num w:numId="42" w16cid:durableId="1544907747">
    <w:abstractNumId w:val="38"/>
  </w:num>
  <w:num w:numId="43" w16cid:durableId="462695928">
    <w:abstractNumId w:val="43"/>
  </w:num>
  <w:num w:numId="44" w16cid:durableId="539778267">
    <w:abstractNumId w:val="0"/>
  </w:num>
  <w:num w:numId="45" w16cid:durableId="1790588074">
    <w:abstractNumId w:val="45"/>
  </w:num>
  <w:num w:numId="46" w16cid:durableId="1090928698">
    <w:abstractNumId w:val="19"/>
  </w:num>
  <w:num w:numId="47" w16cid:durableId="1825774676">
    <w:abstractNumId w:val="40"/>
  </w:num>
  <w:num w:numId="48" w16cid:durableId="195388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F3010"/>
    <w:rsid w:val="00001BB2"/>
    <w:rsid w:val="00002FF6"/>
    <w:rsid w:val="000057F2"/>
    <w:rsid w:val="000140EA"/>
    <w:rsid w:val="00014985"/>
    <w:rsid w:val="00015873"/>
    <w:rsid w:val="00017F2F"/>
    <w:rsid w:val="00021DAD"/>
    <w:rsid w:val="00024BB5"/>
    <w:rsid w:val="00025193"/>
    <w:rsid w:val="000261B2"/>
    <w:rsid w:val="00026D56"/>
    <w:rsid w:val="000303C5"/>
    <w:rsid w:val="000318EF"/>
    <w:rsid w:val="000422E8"/>
    <w:rsid w:val="00045F54"/>
    <w:rsid w:val="00046248"/>
    <w:rsid w:val="000506C9"/>
    <w:rsid w:val="00056A9A"/>
    <w:rsid w:val="00060C99"/>
    <w:rsid w:val="000648A4"/>
    <w:rsid w:val="00073EE6"/>
    <w:rsid w:val="000757C6"/>
    <w:rsid w:val="000761C5"/>
    <w:rsid w:val="000858EE"/>
    <w:rsid w:val="000875E2"/>
    <w:rsid w:val="000922F4"/>
    <w:rsid w:val="000954F8"/>
    <w:rsid w:val="000A0CF8"/>
    <w:rsid w:val="000A2CF6"/>
    <w:rsid w:val="000A5AAF"/>
    <w:rsid w:val="000A74F2"/>
    <w:rsid w:val="000B0869"/>
    <w:rsid w:val="000B37F2"/>
    <w:rsid w:val="000B5FF3"/>
    <w:rsid w:val="000C0714"/>
    <w:rsid w:val="000C1494"/>
    <w:rsid w:val="000C4D24"/>
    <w:rsid w:val="000D5A59"/>
    <w:rsid w:val="000D5D1B"/>
    <w:rsid w:val="000E09E3"/>
    <w:rsid w:val="000E2FA0"/>
    <w:rsid w:val="000E3093"/>
    <w:rsid w:val="000F1E0E"/>
    <w:rsid w:val="000F2FF5"/>
    <w:rsid w:val="00103395"/>
    <w:rsid w:val="00106CFD"/>
    <w:rsid w:val="00110814"/>
    <w:rsid w:val="0011172D"/>
    <w:rsid w:val="0011437B"/>
    <w:rsid w:val="00120403"/>
    <w:rsid w:val="0012332F"/>
    <w:rsid w:val="00126232"/>
    <w:rsid w:val="0012734F"/>
    <w:rsid w:val="00127418"/>
    <w:rsid w:val="00130897"/>
    <w:rsid w:val="001330E1"/>
    <w:rsid w:val="0014152E"/>
    <w:rsid w:val="0014339B"/>
    <w:rsid w:val="00154506"/>
    <w:rsid w:val="00154F4F"/>
    <w:rsid w:val="00162537"/>
    <w:rsid w:val="0016325B"/>
    <w:rsid w:val="00164F63"/>
    <w:rsid w:val="001740E5"/>
    <w:rsid w:val="00174E59"/>
    <w:rsid w:val="0018177E"/>
    <w:rsid w:val="00181D3F"/>
    <w:rsid w:val="00187292"/>
    <w:rsid w:val="00191794"/>
    <w:rsid w:val="00192D37"/>
    <w:rsid w:val="001A095A"/>
    <w:rsid w:val="001A0C6E"/>
    <w:rsid w:val="001A1AB1"/>
    <w:rsid w:val="001A25D5"/>
    <w:rsid w:val="001A70D0"/>
    <w:rsid w:val="001B0490"/>
    <w:rsid w:val="001B545D"/>
    <w:rsid w:val="001B6999"/>
    <w:rsid w:val="001C03E0"/>
    <w:rsid w:val="001C4678"/>
    <w:rsid w:val="001C7405"/>
    <w:rsid w:val="001D0D4B"/>
    <w:rsid w:val="001D2881"/>
    <w:rsid w:val="001D6952"/>
    <w:rsid w:val="001D7E0E"/>
    <w:rsid w:val="001E24AB"/>
    <w:rsid w:val="001E31EC"/>
    <w:rsid w:val="001E4587"/>
    <w:rsid w:val="001F5991"/>
    <w:rsid w:val="001F5BBC"/>
    <w:rsid w:val="001F7F46"/>
    <w:rsid w:val="00201CC1"/>
    <w:rsid w:val="00205893"/>
    <w:rsid w:val="002059DC"/>
    <w:rsid w:val="00211B86"/>
    <w:rsid w:val="002157C9"/>
    <w:rsid w:val="00215D7B"/>
    <w:rsid w:val="00215DE9"/>
    <w:rsid w:val="00216880"/>
    <w:rsid w:val="00216E51"/>
    <w:rsid w:val="00217C0C"/>
    <w:rsid w:val="00220503"/>
    <w:rsid w:val="00227604"/>
    <w:rsid w:val="002305F3"/>
    <w:rsid w:val="002309B4"/>
    <w:rsid w:val="00233532"/>
    <w:rsid w:val="002336C0"/>
    <w:rsid w:val="002343A7"/>
    <w:rsid w:val="0023708D"/>
    <w:rsid w:val="002547CC"/>
    <w:rsid w:val="00255565"/>
    <w:rsid w:val="00261FCE"/>
    <w:rsid w:val="00262C2B"/>
    <w:rsid w:val="00263502"/>
    <w:rsid w:val="002637D5"/>
    <w:rsid w:val="002641CB"/>
    <w:rsid w:val="0026637C"/>
    <w:rsid w:val="00275345"/>
    <w:rsid w:val="00275E1B"/>
    <w:rsid w:val="00280143"/>
    <w:rsid w:val="00282151"/>
    <w:rsid w:val="00282792"/>
    <w:rsid w:val="00283003"/>
    <w:rsid w:val="00285995"/>
    <w:rsid w:val="00293379"/>
    <w:rsid w:val="0029677A"/>
    <w:rsid w:val="0029725B"/>
    <w:rsid w:val="00297355"/>
    <w:rsid w:val="002A0C8D"/>
    <w:rsid w:val="002A4A1A"/>
    <w:rsid w:val="002B683C"/>
    <w:rsid w:val="002C0D3C"/>
    <w:rsid w:val="002C147E"/>
    <w:rsid w:val="002C3516"/>
    <w:rsid w:val="002D3308"/>
    <w:rsid w:val="002D39BC"/>
    <w:rsid w:val="002D4476"/>
    <w:rsid w:val="002D7363"/>
    <w:rsid w:val="002E069C"/>
    <w:rsid w:val="002E321F"/>
    <w:rsid w:val="002E5631"/>
    <w:rsid w:val="002E5D2A"/>
    <w:rsid w:val="002E6186"/>
    <w:rsid w:val="002F12A8"/>
    <w:rsid w:val="002F33D3"/>
    <w:rsid w:val="002F5251"/>
    <w:rsid w:val="002F5FE2"/>
    <w:rsid w:val="002F706E"/>
    <w:rsid w:val="00303003"/>
    <w:rsid w:val="00307671"/>
    <w:rsid w:val="00310E72"/>
    <w:rsid w:val="003303FD"/>
    <w:rsid w:val="0033485E"/>
    <w:rsid w:val="003371AE"/>
    <w:rsid w:val="003373C0"/>
    <w:rsid w:val="003415D3"/>
    <w:rsid w:val="00342F58"/>
    <w:rsid w:val="00346A71"/>
    <w:rsid w:val="003510B8"/>
    <w:rsid w:val="00351FB4"/>
    <w:rsid w:val="003547AD"/>
    <w:rsid w:val="00365D87"/>
    <w:rsid w:val="0037014F"/>
    <w:rsid w:val="00370D2D"/>
    <w:rsid w:val="00370FCA"/>
    <w:rsid w:val="00373175"/>
    <w:rsid w:val="0037366D"/>
    <w:rsid w:val="0038145A"/>
    <w:rsid w:val="00381AFA"/>
    <w:rsid w:val="00382DDF"/>
    <w:rsid w:val="00393933"/>
    <w:rsid w:val="003954E9"/>
    <w:rsid w:val="00395993"/>
    <w:rsid w:val="003A134B"/>
    <w:rsid w:val="003A36C0"/>
    <w:rsid w:val="003A37D3"/>
    <w:rsid w:val="003A4362"/>
    <w:rsid w:val="003A4894"/>
    <w:rsid w:val="003B10DB"/>
    <w:rsid w:val="003B3CAE"/>
    <w:rsid w:val="003B3F61"/>
    <w:rsid w:val="003C0B7A"/>
    <w:rsid w:val="003C3219"/>
    <w:rsid w:val="003C5D0D"/>
    <w:rsid w:val="003C662D"/>
    <w:rsid w:val="003C6C1A"/>
    <w:rsid w:val="003C70BC"/>
    <w:rsid w:val="003D360F"/>
    <w:rsid w:val="003D5F33"/>
    <w:rsid w:val="003D62BF"/>
    <w:rsid w:val="003E0F25"/>
    <w:rsid w:val="003E436D"/>
    <w:rsid w:val="003E5F97"/>
    <w:rsid w:val="003F46E0"/>
    <w:rsid w:val="003F5A67"/>
    <w:rsid w:val="00400298"/>
    <w:rsid w:val="00400BDA"/>
    <w:rsid w:val="004014FC"/>
    <w:rsid w:val="004076EB"/>
    <w:rsid w:val="00410D60"/>
    <w:rsid w:val="00412BD1"/>
    <w:rsid w:val="00414E92"/>
    <w:rsid w:val="004173A2"/>
    <w:rsid w:val="004218E5"/>
    <w:rsid w:val="004229D5"/>
    <w:rsid w:val="00434F1C"/>
    <w:rsid w:val="00435626"/>
    <w:rsid w:val="004406BE"/>
    <w:rsid w:val="00443A66"/>
    <w:rsid w:val="00451746"/>
    <w:rsid w:val="004524EB"/>
    <w:rsid w:val="00460A68"/>
    <w:rsid w:val="00463B13"/>
    <w:rsid w:val="00465DFD"/>
    <w:rsid w:val="00472E7D"/>
    <w:rsid w:val="004805A9"/>
    <w:rsid w:val="00485B00"/>
    <w:rsid w:val="0048619F"/>
    <w:rsid w:val="00487B61"/>
    <w:rsid w:val="00487E48"/>
    <w:rsid w:val="00493F0A"/>
    <w:rsid w:val="004A042D"/>
    <w:rsid w:val="004A1952"/>
    <w:rsid w:val="004B0BED"/>
    <w:rsid w:val="004B2481"/>
    <w:rsid w:val="004B5471"/>
    <w:rsid w:val="004C0EAA"/>
    <w:rsid w:val="004C21DD"/>
    <w:rsid w:val="004D334D"/>
    <w:rsid w:val="004D4476"/>
    <w:rsid w:val="004D7436"/>
    <w:rsid w:val="004E47B8"/>
    <w:rsid w:val="004F1B8D"/>
    <w:rsid w:val="004F1D2D"/>
    <w:rsid w:val="004F33FE"/>
    <w:rsid w:val="004F522F"/>
    <w:rsid w:val="00506034"/>
    <w:rsid w:val="005076AC"/>
    <w:rsid w:val="00507E34"/>
    <w:rsid w:val="00512E56"/>
    <w:rsid w:val="005148A1"/>
    <w:rsid w:val="00522F7C"/>
    <w:rsid w:val="005236B5"/>
    <w:rsid w:val="00523D3C"/>
    <w:rsid w:val="005244BA"/>
    <w:rsid w:val="00524A72"/>
    <w:rsid w:val="0052644D"/>
    <w:rsid w:val="00530D30"/>
    <w:rsid w:val="00531D77"/>
    <w:rsid w:val="005323C5"/>
    <w:rsid w:val="00534550"/>
    <w:rsid w:val="00534FE9"/>
    <w:rsid w:val="0054126B"/>
    <w:rsid w:val="00543050"/>
    <w:rsid w:val="00543747"/>
    <w:rsid w:val="005449A9"/>
    <w:rsid w:val="00547AD3"/>
    <w:rsid w:val="00552281"/>
    <w:rsid w:val="005546F4"/>
    <w:rsid w:val="00561E71"/>
    <w:rsid w:val="00561F93"/>
    <w:rsid w:val="00562400"/>
    <w:rsid w:val="0056401A"/>
    <w:rsid w:val="00564316"/>
    <w:rsid w:val="00565E12"/>
    <w:rsid w:val="00572422"/>
    <w:rsid w:val="005769CF"/>
    <w:rsid w:val="00577B6A"/>
    <w:rsid w:val="005806DB"/>
    <w:rsid w:val="00583D94"/>
    <w:rsid w:val="00586A85"/>
    <w:rsid w:val="0059013F"/>
    <w:rsid w:val="00591908"/>
    <w:rsid w:val="0059442A"/>
    <w:rsid w:val="005A7DB6"/>
    <w:rsid w:val="005B2A36"/>
    <w:rsid w:val="005B4A68"/>
    <w:rsid w:val="005B573C"/>
    <w:rsid w:val="005B6563"/>
    <w:rsid w:val="005C606C"/>
    <w:rsid w:val="005C6123"/>
    <w:rsid w:val="005C74A9"/>
    <w:rsid w:val="005D2A6D"/>
    <w:rsid w:val="005D3CCA"/>
    <w:rsid w:val="005E1425"/>
    <w:rsid w:val="005E2337"/>
    <w:rsid w:val="005E42EB"/>
    <w:rsid w:val="005F2197"/>
    <w:rsid w:val="006000FD"/>
    <w:rsid w:val="00602C93"/>
    <w:rsid w:val="00605557"/>
    <w:rsid w:val="00607598"/>
    <w:rsid w:val="0061445B"/>
    <w:rsid w:val="00614BFD"/>
    <w:rsid w:val="006226EC"/>
    <w:rsid w:val="0062404B"/>
    <w:rsid w:val="0062512F"/>
    <w:rsid w:val="00625232"/>
    <w:rsid w:val="006302E1"/>
    <w:rsid w:val="0063388A"/>
    <w:rsid w:val="00633EF7"/>
    <w:rsid w:val="00634A8A"/>
    <w:rsid w:val="0063557D"/>
    <w:rsid w:val="006430DD"/>
    <w:rsid w:val="00646268"/>
    <w:rsid w:val="00652314"/>
    <w:rsid w:val="00652696"/>
    <w:rsid w:val="00652B88"/>
    <w:rsid w:val="006543CA"/>
    <w:rsid w:val="00654CE9"/>
    <w:rsid w:val="00655039"/>
    <w:rsid w:val="006602B0"/>
    <w:rsid w:val="006820DA"/>
    <w:rsid w:val="00682641"/>
    <w:rsid w:val="00682D31"/>
    <w:rsid w:val="006876C9"/>
    <w:rsid w:val="0069217C"/>
    <w:rsid w:val="00694638"/>
    <w:rsid w:val="006959CF"/>
    <w:rsid w:val="006A5CDF"/>
    <w:rsid w:val="006A70C3"/>
    <w:rsid w:val="006A7FDA"/>
    <w:rsid w:val="006B3BCB"/>
    <w:rsid w:val="006B7860"/>
    <w:rsid w:val="006C2FA5"/>
    <w:rsid w:val="006C3DF9"/>
    <w:rsid w:val="006C4E96"/>
    <w:rsid w:val="006C5442"/>
    <w:rsid w:val="006C67F1"/>
    <w:rsid w:val="006C69A4"/>
    <w:rsid w:val="006D2216"/>
    <w:rsid w:val="006E09F4"/>
    <w:rsid w:val="006E18E7"/>
    <w:rsid w:val="006E3725"/>
    <w:rsid w:val="006F0C3D"/>
    <w:rsid w:val="00701EAD"/>
    <w:rsid w:val="00702F07"/>
    <w:rsid w:val="00707FF2"/>
    <w:rsid w:val="0071089E"/>
    <w:rsid w:val="00710FFE"/>
    <w:rsid w:val="007125DE"/>
    <w:rsid w:val="00712D4C"/>
    <w:rsid w:val="00714CBB"/>
    <w:rsid w:val="007150A2"/>
    <w:rsid w:val="00716B9D"/>
    <w:rsid w:val="00720A2E"/>
    <w:rsid w:val="00720ABD"/>
    <w:rsid w:val="00722554"/>
    <w:rsid w:val="007266B5"/>
    <w:rsid w:val="00727563"/>
    <w:rsid w:val="00731A13"/>
    <w:rsid w:val="00734C79"/>
    <w:rsid w:val="007359AF"/>
    <w:rsid w:val="00744806"/>
    <w:rsid w:val="0075117D"/>
    <w:rsid w:val="00753438"/>
    <w:rsid w:val="0075512E"/>
    <w:rsid w:val="00756888"/>
    <w:rsid w:val="00765AFA"/>
    <w:rsid w:val="0076784E"/>
    <w:rsid w:val="0076787A"/>
    <w:rsid w:val="00770662"/>
    <w:rsid w:val="00770B6E"/>
    <w:rsid w:val="00770F0E"/>
    <w:rsid w:val="00773C01"/>
    <w:rsid w:val="00780B98"/>
    <w:rsid w:val="007835E6"/>
    <w:rsid w:val="0079123A"/>
    <w:rsid w:val="007B1906"/>
    <w:rsid w:val="007B53E0"/>
    <w:rsid w:val="007B66ED"/>
    <w:rsid w:val="007B7E2F"/>
    <w:rsid w:val="007C22F3"/>
    <w:rsid w:val="007C748D"/>
    <w:rsid w:val="007C79DD"/>
    <w:rsid w:val="007D40CF"/>
    <w:rsid w:val="007D5DF4"/>
    <w:rsid w:val="007E0866"/>
    <w:rsid w:val="007E1FA7"/>
    <w:rsid w:val="007E51C8"/>
    <w:rsid w:val="007E59C7"/>
    <w:rsid w:val="007F2E43"/>
    <w:rsid w:val="007F2F6F"/>
    <w:rsid w:val="007F5D2B"/>
    <w:rsid w:val="007F708C"/>
    <w:rsid w:val="008004E0"/>
    <w:rsid w:val="00807E3D"/>
    <w:rsid w:val="00810CCC"/>
    <w:rsid w:val="00811995"/>
    <w:rsid w:val="008124D5"/>
    <w:rsid w:val="00824C79"/>
    <w:rsid w:val="00842FC1"/>
    <w:rsid w:val="00843530"/>
    <w:rsid w:val="0084479D"/>
    <w:rsid w:val="00855F15"/>
    <w:rsid w:val="00857422"/>
    <w:rsid w:val="008602A3"/>
    <w:rsid w:val="0086489A"/>
    <w:rsid w:val="00864C83"/>
    <w:rsid w:val="008669C7"/>
    <w:rsid w:val="00871B20"/>
    <w:rsid w:val="00874487"/>
    <w:rsid w:val="00874C7C"/>
    <w:rsid w:val="0088145C"/>
    <w:rsid w:val="00882345"/>
    <w:rsid w:val="0088383F"/>
    <w:rsid w:val="00887191"/>
    <w:rsid w:val="008875A7"/>
    <w:rsid w:val="00887F12"/>
    <w:rsid w:val="00890E0C"/>
    <w:rsid w:val="0089211D"/>
    <w:rsid w:val="008941E1"/>
    <w:rsid w:val="008A00A2"/>
    <w:rsid w:val="008A01AD"/>
    <w:rsid w:val="008A3CFE"/>
    <w:rsid w:val="008A3EB1"/>
    <w:rsid w:val="008A698B"/>
    <w:rsid w:val="008A73E7"/>
    <w:rsid w:val="008B0F99"/>
    <w:rsid w:val="008B3729"/>
    <w:rsid w:val="008B6C32"/>
    <w:rsid w:val="008B6D12"/>
    <w:rsid w:val="008C240F"/>
    <w:rsid w:val="008C32E6"/>
    <w:rsid w:val="008C3E82"/>
    <w:rsid w:val="008C4352"/>
    <w:rsid w:val="008C6302"/>
    <w:rsid w:val="008C640C"/>
    <w:rsid w:val="008D24B1"/>
    <w:rsid w:val="008D5C9E"/>
    <w:rsid w:val="008D6903"/>
    <w:rsid w:val="008D7217"/>
    <w:rsid w:val="008D724C"/>
    <w:rsid w:val="008E0077"/>
    <w:rsid w:val="008E31B2"/>
    <w:rsid w:val="008E57C2"/>
    <w:rsid w:val="008E6130"/>
    <w:rsid w:val="008F5285"/>
    <w:rsid w:val="008F66B6"/>
    <w:rsid w:val="008F708F"/>
    <w:rsid w:val="00900281"/>
    <w:rsid w:val="00905B6E"/>
    <w:rsid w:val="009148A6"/>
    <w:rsid w:val="009201F5"/>
    <w:rsid w:val="009219CD"/>
    <w:rsid w:val="00926A8A"/>
    <w:rsid w:val="00926ADE"/>
    <w:rsid w:val="0093412C"/>
    <w:rsid w:val="009404E0"/>
    <w:rsid w:val="0094277C"/>
    <w:rsid w:val="00947403"/>
    <w:rsid w:val="0095501B"/>
    <w:rsid w:val="00956A8F"/>
    <w:rsid w:val="009571A4"/>
    <w:rsid w:val="00962D0F"/>
    <w:rsid w:val="00963430"/>
    <w:rsid w:val="00966A70"/>
    <w:rsid w:val="0097488A"/>
    <w:rsid w:val="00976514"/>
    <w:rsid w:val="009779F7"/>
    <w:rsid w:val="009849CE"/>
    <w:rsid w:val="00985072"/>
    <w:rsid w:val="00985884"/>
    <w:rsid w:val="009865E5"/>
    <w:rsid w:val="00990C26"/>
    <w:rsid w:val="00995276"/>
    <w:rsid w:val="0099736E"/>
    <w:rsid w:val="009977BB"/>
    <w:rsid w:val="009A2F37"/>
    <w:rsid w:val="009A3CC6"/>
    <w:rsid w:val="009A73E1"/>
    <w:rsid w:val="009B278D"/>
    <w:rsid w:val="009B5217"/>
    <w:rsid w:val="009B7302"/>
    <w:rsid w:val="009C4D26"/>
    <w:rsid w:val="009D1B79"/>
    <w:rsid w:val="009D6097"/>
    <w:rsid w:val="009D72E8"/>
    <w:rsid w:val="009E0F09"/>
    <w:rsid w:val="009E65F2"/>
    <w:rsid w:val="009E7CF8"/>
    <w:rsid w:val="009F3010"/>
    <w:rsid w:val="009F33D9"/>
    <w:rsid w:val="009F3D13"/>
    <w:rsid w:val="009F6387"/>
    <w:rsid w:val="00A028DF"/>
    <w:rsid w:val="00A02D19"/>
    <w:rsid w:val="00A0420B"/>
    <w:rsid w:val="00A06367"/>
    <w:rsid w:val="00A065D2"/>
    <w:rsid w:val="00A165D2"/>
    <w:rsid w:val="00A1693E"/>
    <w:rsid w:val="00A23DA4"/>
    <w:rsid w:val="00A32F46"/>
    <w:rsid w:val="00A34996"/>
    <w:rsid w:val="00A3602A"/>
    <w:rsid w:val="00A45F70"/>
    <w:rsid w:val="00A51456"/>
    <w:rsid w:val="00A52B7C"/>
    <w:rsid w:val="00A56F95"/>
    <w:rsid w:val="00A649D4"/>
    <w:rsid w:val="00A65F0E"/>
    <w:rsid w:val="00A67935"/>
    <w:rsid w:val="00A73B4C"/>
    <w:rsid w:val="00A863D1"/>
    <w:rsid w:val="00A90523"/>
    <w:rsid w:val="00A90BC9"/>
    <w:rsid w:val="00A92428"/>
    <w:rsid w:val="00A93423"/>
    <w:rsid w:val="00A94E15"/>
    <w:rsid w:val="00A9505B"/>
    <w:rsid w:val="00AA2491"/>
    <w:rsid w:val="00AA3440"/>
    <w:rsid w:val="00AA4C41"/>
    <w:rsid w:val="00AA7BEB"/>
    <w:rsid w:val="00AB02AF"/>
    <w:rsid w:val="00AB0D1D"/>
    <w:rsid w:val="00AB1B50"/>
    <w:rsid w:val="00AB2FF2"/>
    <w:rsid w:val="00AB34A3"/>
    <w:rsid w:val="00AC288F"/>
    <w:rsid w:val="00AC2E19"/>
    <w:rsid w:val="00AD3919"/>
    <w:rsid w:val="00AD56AA"/>
    <w:rsid w:val="00AD588B"/>
    <w:rsid w:val="00AD683F"/>
    <w:rsid w:val="00AE0E38"/>
    <w:rsid w:val="00AE1DE3"/>
    <w:rsid w:val="00AE2D63"/>
    <w:rsid w:val="00AE5A29"/>
    <w:rsid w:val="00AE5DBA"/>
    <w:rsid w:val="00AE7372"/>
    <w:rsid w:val="00AF1006"/>
    <w:rsid w:val="00AF1608"/>
    <w:rsid w:val="00AF179F"/>
    <w:rsid w:val="00AF22F1"/>
    <w:rsid w:val="00AF2B15"/>
    <w:rsid w:val="00B03853"/>
    <w:rsid w:val="00B057FD"/>
    <w:rsid w:val="00B103D8"/>
    <w:rsid w:val="00B12873"/>
    <w:rsid w:val="00B13A41"/>
    <w:rsid w:val="00B15F8D"/>
    <w:rsid w:val="00B2289A"/>
    <w:rsid w:val="00B24561"/>
    <w:rsid w:val="00B27BEF"/>
    <w:rsid w:val="00B313BE"/>
    <w:rsid w:val="00B32683"/>
    <w:rsid w:val="00B333C1"/>
    <w:rsid w:val="00B35C69"/>
    <w:rsid w:val="00B4366B"/>
    <w:rsid w:val="00B44BCA"/>
    <w:rsid w:val="00B50003"/>
    <w:rsid w:val="00B6059C"/>
    <w:rsid w:val="00B63AE4"/>
    <w:rsid w:val="00B63EAD"/>
    <w:rsid w:val="00B66CDB"/>
    <w:rsid w:val="00B75E42"/>
    <w:rsid w:val="00B760C1"/>
    <w:rsid w:val="00B76F65"/>
    <w:rsid w:val="00B7768B"/>
    <w:rsid w:val="00B80505"/>
    <w:rsid w:val="00B80D6F"/>
    <w:rsid w:val="00B87BDF"/>
    <w:rsid w:val="00B900D2"/>
    <w:rsid w:val="00B93E5F"/>
    <w:rsid w:val="00BA1BC7"/>
    <w:rsid w:val="00BA1C30"/>
    <w:rsid w:val="00BA57CE"/>
    <w:rsid w:val="00BB0AF6"/>
    <w:rsid w:val="00BB14FB"/>
    <w:rsid w:val="00BB531E"/>
    <w:rsid w:val="00BC23B0"/>
    <w:rsid w:val="00BC57AB"/>
    <w:rsid w:val="00BC5ADD"/>
    <w:rsid w:val="00BC6254"/>
    <w:rsid w:val="00BD09CE"/>
    <w:rsid w:val="00BD268C"/>
    <w:rsid w:val="00BD275D"/>
    <w:rsid w:val="00BD49C7"/>
    <w:rsid w:val="00BD4A2F"/>
    <w:rsid w:val="00BD7F0C"/>
    <w:rsid w:val="00BE0043"/>
    <w:rsid w:val="00BE0C11"/>
    <w:rsid w:val="00BE2224"/>
    <w:rsid w:val="00BE3C68"/>
    <w:rsid w:val="00BF3470"/>
    <w:rsid w:val="00C0093A"/>
    <w:rsid w:val="00C02F95"/>
    <w:rsid w:val="00C100A9"/>
    <w:rsid w:val="00C14437"/>
    <w:rsid w:val="00C1493F"/>
    <w:rsid w:val="00C176A0"/>
    <w:rsid w:val="00C21EFC"/>
    <w:rsid w:val="00C22359"/>
    <w:rsid w:val="00C320CA"/>
    <w:rsid w:val="00C325F1"/>
    <w:rsid w:val="00C43038"/>
    <w:rsid w:val="00C46D37"/>
    <w:rsid w:val="00C51246"/>
    <w:rsid w:val="00C5784F"/>
    <w:rsid w:val="00C60AFB"/>
    <w:rsid w:val="00C67BE7"/>
    <w:rsid w:val="00C77672"/>
    <w:rsid w:val="00C77C51"/>
    <w:rsid w:val="00C83007"/>
    <w:rsid w:val="00C83382"/>
    <w:rsid w:val="00C83D0C"/>
    <w:rsid w:val="00C849A6"/>
    <w:rsid w:val="00C867F9"/>
    <w:rsid w:val="00C91F7D"/>
    <w:rsid w:val="00C942AF"/>
    <w:rsid w:val="00C94A05"/>
    <w:rsid w:val="00CA00F1"/>
    <w:rsid w:val="00CA4A9E"/>
    <w:rsid w:val="00CA776F"/>
    <w:rsid w:val="00CB2392"/>
    <w:rsid w:val="00CC0592"/>
    <w:rsid w:val="00CC4DAC"/>
    <w:rsid w:val="00CC6219"/>
    <w:rsid w:val="00CD403B"/>
    <w:rsid w:val="00CD4F77"/>
    <w:rsid w:val="00CE0CD4"/>
    <w:rsid w:val="00CE3171"/>
    <w:rsid w:val="00CE4685"/>
    <w:rsid w:val="00CE4F12"/>
    <w:rsid w:val="00CE691D"/>
    <w:rsid w:val="00CF02C4"/>
    <w:rsid w:val="00CF49B5"/>
    <w:rsid w:val="00CF6061"/>
    <w:rsid w:val="00CF63DC"/>
    <w:rsid w:val="00D00334"/>
    <w:rsid w:val="00D00F70"/>
    <w:rsid w:val="00D106F1"/>
    <w:rsid w:val="00D1255E"/>
    <w:rsid w:val="00D13C2A"/>
    <w:rsid w:val="00D161EF"/>
    <w:rsid w:val="00D176CD"/>
    <w:rsid w:val="00D2135A"/>
    <w:rsid w:val="00D27246"/>
    <w:rsid w:val="00D3138E"/>
    <w:rsid w:val="00D345B9"/>
    <w:rsid w:val="00D351C1"/>
    <w:rsid w:val="00D35A5F"/>
    <w:rsid w:val="00D51C31"/>
    <w:rsid w:val="00D53FC5"/>
    <w:rsid w:val="00D57428"/>
    <w:rsid w:val="00D634E3"/>
    <w:rsid w:val="00D66201"/>
    <w:rsid w:val="00D7284B"/>
    <w:rsid w:val="00D76FBE"/>
    <w:rsid w:val="00D83988"/>
    <w:rsid w:val="00D84BED"/>
    <w:rsid w:val="00D86BB9"/>
    <w:rsid w:val="00D9424C"/>
    <w:rsid w:val="00D9514E"/>
    <w:rsid w:val="00D95A19"/>
    <w:rsid w:val="00D961DF"/>
    <w:rsid w:val="00D96958"/>
    <w:rsid w:val="00D97969"/>
    <w:rsid w:val="00DA0269"/>
    <w:rsid w:val="00DA4188"/>
    <w:rsid w:val="00DA5D60"/>
    <w:rsid w:val="00DB04EB"/>
    <w:rsid w:val="00DB4E15"/>
    <w:rsid w:val="00DB6188"/>
    <w:rsid w:val="00DC11CE"/>
    <w:rsid w:val="00DC32CA"/>
    <w:rsid w:val="00DC5BCC"/>
    <w:rsid w:val="00DD2EC7"/>
    <w:rsid w:val="00DD4568"/>
    <w:rsid w:val="00DD6012"/>
    <w:rsid w:val="00DD7292"/>
    <w:rsid w:val="00DE0375"/>
    <w:rsid w:val="00DF1700"/>
    <w:rsid w:val="00E0102B"/>
    <w:rsid w:val="00E025BB"/>
    <w:rsid w:val="00E0434E"/>
    <w:rsid w:val="00E05806"/>
    <w:rsid w:val="00E05D60"/>
    <w:rsid w:val="00E06E19"/>
    <w:rsid w:val="00E07478"/>
    <w:rsid w:val="00E1691B"/>
    <w:rsid w:val="00E25042"/>
    <w:rsid w:val="00E339E1"/>
    <w:rsid w:val="00E3449F"/>
    <w:rsid w:val="00E378A3"/>
    <w:rsid w:val="00E41469"/>
    <w:rsid w:val="00E417D9"/>
    <w:rsid w:val="00E42A22"/>
    <w:rsid w:val="00E4541D"/>
    <w:rsid w:val="00E468A7"/>
    <w:rsid w:val="00E47B7A"/>
    <w:rsid w:val="00E55AC8"/>
    <w:rsid w:val="00E671B8"/>
    <w:rsid w:val="00E673E2"/>
    <w:rsid w:val="00E70739"/>
    <w:rsid w:val="00E75B98"/>
    <w:rsid w:val="00E76BAA"/>
    <w:rsid w:val="00E92319"/>
    <w:rsid w:val="00E96FD6"/>
    <w:rsid w:val="00E97572"/>
    <w:rsid w:val="00EA51B5"/>
    <w:rsid w:val="00EB2F3A"/>
    <w:rsid w:val="00ED1FD0"/>
    <w:rsid w:val="00EE323B"/>
    <w:rsid w:val="00EE3BB3"/>
    <w:rsid w:val="00EE7539"/>
    <w:rsid w:val="00EF0346"/>
    <w:rsid w:val="00EF243E"/>
    <w:rsid w:val="00EF765C"/>
    <w:rsid w:val="00F0420D"/>
    <w:rsid w:val="00F055EC"/>
    <w:rsid w:val="00F07382"/>
    <w:rsid w:val="00F0798E"/>
    <w:rsid w:val="00F1120D"/>
    <w:rsid w:val="00F12CE6"/>
    <w:rsid w:val="00F13077"/>
    <w:rsid w:val="00F13F82"/>
    <w:rsid w:val="00F145B7"/>
    <w:rsid w:val="00F14CA5"/>
    <w:rsid w:val="00F21B24"/>
    <w:rsid w:val="00F22221"/>
    <w:rsid w:val="00F228A0"/>
    <w:rsid w:val="00F2301D"/>
    <w:rsid w:val="00F268B5"/>
    <w:rsid w:val="00F274F1"/>
    <w:rsid w:val="00F30346"/>
    <w:rsid w:val="00F4477A"/>
    <w:rsid w:val="00F501CC"/>
    <w:rsid w:val="00F51229"/>
    <w:rsid w:val="00F54D21"/>
    <w:rsid w:val="00F55EAD"/>
    <w:rsid w:val="00F61DEE"/>
    <w:rsid w:val="00F71843"/>
    <w:rsid w:val="00F735D1"/>
    <w:rsid w:val="00F7607C"/>
    <w:rsid w:val="00F77234"/>
    <w:rsid w:val="00F77F80"/>
    <w:rsid w:val="00F847B2"/>
    <w:rsid w:val="00F9696C"/>
    <w:rsid w:val="00FA1E21"/>
    <w:rsid w:val="00FA1E6F"/>
    <w:rsid w:val="00FB237A"/>
    <w:rsid w:val="00FB4405"/>
    <w:rsid w:val="00FB6BEC"/>
    <w:rsid w:val="00FC1D09"/>
    <w:rsid w:val="00FD7867"/>
    <w:rsid w:val="00FE53FE"/>
    <w:rsid w:val="00FE7C81"/>
    <w:rsid w:val="00FF057F"/>
    <w:rsid w:val="00FF5FB8"/>
    <w:rsid w:val="0B7C4B64"/>
    <w:rsid w:val="0DFEF096"/>
    <w:rsid w:val="1CCEBF37"/>
    <w:rsid w:val="20A42E4E"/>
    <w:rsid w:val="268B86B3"/>
    <w:rsid w:val="28364152"/>
    <w:rsid w:val="2884DAB9"/>
    <w:rsid w:val="2ED508D4"/>
    <w:rsid w:val="44D02D71"/>
    <w:rsid w:val="4DB1FD4A"/>
    <w:rsid w:val="51D83616"/>
    <w:rsid w:val="5546AEAA"/>
    <w:rsid w:val="56F87A03"/>
    <w:rsid w:val="63A7CF16"/>
    <w:rsid w:val="6B202D7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D3DBF"/>
  <w15:chartTrackingRefBased/>
  <w15:docId w15:val="{03380106-5AF8-4F93-899B-40816188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010"/>
    <w:pPr>
      <w:widowControl w:val="0"/>
      <w:autoSpaceDE w:val="0"/>
      <w:autoSpaceDN w:val="0"/>
      <w:spacing w:before="120" w:after="120" w:line="240" w:lineRule="auto"/>
    </w:pPr>
    <w:rPr>
      <w:rFonts w:ascii="Avenir Next" w:eastAsia="AvenirNext LT Pro Bold" w:hAnsi="Avenir Next" w:cs="AvenirNext LT Pro Bold"/>
      <w:color w:val="575F61"/>
      <w:kern w:val="0"/>
      <w:szCs w:val="22"/>
      <w:lang w:val="en-GB"/>
      <w14:ligatures w14:val="none"/>
    </w:rPr>
  </w:style>
  <w:style w:type="paragraph" w:styleId="Heading1">
    <w:name w:val="heading 1"/>
    <w:next w:val="BodyText"/>
    <w:link w:val="Heading1Char"/>
    <w:autoRedefine/>
    <w:uiPriority w:val="9"/>
    <w:qFormat/>
    <w:rsid w:val="009F3010"/>
    <w:pPr>
      <w:widowControl w:val="0"/>
      <w:autoSpaceDE w:val="0"/>
      <w:autoSpaceDN w:val="0"/>
      <w:spacing w:before="480" w:after="120" w:line="520" w:lineRule="exact"/>
      <w:outlineLvl w:val="0"/>
    </w:pPr>
    <w:rPr>
      <w:rFonts w:ascii="Avenir Next Demi Bold" w:eastAsia="AvenirNextLTPro-Demi" w:hAnsi="Avenir Next Demi Bold" w:cs="AvenirNextLTPro-Demi"/>
      <w:b/>
      <w:bCs/>
      <w:color w:val="1598CB"/>
      <w:kern w:val="0"/>
      <w:sz w:val="48"/>
      <w:szCs w:val="48"/>
      <w14:ligatures w14:val="none"/>
    </w:rPr>
  </w:style>
  <w:style w:type="paragraph" w:styleId="Heading2">
    <w:name w:val="heading 2"/>
    <w:basedOn w:val="Heading1"/>
    <w:next w:val="BodyText"/>
    <w:link w:val="Heading2Char"/>
    <w:autoRedefine/>
    <w:uiPriority w:val="9"/>
    <w:unhideWhenUsed/>
    <w:qFormat/>
    <w:rsid w:val="00CE4F12"/>
    <w:pPr>
      <w:spacing w:before="120"/>
      <w:outlineLvl w:val="1"/>
    </w:pPr>
    <w:rPr>
      <w:bCs w:val="0"/>
      <w:color w:val="248EB9"/>
      <w:spacing w:val="-6"/>
      <w:sz w:val="36"/>
      <w:szCs w:val="36"/>
    </w:rPr>
  </w:style>
  <w:style w:type="paragraph" w:styleId="Heading3">
    <w:name w:val="heading 3"/>
    <w:basedOn w:val="Normal"/>
    <w:next w:val="Normal"/>
    <w:link w:val="Heading3Char"/>
    <w:autoRedefine/>
    <w:uiPriority w:val="9"/>
    <w:unhideWhenUsed/>
    <w:qFormat/>
    <w:rsid w:val="009F3010"/>
    <w:pPr>
      <w:spacing w:before="240" w:after="0"/>
      <w:outlineLvl w:val="2"/>
    </w:pPr>
    <w:rPr>
      <w:rFonts w:ascii="Avenir Next Demi Bold" w:hAnsi="Avenir Next Demi Bold"/>
      <w:b/>
      <w:sz w:val="32"/>
      <w:szCs w:val="32"/>
    </w:rPr>
  </w:style>
  <w:style w:type="paragraph" w:styleId="Heading4">
    <w:name w:val="heading 4"/>
    <w:basedOn w:val="Normal"/>
    <w:next w:val="Normal"/>
    <w:link w:val="Heading4Char"/>
    <w:uiPriority w:val="9"/>
    <w:unhideWhenUsed/>
    <w:qFormat/>
    <w:rsid w:val="009F3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010"/>
    <w:rPr>
      <w:rFonts w:ascii="Avenir Next Demi Bold" w:eastAsia="AvenirNextLTPro-Demi" w:hAnsi="Avenir Next Demi Bold" w:cs="AvenirNextLTPro-Demi"/>
      <w:b/>
      <w:bCs/>
      <w:color w:val="1598CB"/>
      <w:kern w:val="0"/>
      <w:sz w:val="48"/>
      <w:szCs w:val="48"/>
      <w14:ligatures w14:val="none"/>
    </w:rPr>
  </w:style>
  <w:style w:type="character" w:customStyle="1" w:styleId="Heading2Char">
    <w:name w:val="Heading 2 Char"/>
    <w:basedOn w:val="DefaultParagraphFont"/>
    <w:link w:val="Heading2"/>
    <w:uiPriority w:val="9"/>
    <w:rsid w:val="00CE4F12"/>
    <w:rPr>
      <w:rFonts w:ascii="Avenir Next Demi Bold" w:eastAsia="AvenirNextLTPro-Demi" w:hAnsi="Avenir Next Demi Bold" w:cs="AvenirNextLTPro-Demi"/>
      <w:b/>
      <w:color w:val="248EB9"/>
      <w:spacing w:val="-6"/>
      <w:kern w:val="0"/>
      <w:sz w:val="36"/>
      <w:szCs w:val="36"/>
      <w14:ligatures w14:val="none"/>
    </w:rPr>
  </w:style>
  <w:style w:type="character" w:customStyle="1" w:styleId="Heading3Char">
    <w:name w:val="Heading 3 Char"/>
    <w:basedOn w:val="DefaultParagraphFont"/>
    <w:link w:val="Heading3"/>
    <w:uiPriority w:val="9"/>
    <w:rsid w:val="009F3010"/>
    <w:rPr>
      <w:rFonts w:ascii="Avenir Next Demi Bold" w:eastAsia="AvenirNext LT Pro Bold" w:hAnsi="Avenir Next Demi Bold" w:cs="AvenirNext LT Pro Bold"/>
      <w:b/>
      <w:color w:val="575F61"/>
      <w:kern w:val="0"/>
      <w:sz w:val="32"/>
      <w:szCs w:val="32"/>
      <w:lang w:val="en-GB"/>
      <w14:ligatures w14:val="none"/>
    </w:rPr>
  </w:style>
  <w:style w:type="character" w:customStyle="1" w:styleId="Heading4Char">
    <w:name w:val="Heading 4 Char"/>
    <w:basedOn w:val="DefaultParagraphFont"/>
    <w:link w:val="Heading4"/>
    <w:uiPriority w:val="9"/>
    <w:rsid w:val="009F3010"/>
    <w:rPr>
      <w:rFonts w:ascii="Avenir Next" w:eastAsiaTheme="majorEastAsia" w:hAnsi="Avenir Next" w:cstheme="majorBidi"/>
      <w:i/>
      <w:iCs/>
      <w:color w:val="0F4761" w:themeColor="accent1" w:themeShade="BF"/>
      <w:kern w:val="0"/>
      <w:szCs w:val="22"/>
      <w:lang w:val="en-GB"/>
      <w14:ligatures w14:val="none"/>
    </w:rPr>
  </w:style>
  <w:style w:type="character" w:customStyle="1" w:styleId="Heading5Char">
    <w:name w:val="Heading 5 Char"/>
    <w:basedOn w:val="DefaultParagraphFont"/>
    <w:link w:val="Heading5"/>
    <w:uiPriority w:val="9"/>
    <w:semiHidden/>
    <w:rsid w:val="009F3010"/>
    <w:rPr>
      <w:rFonts w:ascii="Avenir Next" w:eastAsiaTheme="majorEastAsia" w:hAnsi="Avenir Next" w:cstheme="majorBidi"/>
      <w:color w:val="0F4761" w:themeColor="accent1" w:themeShade="BF"/>
      <w:kern w:val="0"/>
      <w:szCs w:val="22"/>
      <w:lang w:val="en-GB"/>
      <w14:ligatures w14:val="none"/>
    </w:rPr>
  </w:style>
  <w:style w:type="character" w:customStyle="1" w:styleId="Heading6Char">
    <w:name w:val="Heading 6 Char"/>
    <w:basedOn w:val="DefaultParagraphFont"/>
    <w:link w:val="Heading6"/>
    <w:uiPriority w:val="9"/>
    <w:semiHidden/>
    <w:rsid w:val="009F3010"/>
    <w:rPr>
      <w:rFonts w:ascii="Avenir Next" w:eastAsiaTheme="majorEastAsia" w:hAnsi="Avenir Next" w:cstheme="majorBidi"/>
      <w:i/>
      <w:iCs/>
      <w:color w:val="595959" w:themeColor="text1" w:themeTint="A6"/>
      <w:kern w:val="0"/>
      <w:szCs w:val="22"/>
      <w:lang w:val="en-GB"/>
      <w14:ligatures w14:val="none"/>
    </w:rPr>
  </w:style>
  <w:style w:type="character" w:customStyle="1" w:styleId="Heading7Char">
    <w:name w:val="Heading 7 Char"/>
    <w:basedOn w:val="DefaultParagraphFont"/>
    <w:link w:val="Heading7"/>
    <w:uiPriority w:val="9"/>
    <w:semiHidden/>
    <w:rsid w:val="009F3010"/>
    <w:rPr>
      <w:rFonts w:ascii="Avenir Next" w:eastAsiaTheme="majorEastAsia" w:hAnsi="Avenir Next" w:cstheme="majorBidi"/>
      <w:color w:val="595959" w:themeColor="text1" w:themeTint="A6"/>
      <w:kern w:val="0"/>
      <w:szCs w:val="22"/>
      <w:lang w:val="en-GB"/>
      <w14:ligatures w14:val="none"/>
    </w:rPr>
  </w:style>
  <w:style w:type="character" w:customStyle="1" w:styleId="Heading8Char">
    <w:name w:val="Heading 8 Char"/>
    <w:basedOn w:val="DefaultParagraphFont"/>
    <w:link w:val="Heading8"/>
    <w:uiPriority w:val="9"/>
    <w:semiHidden/>
    <w:rsid w:val="009F3010"/>
    <w:rPr>
      <w:rFonts w:ascii="Avenir Next" w:eastAsiaTheme="majorEastAsia" w:hAnsi="Avenir Next" w:cstheme="majorBidi"/>
      <w:i/>
      <w:iCs/>
      <w:color w:val="272727" w:themeColor="text1" w:themeTint="D8"/>
      <w:kern w:val="0"/>
      <w:szCs w:val="22"/>
      <w:lang w:val="en-GB"/>
      <w14:ligatures w14:val="none"/>
    </w:rPr>
  </w:style>
  <w:style w:type="character" w:customStyle="1" w:styleId="Heading9Char">
    <w:name w:val="Heading 9 Char"/>
    <w:basedOn w:val="DefaultParagraphFont"/>
    <w:link w:val="Heading9"/>
    <w:uiPriority w:val="9"/>
    <w:semiHidden/>
    <w:rsid w:val="009F3010"/>
    <w:rPr>
      <w:rFonts w:ascii="Avenir Next" w:eastAsiaTheme="majorEastAsia" w:hAnsi="Avenir Next" w:cstheme="majorBidi"/>
      <w:color w:val="272727" w:themeColor="text1" w:themeTint="D8"/>
      <w:kern w:val="0"/>
      <w:szCs w:val="22"/>
      <w:lang w:val="en-GB"/>
      <w14:ligatures w14:val="none"/>
    </w:rPr>
  </w:style>
  <w:style w:type="paragraph" w:styleId="Title">
    <w:name w:val="Title"/>
    <w:basedOn w:val="Normal"/>
    <w:link w:val="TitleChar"/>
    <w:uiPriority w:val="10"/>
    <w:qFormat/>
    <w:rsid w:val="009F3010"/>
    <w:pPr>
      <w:spacing w:before="75" w:line="196" w:lineRule="auto"/>
      <w:ind w:left="1127" w:right="1085"/>
      <w:jc w:val="center"/>
    </w:pPr>
    <w:rPr>
      <w:rFonts w:ascii="Avenir Next Demi Bold" w:eastAsia="AvenirNextLTPro-Demi" w:hAnsi="Avenir Next Demi Bold" w:cs="AvenirNextLTPro-Demi"/>
      <w:b/>
      <w:bCs/>
      <w:color w:val="auto"/>
      <w:spacing w:val="-14"/>
      <w:sz w:val="56"/>
      <w:szCs w:val="56"/>
    </w:rPr>
  </w:style>
  <w:style w:type="character" w:customStyle="1" w:styleId="TitleChar">
    <w:name w:val="Title Char"/>
    <w:basedOn w:val="DefaultParagraphFont"/>
    <w:link w:val="Title"/>
    <w:uiPriority w:val="10"/>
    <w:rsid w:val="009F3010"/>
    <w:rPr>
      <w:rFonts w:ascii="Avenir Next Demi Bold" w:eastAsia="AvenirNextLTPro-Demi" w:hAnsi="Avenir Next Demi Bold" w:cs="AvenirNextLTPro-Demi"/>
      <w:b/>
      <w:bCs/>
      <w:spacing w:val="-14"/>
      <w:kern w:val="0"/>
      <w:sz w:val="56"/>
      <w:szCs w:val="56"/>
      <w:lang w:val="en-GB"/>
      <w14:ligatures w14:val="none"/>
    </w:rPr>
  </w:style>
  <w:style w:type="paragraph" w:styleId="Subtitle">
    <w:name w:val="Subtitle"/>
    <w:basedOn w:val="Normal"/>
    <w:next w:val="Normal"/>
    <w:link w:val="SubtitleChar"/>
    <w:uiPriority w:val="11"/>
    <w:qFormat/>
    <w:rsid w:val="009F3010"/>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F3010"/>
    <w:rPr>
      <w:rFonts w:eastAsiaTheme="minorEastAsia"/>
      <w:color w:val="5A5A5A" w:themeColor="text1" w:themeTint="A5"/>
      <w:spacing w:val="15"/>
      <w:kern w:val="0"/>
      <w:sz w:val="22"/>
      <w:szCs w:val="22"/>
      <w:lang w:val="en-GB"/>
      <w14:ligatures w14:val="none"/>
    </w:rPr>
  </w:style>
  <w:style w:type="paragraph" w:styleId="Quote">
    <w:name w:val="Quote"/>
    <w:basedOn w:val="Normal"/>
    <w:next w:val="Normal"/>
    <w:link w:val="QuoteChar"/>
    <w:uiPriority w:val="29"/>
    <w:qFormat/>
    <w:rsid w:val="009F3010"/>
    <w:pPr>
      <w:spacing w:before="160"/>
      <w:jc w:val="center"/>
    </w:pPr>
    <w:rPr>
      <w:i/>
      <w:iCs/>
      <w:color w:val="404040" w:themeColor="text1" w:themeTint="BF"/>
    </w:rPr>
  </w:style>
  <w:style w:type="character" w:customStyle="1" w:styleId="QuoteChar">
    <w:name w:val="Quote Char"/>
    <w:basedOn w:val="DefaultParagraphFont"/>
    <w:link w:val="Quote"/>
    <w:uiPriority w:val="29"/>
    <w:rsid w:val="009F3010"/>
    <w:rPr>
      <w:rFonts w:ascii="Avenir Next" w:eastAsia="AvenirNext LT Pro Bold" w:hAnsi="Avenir Next" w:cs="AvenirNext LT Pro Bold"/>
      <w:i/>
      <w:iCs/>
      <w:color w:val="404040" w:themeColor="text1" w:themeTint="BF"/>
      <w:kern w:val="0"/>
      <w:szCs w:val="22"/>
      <w:lang w:val="en-GB"/>
      <w14:ligatures w14:val="none"/>
    </w:rPr>
  </w:style>
  <w:style w:type="paragraph" w:styleId="ListParagraph">
    <w:name w:val="List Paragraph"/>
    <w:aliases w:val="Bullets 2,Recommendation,List Paragraph1,List Paragraph11,Bullet point,#List Paragraph"/>
    <w:basedOn w:val="Normal"/>
    <w:next w:val="Normal"/>
    <w:link w:val="ListParagraphChar"/>
    <w:autoRedefine/>
    <w:uiPriority w:val="34"/>
    <w:qFormat/>
    <w:rsid w:val="00162537"/>
    <w:pPr>
      <w:widowControl/>
      <w:numPr>
        <w:numId w:val="46"/>
      </w:numPr>
      <w:autoSpaceDE/>
      <w:autoSpaceDN/>
      <w:spacing w:before="0" w:after="160" w:line="259" w:lineRule="auto"/>
      <w:contextualSpacing/>
    </w:pPr>
  </w:style>
  <w:style w:type="character" w:styleId="IntenseEmphasis">
    <w:name w:val="Intense Emphasis"/>
    <w:basedOn w:val="DefaultParagraphFont"/>
    <w:uiPriority w:val="21"/>
    <w:qFormat/>
    <w:rsid w:val="009F3010"/>
    <w:rPr>
      <w:i/>
      <w:iCs/>
      <w:color w:val="156082" w:themeColor="accent1"/>
    </w:rPr>
  </w:style>
  <w:style w:type="paragraph" w:styleId="IntenseQuote">
    <w:name w:val="Intense Quote"/>
    <w:basedOn w:val="Normal"/>
    <w:next w:val="Normal"/>
    <w:link w:val="IntenseQuoteChar"/>
    <w:uiPriority w:val="30"/>
    <w:qFormat/>
    <w:rsid w:val="009F301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F3010"/>
    <w:rPr>
      <w:rFonts w:ascii="Avenir Next" w:eastAsia="AvenirNext LT Pro Bold" w:hAnsi="Avenir Next" w:cs="AvenirNext LT Pro Bold"/>
      <w:i/>
      <w:iCs/>
      <w:color w:val="156082" w:themeColor="accent1"/>
      <w:kern w:val="0"/>
      <w:szCs w:val="22"/>
      <w:lang w:val="en-GB"/>
      <w14:ligatures w14:val="none"/>
    </w:rPr>
  </w:style>
  <w:style w:type="character" w:styleId="IntenseReference">
    <w:name w:val="Intense Reference"/>
    <w:basedOn w:val="DefaultParagraphFont"/>
    <w:uiPriority w:val="32"/>
    <w:qFormat/>
    <w:rsid w:val="009F3010"/>
    <w:rPr>
      <w:b/>
      <w:bCs/>
      <w:smallCaps/>
      <w:color w:val="156082" w:themeColor="accent1"/>
      <w:spacing w:val="5"/>
    </w:rPr>
  </w:style>
  <w:style w:type="paragraph" w:styleId="TOC1">
    <w:name w:val="toc 1"/>
    <w:basedOn w:val="Normal"/>
    <w:uiPriority w:val="39"/>
    <w:qFormat/>
    <w:rsid w:val="009F3010"/>
    <w:pPr>
      <w:spacing w:before="240"/>
    </w:pPr>
    <w:rPr>
      <w:rFonts w:asciiTheme="minorHAnsi" w:hAnsiTheme="minorHAnsi" w:cstheme="minorHAnsi"/>
      <w:b/>
      <w:bCs/>
      <w:sz w:val="20"/>
      <w:szCs w:val="20"/>
    </w:rPr>
  </w:style>
  <w:style w:type="paragraph" w:styleId="BodyText">
    <w:name w:val="Body Text"/>
    <w:basedOn w:val="Normal"/>
    <w:link w:val="BodyTextChar"/>
    <w:uiPriority w:val="1"/>
    <w:qFormat/>
    <w:rsid w:val="009F3010"/>
    <w:pPr>
      <w:widowControl/>
      <w:ind w:right="-48"/>
    </w:pPr>
    <w:rPr>
      <w:rFonts w:eastAsia="Times New Roman" w:cs="Calibri"/>
      <w:szCs w:val="24"/>
      <w:lang w:val="en-AU"/>
    </w:rPr>
  </w:style>
  <w:style w:type="character" w:customStyle="1" w:styleId="BodyTextChar">
    <w:name w:val="Body Text Char"/>
    <w:basedOn w:val="DefaultParagraphFont"/>
    <w:link w:val="BodyText"/>
    <w:uiPriority w:val="1"/>
    <w:rsid w:val="009F3010"/>
    <w:rPr>
      <w:rFonts w:ascii="Avenir Next" w:eastAsia="Times New Roman" w:hAnsi="Avenir Next" w:cs="Calibri"/>
      <w:color w:val="575F61"/>
      <w:kern w:val="0"/>
      <w14:ligatures w14:val="none"/>
    </w:rPr>
  </w:style>
  <w:style w:type="paragraph" w:customStyle="1" w:styleId="TableParagraph">
    <w:name w:val="Table Paragraph"/>
    <w:basedOn w:val="Normal"/>
    <w:uiPriority w:val="1"/>
    <w:qFormat/>
    <w:rsid w:val="009F3010"/>
    <w:rPr>
      <w:rFonts w:eastAsia="AvenirNextLTPro-Demi" w:cs="AvenirNextLTPro-Demi"/>
      <w:sz w:val="20"/>
    </w:rPr>
  </w:style>
  <w:style w:type="paragraph" w:customStyle="1" w:styleId="Bullets">
    <w:name w:val="Bullets"/>
    <w:basedOn w:val="BodyText"/>
    <w:next w:val="BodyText"/>
    <w:autoRedefine/>
    <w:qFormat/>
    <w:rsid w:val="00282792"/>
    <w:pPr>
      <w:numPr>
        <w:numId w:val="48"/>
      </w:numPr>
      <w:spacing w:before="0"/>
      <w:contextualSpacing/>
    </w:pPr>
  </w:style>
  <w:style w:type="paragraph" w:customStyle="1" w:styleId="Breakout">
    <w:name w:val="Breakout"/>
    <w:basedOn w:val="BodyText"/>
    <w:next w:val="BodyText"/>
    <w:autoRedefine/>
    <w:qFormat/>
    <w:rsid w:val="009F3010"/>
    <w:pPr>
      <w:spacing w:after="0" w:line="440" w:lineRule="exact"/>
    </w:pPr>
    <w:rPr>
      <w:i/>
      <w:iCs/>
      <w:spacing w:val="-2"/>
      <w:sz w:val="36"/>
      <w:szCs w:val="36"/>
    </w:rPr>
  </w:style>
  <w:style w:type="paragraph" w:styleId="TOCHeading">
    <w:name w:val="TOC Heading"/>
    <w:basedOn w:val="Heading1"/>
    <w:next w:val="Normal"/>
    <w:uiPriority w:val="39"/>
    <w:unhideWhenUsed/>
    <w:qFormat/>
    <w:rsid w:val="009F3010"/>
    <w:pPr>
      <w:keepNext/>
      <w:keepLines/>
      <w:widowControl/>
      <w:autoSpaceDE/>
      <w:autoSpaceDN/>
      <w:spacing w:after="0" w:line="276" w:lineRule="auto"/>
      <w:outlineLvl w:val="9"/>
    </w:pPr>
    <w:rPr>
      <w:rFonts w:asciiTheme="majorHAnsi" w:eastAsiaTheme="majorEastAsia" w:hAnsiTheme="majorHAnsi" w:cstheme="majorBidi"/>
      <w:color w:val="0F4761" w:themeColor="accent1" w:themeShade="BF"/>
      <w:sz w:val="28"/>
      <w:szCs w:val="28"/>
    </w:rPr>
  </w:style>
  <w:style w:type="paragraph" w:styleId="TOC2">
    <w:name w:val="toc 2"/>
    <w:basedOn w:val="Normal"/>
    <w:next w:val="Normal"/>
    <w:autoRedefine/>
    <w:uiPriority w:val="39"/>
    <w:unhideWhenUsed/>
    <w:rsid w:val="009F3010"/>
    <w:pPr>
      <w:spacing w:after="0"/>
      <w:ind w:left="240"/>
    </w:pPr>
    <w:rPr>
      <w:rFonts w:asciiTheme="minorHAnsi" w:hAnsiTheme="minorHAnsi" w:cstheme="minorHAnsi"/>
      <w:i/>
      <w:iCs/>
      <w:sz w:val="20"/>
      <w:szCs w:val="20"/>
    </w:rPr>
  </w:style>
  <w:style w:type="character" w:styleId="Hyperlink">
    <w:name w:val="Hyperlink"/>
    <w:basedOn w:val="DefaultParagraphFont"/>
    <w:uiPriority w:val="99"/>
    <w:unhideWhenUsed/>
    <w:rsid w:val="009F3010"/>
    <w:rPr>
      <w:rFonts w:ascii="AvenirNext LT Pro Regular" w:hAnsi="AvenirNext LT Pro Regular"/>
      <w:color w:val="467886" w:themeColor="hyperlink"/>
      <w:u w:val="single"/>
    </w:rPr>
  </w:style>
  <w:style w:type="paragraph" w:styleId="TOC3">
    <w:name w:val="toc 3"/>
    <w:basedOn w:val="Normal"/>
    <w:next w:val="Normal"/>
    <w:autoRedefine/>
    <w:uiPriority w:val="39"/>
    <w:unhideWhenUsed/>
    <w:rsid w:val="009F3010"/>
    <w:pPr>
      <w:spacing w:before="0" w:after="0"/>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9F3010"/>
    <w:pPr>
      <w:spacing w:before="0"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9F3010"/>
    <w:pPr>
      <w:spacing w:before="0"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9F3010"/>
    <w:pPr>
      <w:spacing w:before="0"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9F3010"/>
    <w:pPr>
      <w:spacing w:before="0"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9F3010"/>
    <w:pPr>
      <w:spacing w:before="0"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9F3010"/>
    <w:pPr>
      <w:spacing w:before="0" w:after="0"/>
      <w:ind w:left="1920"/>
    </w:pPr>
    <w:rPr>
      <w:rFonts w:asciiTheme="minorHAnsi" w:hAnsiTheme="minorHAnsi" w:cstheme="minorHAnsi"/>
      <w:sz w:val="20"/>
      <w:szCs w:val="20"/>
    </w:rPr>
  </w:style>
  <w:style w:type="paragraph" w:styleId="Footer">
    <w:name w:val="footer"/>
    <w:basedOn w:val="Normal"/>
    <w:link w:val="FooterChar"/>
    <w:uiPriority w:val="99"/>
    <w:unhideWhenUsed/>
    <w:rsid w:val="009F3010"/>
    <w:pPr>
      <w:tabs>
        <w:tab w:val="center" w:pos="4513"/>
        <w:tab w:val="right" w:pos="9026"/>
      </w:tabs>
      <w:spacing w:before="0" w:after="0"/>
    </w:pPr>
  </w:style>
  <w:style w:type="character" w:customStyle="1" w:styleId="FooterChar">
    <w:name w:val="Footer Char"/>
    <w:basedOn w:val="DefaultParagraphFont"/>
    <w:link w:val="Footer"/>
    <w:uiPriority w:val="99"/>
    <w:rsid w:val="009F3010"/>
    <w:rPr>
      <w:rFonts w:ascii="Avenir Next" w:eastAsia="AvenirNext LT Pro Bold" w:hAnsi="Avenir Next" w:cs="AvenirNext LT Pro Bold"/>
      <w:color w:val="575F61"/>
      <w:kern w:val="0"/>
      <w:szCs w:val="22"/>
      <w:lang w:val="en-GB"/>
      <w14:ligatures w14:val="none"/>
    </w:rPr>
  </w:style>
  <w:style w:type="character" w:styleId="PageNumber">
    <w:name w:val="page number"/>
    <w:basedOn w:val="DefaultParagraphFont"/>
    <w:uiPriority w:val="99"/>
    <w:semiHidden/>
    <w:unhideWhenUsed/>
    <w:rsid w:val="009F3010"/>
    <w:rPr>
      <w:rFonts w:ascii="AvenirNext LT Pro Regular" w:hAnsi="AvenirNext LT Pro Regular"/>
    </w:rPr>
  </w:style>
  <w:style w:type="paragraph" w:styleId="Header">
    <w:name w:val="header"/>
    <w:basedOn w:val="Normal"/>
    <w:link w:val="HeaderChar"/>
    <w:uiPriority w:val="99"/>
    <w:unhideWhenUsed/>
    <w:rsid w:val="009F3010"/>
    <w:pPr>
      <w:tabs>
        <w:tab w:val="center" w:pos="4513"/>
        <w:tab w:val="right" w:pos="9026"/>
      </w:tabs>
      <w:spacing w:before="0" w:after="0"/>
    </w:pPr>
  </w:style>
  <w:style w:type="character" w:customStyle="1" w:styleId="HeaderChar">
    <w:name w:val="Header Char"/>
    <w:basedOn w:val="DefaultParagraphFont"/>
    <w:link w:val="Header"/>
    <w:uiPriority w:val="99"/>
    <w:rsid w:val="009F3010"/>
    <w:rPr>
      <w:rFonts w:ascii="Avenir Next" w:eastAsia="AvenirNext LT Pro Bold" w:hAnsi="Avenir Next" w:cs="AvenirNext LT Pro Bold"/>
      <w:color w:val="575F61"/>
      <w:kern w:val="0"/>
      <w:szCs w:val="22"/>
      <w:lang w:val="en-GB"/>
      <w14:ligatures w14:val="none"/>
    </w:rPr>
  </w:style>
  <w:style w:type="table" w:customStyle="1" w:styleId="Table">
    <w:name w:val="Table"/>
    <w:basedOn w:val="TableNormal"/>
    <w:uiPriority w:val="99"/>
    <w:rsid w:val="009F3010"/>
    <w:pPr>
      <w:spacing w:after="0" w:line="240" w:lineRule="auto"/>
    </w:pPr>
    <w:rPr>
      <w:rFonts w:ascii="Avenir Next" w:hAnsi="Avenir Next"/>
      <w:color w:val="575F61"/>
      <w:kern w:val="0"/>
      <w:sz w:val="20"/>
      <w:szCs w:val="22"/>
      <w:lang w:val="en-US"/>
      <w14:ligatures w14:val="none"/>
    </w:rPr>
    <w:tblPr>
      <w:tblBorders>
        <w:top w:val="single" w:sz="2" w:space="0" w:color="auto"/>
        <w:bottom w:val="single" w:sz="2" w:space="0" w:color="auto"/>
        <w:insideH w:val="single" w:sz="2" w:space="0" w:color="auto"/>
      </w:tblBorders>
    </w:tblPr>
    <w:tcPr>
      <w:shd w:val="clear" w:color="auto" w:fill="575F61"/>
      <w:vAlign w:val="center"/>
    </w:tcPr>
  </w:style>
  <w:style w:type="table" w:styleId="TableGrid">
    <w:name w:val="Table Grid"/>
    <w:basedOn w:val="TableNormal"/>
    <w:uiPriority w:val="39"/>
    <w:rsid w:val="009F3010"/>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inText">
    <w:name w:val="Title in Text"/>
    <w:basedOn w:val="BodyText"/>
    <w:qFormat/>
    <w:rsid w:val="009F3010"/>
    <w:pPr>
      <w:spacing w:after="0"/>
    </w:pPr>
    <w:rPr>
      <w:rFonts w:ascii="Avenir Next Demi Bold" w:hAnsi="Avenir Next Demi Bold"/>
      <w:b/>
      <w:bCs/>
    </w:rPr>
  </w:style>
  <w:style w:type="character" w:styleId="CommentReference">
    <w:name w:val="annotation reference"/>
    <w:basedOn w:val="DefaultParagraphFont"/>
    <w:uiPriority w:val="99"/>
    <w:semiHidden/>
    <w:unhideWhenUsed/>
    <w:rsid w:val="009F3010"/>
    <w:rPr>
      <w:sz w:val="16"/>
      <w:szCs w:val="16"/>
    </w:rPr>
  </w:style>
  <w:style w:type="paragraph" w:styleId="CommentText">
    <w:name w:val="annotation text"/>
    <w:basedOn w:val="Normal"/>
    <w:link w:val="CommentTextChar"/>
    <w:uiPriority w:val="99"/>
    <w:unhideWhenUsed/>
    <w:rsid w:val="009F3010"/>
    <w:rPr>
      <w:sz w:val="20"/>
      <w:szCs w:val="20"/>
    </w:rPr>
  </w:style>
  <w:style w:type="character" w:customStyle="1" w:styleId="CommentTextChar">
    <w:name w:val="Comment Text Char"/>
    <w:basedOn w:val="DefaultParagraphFont"/>
    <w:link w:val="CommentText"/>
    <w:uiPriority w:val="99"/>
    <w:rsid w:val="009F3010"/>
    <w:rPr>
      <w:rFonts w:ascii="Avenir Next" w:eastAsia="AvenirNext LT Pro Bold" w:hAnsi="Avenir Next" w:cs="AvenirNext LT Pro Bold"/>
      <w:color w:val="575F61"/>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F3010"/>
    <w:rPr>
      <w:b/>
      <w:bCs/>
    </w:rPr>
  </w:style>
  <w:style w:type="character" w:customStyle="1" w:styleId="CommentSubjectChar">
    <w:name w:val="Comment Subject Char"/>
    <w:basedOn w:val="CommentTextChar"/>
    <w:link w:val="CommentSubject"/>
    <w:uiPriority w:val="99"/>
    <w:semiHidden/>
    <w:rsid w:val="009F3010"/>
    <w:rPr>
      <w:rFonts w:ascii="Avenir Next" w:eastAsia="AvenirNext LT Pro Bold" w:hAnsi="Avenir Next" w:cs="AvenirNext LT Pro Bold"/>
      <w:b/>
      <w:bCs/>
      <w:color w:val="575F61"/>
      <w:kern w:val="0"/>
      <w:sz w:val="20"/>
      <w:szCs w:val="20"/>
      <w:lang w:val="en-GB"/>
      <w14:ligatures w14:val="none"/>
    </w:rPr>
  </w:style>
  <w:style w:type="paragraph" w:styleId="BalloonText">
    <w:name w:val="Balloon Text"/>
    <w:basedOn w:val="Normal"/>
    <w:link w:val="BalloonTextChar"/>
    <w:uiPriority w:val="99"/>
    <w:semiHidden/>
    <w:unhideWhenUsed/>
    <w:rsid w:val="009F301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010"/>
    <w:rPr>
      <w:rFonts w:ascii="Segoe UI" w:eastAsia="AvenirNext LT Pro Bold" w:hAnsi="Segoe UI" w:cs="Segoe UI"/>
      <w:color w:val="575F61"/>
      <w:kern w:val="0"/>
      <w:sz w:val="18"/>
      <w:szCs w:val="18"/>
      <w:lang w:val="en-GB"/>
      <w14:ligatures w14:val="none"/>
    </w:rPr>
  </w:style>
  <w:style w:type="paragraph" w:styleId="FootnoteText">
    <w:name w:val="footnote text"/>
    <w:basedOn w:val="Normal"/>
    <w:link w:val="FootnoteTextChar"/>
    <w:uiPriority w:val="99"/>
    <w:unhideWhenUsed/>
    <w:rsid w:val="009F3010"/>
    <w:pPr>
      <w:spacing w:before="0" w:after="0"/>
    </w:pPr>
    <w:rPr>
      <w:sz w:val="20"/>
      <w:szCs w:val="20"/>
    </w:rPr>
  </w:style>
  <w:style w:type="character" w:customStyle="1" w:styleId="FootnoteTextChar">
    <w:name w:val="Footnote Text Char"/>
    <w:basedOn w:val="DefaultParagraphFont"/>
    <w:link w:val="FootnoteText"/>
    <w:uiPriority w:val="99"/>
    <w:rsid w:val="009F3010"/>
    <w:rPr>
      <w:rFonts w:ascii="Avenir Next" w:eastAsia="AvenirNext LT Pro Bold" w:hAnsi="Avenir Next" w:cs="AvenirNext LT Pro Bold"/>
      <w:color w:val="575F61"/>
      <w:kern w:val="0"/>
      <w:sz w:val="20"/>
      <w:szCs w:val="20"/>
      <w:lang w:val="en-GB"/>
      <w14:ligatures w14:val="none"/>
    </w:rPr>
  </w:style>
  <w:style w:type="character" w:styleId="FootnoteReference">
    <w:name w:val="footnote reference"/>
    <w:basedOn w:val="DefaultParagraphFont"/>
    <w:uiPriority w:val="99"/>
    <w:semiHidden/>
    <w:unhideWhenUsed/>
    <w:rsid w:val="009F3010"/>
    <w:rPr>
      <w:vertAlign w:val="superscript"/>
    </w:rPr>
  </w:style>
  <w:style w:type="paragraph" w:styleId="Revision">
    <w:name w:val="Revision"/>
    <w:hidden/>
    <w:uiPriority w:val="99"/>
    <w:semiHidden/>
    <w:rsid w:val="009F3010"/>
    <w:pPr>
      <w:spacing w:after="0" w:line="240" w:lineRule="auto"/>
    </w:pPr>
    <w:rPr>
      <w:rFonts w:ascii="Avenir Next" w:eastAsia="AvenirNext LT Pro Bold" w:hAnsi="Avenir Next" w:cs="AvenirNext LT Pro Bold"/>
      <w:color w:val="575F61"/>
      <w:kern w:val="0"/>
      <w:szCs w:val="22"/>
      <w:lang w:val="en-US"/>
      <w14:ligatures w14:val="none"/>
    </w:rPr>
  </w:style>
  <w:style w:type="paragraph" w:customStyle="1" w:styleId="Default">
    <w:name w:val="Default"/>
    <w:rsid w:val="009F3010"/>
    <w:pPr>
      <w:autoSpaceDE w:val="0"/>
      <w:autoSpaceDN w:val="0"/>
      <w:adjustRightInd w:val="0"/>
      <w:spacing w:after="0" w:line="240" w:lineRule="auto"/>
    </w:pPr>
    <w:rPr>
      <w:rFonts w:ascii="Arial" w:hAnsi="Arial" w:cs="Arial"/>
      <w:color w:val="000000"/>
      <w:kern w:val="0"/>
      <w14:ligatures w14:val="none"/>
    </w:rPr>
  </w:style>
  <w:style w:type="paragraph" w:customStyle="1" w:styleId="Pa5">
    <w:name w:val="Pa5"/>
    <w:basedOn w:val="Default"/>
    <w:next w:val="Default"/>
    <w:uiPriority w:val="99"/>
    <w:rsid w:val="009F3010"/>
    <w:pPr>
      <w:spacing w:line="181" w:lineRule="atLeast"/>
    </w:pPr>
    <w:rPr>
      <w:color w:val="auto"/>
    </w:rPr>
  </w:style>
  <w:style w:type="paragraph" w:customStyle="1" w:styleId="Pa9">
    <w:name w:val="Pa9"/>
    <w:basedOn w:val="Default"/>
    <w:next w:val="Default"/>
    <w:uiPriority w:val="99"/>
    <w:rsid w:val="009F3010"/>
    <w:pPr>
      <w:spacing w:line="181" w:lineRule="atLeast"/>
    </w:pPr>
    <w:rPr>
      <w:color w:val="auto"/>
    </w:rPr>
  </w:style>
  <w:style w:type="paragraph" w:customStyle="1" w:styleId="Pa8">
    <w:name w:val="Pa8"/>
    <w:basedOn w:val="Default"/>
    <w:next w:val="Default"/>
    <w:uiPriority w:val="99"/>
    <w:rsid w:val="009F3010"/>
    <w:pPr>
      <w:spacing w:line="181" w:lineRule="atLeast"/>
    </w:pPr>
    <w:rPr>
      <w:color w:val="auto"/>
    </w:rPr>
  </w:style>
  <w:style w:type="table" w:styleId="PlainTable4">
    <w:name w:val="Plain Table 4"/>
    <w:basedOn w:val="TableNormal"/>
    <w:uiPriority w:val="44"/>
    <w:rsid w:val="009F3010"/>
    <w:pPr>
      <w:widowControl w:val="0"/>
      <w:autoSpaceDE w:val="0"/>
      <w:autoSpaceDN w:val="0"/>
      <w:spacing w:after="0" w:line="240" w:lineRule="auto"/>
    </w:pPr>
    <w:rPr>
      <w:kern w:val="0"/>
      <w:sz w:val="22"/>
      <w:szCs w:val="22"/>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13">
    <w:name w:val="Pa13"/>
    <w:basedOn w:val="Default"/>
    <w:next w:val="Default"/>
    <w:uiPriority w:val="99"/>
    <w:rsid w:val="009F3010"/>
    <w:pPr>
      <w:spacing w:line="181" w:lineRule="atLeast"/>
    </w:pPr>
    <w:rPr>
      <w:color w:val="auto"/>
    </w:rPr>
  </w:style>
  <w:style w:type="paragraph" w:customStyle="1" w:styleId="Pa28">
    <w:name w:val="Pa28"/>
    <w:basedOn w:val="Default"/>
    <w:next w:val="Default"/>
    <w:uiPriority w:val="99"/>
    <w:rsid w:val="009F3010"/>
    <w:pPr>
      <w:spacing w:line="201" w:lineRule="atLeast"/>
    </w:pPr>
    <w:rPr>
      <w:rFonts w:ascii="Sora" w:hAnsi="Sora" w:cstheme="minorBidi"/>
      <w:color w:val="auto"/>
    </w:rPr>
  </w:style>
  <w:style w:type="paragraph" w:customStyle="1" w:styleId="Pa7">
    <w:name w:val="Pa7"/>
    <w:basedOn w:val="Default"/>
    <w:next w:val="Default"/>
    <w:uiPriority w:val="99"/>
    <w:rsid w:val="009F3010"/>
    <w:pPr>
      <w:spacing w:line="181" w:lineRule="atLeast"/>
    </w:pPr>
    <w:rPr>
      <w:color w:val="auto"/>
    </w:rPr>
  </w:style>
  <w:style w:type="table" w:styleId="ListTable2">
    <w:name w:val="List Table 2"/>
    <w:basedOn w:val="TableNormal"/>
    <w:uiPriority w:val="47"/>
    <w:rsid w:val="009F3010"/>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9F3010"/>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Accent5">
    <w:name w:val="List Table 6 Colorful Accent 5"/>
    <w:basedOn w:val="TableNormal"/>
    <w:uiPriority w:val="51"/>
    <w:rsid w:val="009F3010"/>
    <w:pPr>
      <w:widowControl w:val="0"/>
      <w:autoSpaceDE w:val="0"/>
      <w:autoSpaceDN w:val="0"/>
      <w:spacing w:after="0" w:line="240" w:lineRule="auto"/>
    </w:pPr>
    <w:rPr>
      <w:color w:val="77206D" w:themeColor="accent5" w:themeShade="BF"/>
      <w:kern w:val="0"/>
      <w:sz w:val="22"/>
      <w:szCs w:val="22"/>
      <w:lang w:val="en-US"/>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A7">
    <w:name w:val="A7"/>
    <w:uiPriority w:val="99"/>
    <w:rsid w:val="009F3010"/>
    <w:rPr>
      <w:rFonts w:cs="Sora"/>
      <w:b/>
      <w:bCs/>
      <w:color w:val="000000"/>
      <w:sz w:val="20"/>
      <w:szCs w:val="20"/>
    </w:rPr>
  </w:style>
  <w:style w:type="character" w:styleId="Strong">
    <w:name w:val="Strong"/>
    <w:basedOn w:val="DefaultParagraphFont"/>
    <w:uiPriority w:val="22"/>
    <w:qFormat/>
    <w:rsid w:val="009F3010"/>
    <w:rPr>
      <w:b/>
      <w:bCs/>
    </w:rPr>
  </w:style>
  <w:style w:type="paragraph" w:styleId="NormalWeb">
    <w:name w:val="Normal (Web)"/>
    <w:basedOn w:val="Normal"/>
    <w:uiPriority w:val="99"/>
    <w:semiHidden/>
    <w:unhideWhenUsed/>
    <w:rsid w:val="009F3010"/>
    <w:pPr>
      <w:widowControl/>
      <w:autoSpaceDE/>
      <w:autoSpaceDN/>
      <w:spacing w:before="100" w:beforeAutospacing="1" w:after="100" w:afterAutospacing="1"/>
    </w:pPr>
    <w:rPr>
      <w:rFonts w:ascii="Times New Roman" w:eastAsia="Times New Roman" w:hAnsi="Times New Roman" w:cs="Times New Roman"/>
      <w:color w:val="auto"/>
      <w:szCs w:val="24"/>
      <w:lang w:val="en-AU" w:eastAsia="en-AU"/>
    </w:rPr>
  </w:style>
  <w:style w:type="character" w:styleId="Emphasis">
    <w:name w:val="Emphasis"/>
    <w:basedOn w:val="DefaultParagraphFont"/>
    <w:uiPriority w:val="20"/>
    <w:qFormat/>
    <w:rsid w:val="009F3010"/>
    <w:rPr>
      <w:i/>
      <w:iCs/>
    </w:rPr>
  </w:style>
  <w:style w:type="character" w:styleId="UnresolvedMention">
    <w:name w:val="Unresolved Mention"/>
    <w:basedOn w:val="DefaultParagraphFont"/>
    <w:uiPriority w:val="99"/>
    <w:semiHidden/>
    <w:unhideWhenUsed/>
    <w:rsid w:val="009F3010"/>
    <w:rPr>
      <w:color w:val="605E5C"/>
      <w:shd w:val="clear" w:color="auto" w:fill="E1DFDD"/>
    </w:rPr>
  </w:style>
  <w:style w:type="paragraph" w:customStyle="1" w:styleId="Bulletindent">
    <w:name w:val="Bullet indent"/>
    <w:basedOn w:val="Bullets"/>
    <w:qFormat/>
    <w:rsid w:val="009F3010"/>
    <w:pPr>
      <w:tabs>
        <w:tab w:val="num" w:pos="360"/>
      </w:tabs>
      <w:spacing w:before="120"/>
      <w:ind w:left="993"/>
      <w:contextualSpacing w:val="0"/>
    </w:pPr>
  </w:style>
  <w:style w:type="character" w:styleId="FollowedHyperlink">
    <w:name w:val="FollowedHyperlink"/>
    <w:basedOn w:val="DefaultParagraphFont"/>
    <w:uiPriority w:val="99"/>
    <w:semiHidden/>
    <w:unhideWhenUsed/>
    <w:rsid w:val="009F3010"/>
    <w:rPr>
      <w:color w:val="96607D" w:themeColor="followedHyperlink"/>
      <w:u w:val="single"/>
    </w:rPr>
  </w:style>
  <w:style w:type="paragraph" w:customStyle="1" w:styleId="EndNoteBibliographyTitle">
    <w:name w:val="EndNote Bibliography Title"/>
    <w:basedOn w:val="Normal"/>
    <w:link w:val="EndNoteBibliographyTitleChar"/>
    <w:rsid w:val="009F3010"/>
    <w:pPr>
      <w:spacing w:after="0"/>
      <w:jc w:val="center"/>
    </w:pPr>
    <w:rPr>
      <w:noProof/>
      <w:szCs w:val="24"/>
    </w:rPr>
  </w:style>
  <w:style w:type="character" w:customStyle="1" w:styleId="EndNoteBibliographyTitleChar">
    <w:name w:val="EndNote Bibliography Title Char"/>
    <w:basedOn w:val="BodyTextChar"/>
    <w:link w:val="EndNoteBibliographyTitle"/>
    <w:rsid w:val="009F3010"/>
    <w:rPr>
      <w:rFonts w:ascii="Avenir Next" w:eastAsia="AvenirNext LT Pro Bold" w:hAnsi="Avenir Next" w:cs="AvenirNext LT Pro Bold"/>
      <w:noProof/>
      <w:color w:val="575F61"/>
      <w:kern w:val="0"/>
      <w:lang w:val="en-GB"/>
      <w14:ligatures w14:val="none"/>
    </w:rPr>
  </w:style>
  <w:style w:type="paragraph" w:customStyle="1" w:styleId="EndNoteBibliography">
    <w:name w:val="EndNote Bibliography"/>
    <w:basedOn w:val="Normal"/>
    <w:link w:val="EndNoteBibliographyChar"/>
    <w:rsid w:val="009F3010"/>
    <w:rPr>
      <w:noProof/>
      <w:szCs w:val="24"/>
    </w:rPr>
  </w:style>
  <w:style w:type="character" w:customStyle="1" w:styleId="EndNoteBibliographyChar">
    <w:name w:val="EndNote Bibliography Char"/>
    <w:basedOn w:val="BodyTextChar"/>
    <w:link w:val="EndNoteBibliography"/>
    <w:rsid w:val="009F3010"/>
    <w:rPr>
      <w:rFonts w:ascii="Avenir Next" w:eastAsia="AvenirNext LT Pro Bold" w:hAnsi="Avenir Next" w:cs="AvenirNext LT Pro Bold"/>
      <w:noProof/>
      <w:color w:val="575F61"/>
      <w:kern w:val="0"/>
      <w:lang w:val="en-GB"/>
      <w14:ligatures w14:val="none"/>
    </w:rPr>
  </w:style>
  <w:style w:type="character" w:styleId="SubtleEmphasis">
    <w:name w:val="Subtle Emphasis"/>
    <w:basedOn w:val="DefaultParagraphFont"/>
    <w:uiPriority w:val="19"/>
    <w:qFormat/>
    <w:rsid w:val="009F3010"/>
    <w:rPr>
      <w:i/>
      <w:iCs/>
      <w:color w:val="404040" w:themeColor="text1" w:themeTint="BF"/>
    </w:rPr>
  </w:style>
  <w:style w:type="character" w:customStyle="1" w:styleId="ListParagraphChar">
    <w:name w:val="List Paragraph Char"/>
    <w:aliases w:val="Bullets 2 Char,Recommendation Char,List Paragraph1 Char,List Paragraph11 Char,Bullet point Char,#List Paragraph Char"/>
    <w:link w:val="ListParagraph"/>
    <w:uiPriority w:val="34"/>
    <w:locked/>
    <w:rsid w:val="00162537"/>
    <w:rPr>
      <w:rFonts w:ascii="Avenir Next" w:eastAsia="AvenirNext LT Pro Bold" w:hAnsi="Avenir Next" w:cs="AvenirNext LT Pro Bold"/>
      <w:color w:val="575F61"/>
      <w:kern w:val="0"/>
      <w:szCs w:val="22"/>
      <w:lang w:val="en-GB"/>
      <w14:ligatures w14:val="none"/>
    </w:rPr>
  </w:style>
  <w:style w:type="table" w:styleId="GridTable4-Accent1">
    <w:name w:val="Grid Table 4 Accent 1"/>
    <w:basedOn w:val="TableNormal"/>
    <w:uiPriority w:val="49"/>
    <w:rsid w:val="009F3010"/>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hyperlink" Target="file:///\\tas-fileserv1\Program%20Share\SARC\2.%20Research,%20Policy%20and%20Advocacy\Projects\_Recurring%20projects\Housing%20Connect%20Snapshot\Quarterly%20Snapshots\2025%20Q1%20Sep%202025\4.%20Writing\Dec%202025%20revision\www.anglicare-tas.org.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anglicare-tas.org.au/researc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nglicare-tas.org.au/social-action-research-centr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jones@anglicare-tas.org.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anglicare-tas.org.au/research/rental-affordability-snapshot-202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tas-fileserv1\Program%20Share\SARC\2.%20Research,%20Policy,%20Advocacy\Projects\_Recurrent\HCFD%20Snapshot\2026%20Q4%20June%202026\Data%20and%20analysis\2026_Q4_Working%20Spreadsheet%20streamlin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tas-fileserv1\Program%20Share\SARC\2.%20Research,%20Policy,%20Advocacy\Projects\_Recurrent\HCFD%20Snapshot\2026%20Q4%20June%202026\Data%20and%20analysis\2026_Q4_Working%20Spreadsheet%20streamlin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a:t>Key needs identified and support provided for the quarter, 1</a:t>
            </a:r>
            <a:r>
              <a:rPr lang="en-AU" sz="1400" baseline="0"/>
              <a:t> April to 30 June 2026</a:t>
            </a:r>
            <a:endParaRPr lang="en-AU" sz="14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stacked"/>
        <c:varyColors val="0"/>
        <c:ser>
          <c:idx val="0"/>
          <c:order val="0"/>
          <c:tx>
            <c:v>Service or referral provided</c:v>
          </c:tx>
          <c:spPr>
            <a:solidFill>
              <a:schemeClr val="accent1"/>
            </a:solidFill>
            <a:ln>
              <a:noFill/>
            </a:ln>
            <a:effectLst/>
          </c:spPr>
          <c:invertIfNegative val="0"/>
          <c:cat>
            <c:strRef>
              <c:f>'Needs met or not'!$A$108:$A$118</c:f>
              <c:strCache>
                <c:ptCount val="10"/>
                <c:pt idx="0">
                  <c:v>Mental health services</c:v>
                </c:pt>
                <c:pt idx="1">
                  <c:v>Financial information</c:v>
                </c:pt>
                <c:pt idx="2">
                  <c:v>Assistance to sustain tenancy or prevent tenancy failure or eviction</c:v>
                </c:pt>
                <c:pt idx="3">
                  <c:v>Material aid/brokerage</c:v>
                </c:pt>
                <c:pt idx="4">
                  <c:v>Advocacy/liaison on behalf of client</c:v>
                </c:pt>
                <c:pt idx="5">
                  <c:v>Short term or emergency accommodation</c:v>
                </c:pt>
                <c:pt idx="6">
                  <c:v>Medium term/transitional housing</c:v>
                </c:pt>
                <c:pt idx="7">
                  <c:v>Long term housing</c:v>
                </c:pt>
                <c:pt idx="8">
                  <c:v>Advice/information</c:v>
                </c:pt>
                <c:pt idx="9">
                  <c:v>Other basic assistance</c:v>
                </c:pt>
              </c:strCache>
            </c:strRef>
          </c:cat>
          <c:val>
            <c:numRef>
              <c:f>'Needs met or not'!$B$108:$B$118</c:f>
              <c:numCache>
                <c:formatCode>General</c:formatCode>
                <c:ptCount val="10"/>
                <c:pt idx="0">
                  <c:v>30</c:v>
                </c:pt>
                <c:pt idx="1">
                  <c:v>71</c:v>
                </c:pt>
                <c:pt idx="2">
                  <c:v>31</c:v>
                </c:pt>
                <c:pt idx="3">
                  <c:v>149</c:v>
                </c:pt>
                <c:pt idx="4">
                  <c:v>328</c:v>
                </c:pt>
                <c:pt idx="5">
                  <c:v>79</c:v>
                </c:pt>
                <c:pt idx="6">
                  <c:v>36</c:v>
                </c:pt>
                <c:pt idx="7">
                  <c:v>116</c:v>
                </c:pt>
                <c:pt idx="8">
                  <c:v>1700</c:v>
                </c:pt>
                <c:pt idx="9">
                  <c:v>1743</c:v>
                </c:pt>
              </c:numCache>
            </c:numRef>
          </c:val>
          <c:extLst>
            <c:ext xmlns:c16="http://schemas.microsoft.com/office/drawing/2014/chart" uri="{C3380CC4-5D6E-409C-BE32-E72D297353CC}">
              <c16:uniqueId val="{00000000-9477-425A-8D7A-A9ECA815E9C0}"/>
            </c:ext>
          </c:extLst>
        </c:ser>
        <c:ser>
          <c:idx val="1"/>
          <c:order val="1"/>
          <c:tx>
            <c:v>Unmet need</c:v>
          </c:tx>
          <c:spPr>
            <a:solidFill>
              <a:schemeClr val="accent2"/>
            </a:solidFill>
            <a:ln>
              <a:noFill/>
            </a:ln>
            <a:effectLst/>
          </c:spPr>
          <c:invertIfNegative val="0"/>
          <c:val>
            <c:numRef>
              <c:f>'Needs met or not'!$C$108:$C$118</c:f>
              <c:numCache>
                <c:formatCode>General</c:formatCode>
                <c:ptCount val="10"/>
                <c:pt idx="0">
                  <c:v>29</c:v>
                </c:pt>
                <c:pt idx="1">
                  <c:v>40</c:v>
                </c:pt>
                <c:pt idx="2">
                  <c:v>108</c:v>
                </c:pt>
                <c:pt idx="3">
                  <c:v>41</c:v>
                </c:pt>
                <c:pt idx="4">
                  <c:v>23</c:v>
                </c:pt>
                <c:pt idx="5">
                  <c:v>326</c:v>
                </c:pt>
                <c:pt idx="6">
                  <c:v>442</c:v>
                </c:pt>
                <c:pt idx="7">
                  <c:v>935</c:v>
                </c:pt>
                <c:pt idx="8">
                  <c:v>7</c:v>
                </c:pt>
                <c:pt idx="9">
                  <c:v>33</c:v>
                </c:pt>
              </c:numCache>
            </c:numRef>
          </c:val>
          <c:extLst>
            <c:ext xmlns:c16="http://schemas.microsoft.com/office/drawing/2014/chart" uri="{C3380CC4-5D6E-409C-BE32-E72D297353CC}">
              <c16:uniqueId val="{00000001-9477-425A-8D7A-A9ECA815E9C0}"/>
            </c:ext>
          </c:extLst>
        </c:ser>
        <c:dLbls>
          <c:showLegendKey val="0"/>
          <c:showVal val="0"/>
          <c:showCatName val="0"/>
          <c:showSerName val="0"/>
          <c:showPercent val="0"/>
          <c:showBubbleSize val="0"/>
        </c:dLbls>
        <c:gapWidth val="150"/>
        <c:overlap val="100"/>
        <c:axId val="187834591"/>
        <c:axId val="453197151"/>
      </c:barChart>
      <c:catAx>
        <c:axId val="187834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197151"/>
        <c:crosses val="autoZero"/>
        <c:auto val="1"/>
        <c:lblAlgn val="ctr"/>
        <c:lblOffset val="100"/>
        <c:noMultiLvlLbl val="0"/>
      </c:catAx>
      <c:valAx>
        <c:axId val="4531971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34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The rental vacancy rate remains critically low in all regions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Hobart</c:v>
          </c:tx>
          <c:spPr>
            <a:ln w="25400" cap="rnd">
              <a:solidFill>
                <a:schemeClr val="accent1"/>
              </a:solidFill>
              <a:round/>
            </a:ln>
            <a:effectLst/>
          </c:spPr>
          <c:marker>
            <c:symbol val="none"/>
          </c:marker>
          <c:cat>
            <c:numRef>
              <c:f>'Vacancy rate'!$A$22:$A$34</c:f>
              <c:numCache>
                <c:formatCode>mmm\-yy</c:formatCode>
                <c:ptCount val="13"/>
                <c:pt idx="0">
                  <c:v>45809</c:v>
                </c:pt>
                <c:pt idx="1">
                  <c:v>45839</c:v>
                </c:pt>
                <c:pt idx="2">
                  <c:v>45870</c:v>
                </c:pt>
                <c:pt idx="3">
                  <c:v>45901</c:v>
                </c:pt>
                <c:pt idx="4">
                  <c:v>45931</c:v>
                </c:pt>
                <c:pt idx="5">
                  <c:v>45962</c:v>
                </c:pt>
                <c:pt idx="6">
                  <c:v>45992</c:v>
                </c:pt>
                <c:pt idx="7">
                  <c:v>46023</c:v>
                </c:pt>
                <c:pt idx="8">
                  <c:v>46054</c:v>
                </c:pt>
                <c:pt idx="9">
                  <c:v>46082</c:v>
                </c:pt>
                <c:pt idx="10">
                  <c:v>46113</c:v>
                </c:pt>
                <c:pt idx="11">
                  <c:v>46143</c:v>
                </c:pt>
                <c:pt idx="12">
                  <c:v>46174</c:v>
                </c:pt>
              </c:numCache>
            </c:numRef>
          </c:cat>
          <c:val>
            <c:numRef>
              <c:f>'Vacancy rate'!$B$22:$B$34</c:f>
              <c:numCache>
                <c:formatCode>0.0%</c:formatCode>
                <c:ptCount val="13"/>
                <c:pt idx="0">
                  <c:v>6.0000000000000001E-3</c:v>
                </c:pt>
                <c:pt idx="1">
                  <c:v>6.0000000000000001E-3</c:v>
                </c:pt>
                <c:pt idx="2">
                  <c:v>5.0000000000000001E-3</c:v>
                </c:pt>
                <c:pt idx="3">
                  <c:v>4.0000000000000001E-3</c:v>
                </c:pt>
                <c:pt idx="4">
                  <c:v>4.0000000000000001E-3</c:v>
                </c:pt>
                <c:pt idx="5">
                  <c:v>4.0000000000000001E-3</c:v>
                </c:pt>
                <c:pt idx="6">
                  <c:v>4.0000000000000001E-3</c:v>
                </c:pt>
                <c:pt idx="7">
                  <c:v>4.0000000000000001E-3</c:v>
                </c:pt>
                <c:pt idx="8">
                  <c:v>5.0000000000000001E-3</c:v>
                </c:pt>
                <c:pt idx="9">
                  <c:v>4.0000000000000001E-3</c:v>
                </c:pt>
                <c:pt idx="10">
                  <c:v>5.0000000000000001E-3</c:v>
                </c:pt>
                <c:pt idx="11">
                  <c:v>6.0000000000000001E-3</c:v>
                </c:pt>
                <c:pt idx="12">
                  <c:v>7.0000000000000001E-3</c:v>
                </c:pt>
              </c:numCache>
            </c:numRef>
          </c:val>
          <c:smooth val="0"/>
          <c:extLst>
            <c:ext xmlns:c16="http://schemas.microsoft.com/office/drawing/2014/chart" uri="{C3380CC4-5D6E-409C-BE32-E72D297353CC}">
              <c16:uniqueId val="{00000000-6FD2-4B56-9D30-06E3748915AC}"/>
            </c:ext>
          </c:extLst>
        </c:ser>
        <c:ser>
          <c:idx val="1"/>
          <c:order val="1"/>
          <c:tx>
            <c:v>Burnie</c:v>
          </c:tx>
          <c:spPr>
            <a:ln w="25400" cap="rnd">
              <a:solidFill>
                <a:schemeClr val="accent2"/>
              </a:solidFill>
              <a:round/>
            </a:ln>
            <a:effectLst/>
          </c:spPr>
          <c:marker>
            <c:symbol val="none"/>
          </c:marker>
          <c:cat>
            <c:numRef>
              <c:f>'Vacancy rate'!$A$22:$A$34</c:f>
              <c:numCache>
                <c:formatCode>mmm\-yy</c:formatCode>
                <c:ptCount val="13"/>
                <c:pt idx="0">
                  <c:v>45809</c:v>
                </c:pt>
                <c:pt idx="1">
                  <c:v>45839</c:v>
                </c:pt>
                <c:pt idx="2">
                  <c:v>45870</c:v>
                </c:pt>
                <c:pt idx="3">
                  <c:v>45901</c:v>
                </c:pt>
                <c:pt idx="4">
                  <c:v>45931</c:v>
                </c:pt>
                <c:pt idx="5">
                  <c:v>45962</c:v>
                </c:pt>
                <c:pt idx="6">
                  <c:v>45992</c:v>
                </c:pt>
                <c:pt idx="7">
                  <c:v>46023</c:v>
                </c:pt>
                <c:pt idx="8">
                  <c:v>46054</c:v>
                </c:pt>
                <c:pt idx="9">
                  <c:v>46082</c:v>
                </c:pt>
                <c:pt idx="10">
                  <c:v>46113</c:v>
                </c:pt>
                <c:pt idx="11">
                  <c:v>46143</c:v>
                </c:pt>
                <c:pt idx="12">
                  <c:v>46174</c:v>
                </c:pt>
              </c:numCache>
            </c:numRef>
          </c:cat>
          <c:val>
            <c:numRef>
              <c:f>'Vacancy rate'!$C$22:$C$34</c:f>
              <c:numCache>
                <c:formatCode>0.0%</c:formatCode>
                <c:ptCount val="13"/>
                <c:pt idx="0">
                  <c:v>5.0000000000000001E-3</c:v>
                </c:pt>
                <c:pt idx="1">
                  <c:v>5.0000000000000001E-3</c:v>
                </c:pt>
                <c:pt idx="2">
                  <c:v>4.0000000000000001E-3</c:v>
                </c:pt>
                <c:pt idx="3">
                  <c:v>3.0000000000000001E-3</c:v>
                </c:pt>
                <c:pt idx="4">
                  <c:v>3.0000000000000001E-3</c:v>
                </c:pt>
                <c:pt idx="5">
                  <c:v>4.0000000000000001E-3</c:v>
                </c:pt>
                <c:pt idx="6">
                  <c:v>5.0000000000000001E-3</c:v>
                </c:pt>
                <c:pt idx="7">
                  <c:v>5.0000000000000001E-3</c:v>
                </c:pt>
                <c:pt idx="8">
                  <c:v>5.0000000000000001E-3</c:v>
                </c:pt>
                <c:pt idx="9">
                  <c:v>4.0000000000000001E-3</c:v>
                </c:pt>
                <c:pt idx="10">
                  <c:v>4.0000000000000001E-3</c:v>
                </c:pt>
                <c:pt idx="11">
                  <c:v>7.0000000000000001E-3</c:v>
                </c:pt>
                <c:pt idx="12">
                  <c:v>6.0000000000000001E-3</c:v>
                </c:pt>
              </c:numCache>
            </c:numRef>
          </c:val>
          <c:smooth val="0"/>
          <c:extLst>
            <c:ext xmlns:c16="http://schemas.microsoft.com/office/drawing/2014/chart" uri="{C3380CC4-5D6E-409C-BE32-E72D297353CC}">
              <c16:uniqueId val="{00000001-6FD2-4B56-9D30-06E3748915AC}"/>
            </c:ext>
          </c:extLst>
        </c:ser>
        <c:ser>
          <c:idx val="2"/>
          <c:order val="2"/>
          <c:tx>
            <c:v>Launceston</c:v>
          </c:tx>
          <c:spPr>
            <a:ln w="25400" cap="rnd">
              <a:solidFill>
                <a:schemeClr val="accent3"/>
              </a:solidFill>
              <a:round/>
            </a:ln>
            <a:effectLst/>
          </c:spPr>
          <c:marker>
            <c:symbol val="none"/>
          </c:marker>
          <c:cat>
            <c:numRef>
              <c:f>'Vacancy rate'!$A$22:$A$34</c:f>
              <c:numCache>
                <c:formatCode>mmm\-yy</c:formatCode>
                <c:ptCount val="13"/>
                <c:pt idx="0">
                  <c:v>45809</c:v>
                </c:pt>
                <c:pt idx="1">
                  <c:v>45839</c:v>
                </c:pt>
                <c:pt idx="2">
                  <c:v>45870</c:v>
                </c:pt>
                <c:pt idx="3">
                  <c:v>45901</c:v>
                </c:pt>
                <c:pt idx="4">
                  <c:v>45931</c:v>
                </c:pt>
                <c:pt idx="5">
                  <c:v>45962</c:v>
                </c:pt>
                <c:pt idx="6">
                  <c:v>45992</c:v>
                </c:pt>
                <c:pt idx="7">
                  <c:v>46023</c:v>
                </c:pt>
                <c:pt idx="8">
                  <c:v>46054</c:v>
                </c:pt>
                <c:pt idx="9">
                  <c:v>46082</c:v>
                </c:pt>
                <c:pt idx="10">
                  <c:v>46113</c:v>
                </c:pt>
                <c:pt idx="11">
                  <c:v>46143</c:v>
                </c:pt>
                <c:pt idx="12">
                  <c:v>46174</c:v>
                </c:pt>
              </c:numCache>
            </c:numRef>
          </c:cat>
          <c:val>
            <c:numRef>
              <c:f>'Vacancy rate'!$D$22:$D$34</c:f>
              <c:numCache>
                <c:formatCode>0.0%</c:formatCode>
                <c:ptCount val="13"/>
                <c:pt idx="0">
                  <c:v>6.9999999999999993E-3</c:v>
                </c:pt>
                <c:pt idx="1">
                  <c:v>6.0000000000000001E-3</c:v>
                </c:pt>
                <c:pt idx="2">
                  <c:v>5.0000000000000001E-3</c:v>
                </c:pt>
                <c:pt idx="3">
                  <c:v>5.0000000000000001E-3</c:v>
                </c:pt>
                <c:pt idx="4">
                  <c:v>5.0000000000000001E-3</c:v>
                </c:pt>
                <c:pt idx="5">
                  <c:v>4.0000000000000001E-3</c:v>
                </c:pt>
                <c:pt idx="6">
                  <c:v>4.0000000000000001E-3</c:v>
                </c:pt>
                <c:pt idx="7">
                  <c:v>6.0000000000000001E-3</c:v>
                </c:pt>
                <c:pt idx="8">
                  <c:v>7.0000000000000001E-3</c:v>
                </c:pt>
                <c:pt idx="9">
                  <c:v>7.0000000000000001E-3</c:v>
                </c:pt>
                <c:pt idx="10">
                  <c:v>7.0000000000000001E-3</c:v>
                </c:pt>
                <c:pt idx="11">
                  <c:v>8.0000000000000002E-3</c:v>
                </c:pt>
                <c:pt idx="12">
                  <c:v>7.0000000000000001E-3</c:v>
                </c:pt>
              </c:numCache>
            </c:numRef>
          </c:val>
          <c:smooth val="0"/>
          <c:extLst>
            <c:ext xmlns:c16="http://schemas.microsoft.com/office/drawing/2014/chart" uri="{C3380CC4-5D6E-409C-BE32-E72D297353CC}">
              <c16:uniqueId val="{00000002-6FD2-4B56-9D30-06E3748915AC}"/>
            </c:ext>
          </c:extLst>
        </c:ser>
        <c:ser>
          <c:idx val="3"/>
          <c:order val="3"/>
          <c:tx>
            <c:v>Target</c:v>
          </c:tx>
          <c:spPr>
            <a:ln w="25400" cap="rnd">
              <a:solidFill>
                <a:srgbClr val="00B050"/>
              </a:solidFill>
              <a:round/>
            </a:ln>
            <a:effectLst/>
          </c:spPr>
          <c:marker>
            <c:symbol val="none"/>
          </c:marker>
          <c:cat>
            <c:numRef>
              <c:f>'Vacancy rate'!$A$22:$A$34</c:f>
              <c:numCache>
                <c:formatCode>mmm\-yy</c:formatCode>
                <c:ptCount val="13"/>
                <c:pt idx="0">
                  <c:v>45809</c:v>
                </c:pt>
                <c:pt idx="1">
                  <c:v>45839</c:v>
                </c:pt>
                <c:pt idx="2">
                  <c:v>45870</c:v>
                </c:pt>
                <c:pt idx="3">
                  <c:v>45901</c:v>
                </c:pt>
                <c:pt idx="4">
                  <c:v>45931</c:v>
                </c:pt>
                <c:pt idx="5">
                  <c:v>45962</c:v>
                </c:pt>
                <c:pt idx="6">
                  <c:v>45992</c:v>
                </c:pt>
                <c:pt idx="7">
                  <c:v>46023</c:v>
                </c:pt>
                <c:pt idx="8">
                  <c:v>46054</c:v>
                </c:pt>
                <c:pt idx="9">
                  <c:v>46082</c:v>
                </c:pt>
                <c:pt idx="10">
                  <c:v>46113</c:v>
                </c:pt>
                <c:pt idx="11">
                  <c:v>46143</c:v>
                </c:pt>
                <c:pt idx="12">
                  <c:v>46174</c:v>
                </c:pt>
              </c:numCache>
            </c:numRef>
          </c:cat>
          <c:val>
            <c:numRef>
              <c:f>'Vacancy rate'!$E$22:$E$34</c:f>
              <c:numCache>
                <c:formatCode>0.0%</c:formatCode>
                <c:ptCount val="13"/>
                <c:pt idx="0">
                  <c:v>0.03</c:v>
                </c:pt>
                <c:pt idx="1">
                  <c:v>0.03</c:v>
                </c:pt>
                <c:pt idx="2">
                  <c:v>0.03</c:v>
                </c:pt>
                <c:pt idx="3">
                  <c:v>0.03</c:v>
                </c:pt>
                <c:pt idx="4">
                  <c:v>0.03</c:v>
                </c:pt>
                <c:pt idx="5">
                  <c:v>0.03</c:v>
                </c:pt>
                <c:pt idx="6">
                  <c:v>0.03</c:v>
                </c:pt>
                <c:pt idx="7">
                  <c:v>0.03</c:v>
                </c:pt>
                <c:pt idx="8">
                  <c:v>0.03</c:v>
                </c:pt>
                <c:pt idx="9">
                  <c:v>0.03</c:v>
                </c:pt>
                <c:pt idx="10">
                  <c:v>0.03</c:v>
                </c:pt>
                <c:pt idx="11">
                  <c:v>0.03</c:v>
                </c:pt>
                <c:pt idx="12">
                  <c:v>0.03</c:v>
                </c:pt>
              </c:numCache>
            </c:numRef>
          </c:val>
          <c:smooth val="0"/>
          <c:extLst>
            <c:ext xmlns:c16="http://schemas.microsoft.com/office/drawing/2014/chart" uri="{C3380CC4-5D6E-409C-BE32-E72D297353CC}">
              <c16:uniqueId val="{00000003-6FD2-4B56-9D30-06E3748915AC}"/>
            </c:ext>
          </c:extLst>
        </c:ser>
        <c:dLbls>
          <c:showLegendKey val="0"/>
          <c:showVal val="0"/>
          <c:showCatName val="0"/>
          <c:showSerName val="0"/>
          <c:showPercent val="0"/>
          <c:showBubbleSize val="0"/>
        </c:dLbls>
        <c:smooth val="0"/>
        <c:axId val="1015846208"/>
        <c:axId val="1445454704"/>
      </c:lineChart>
      <c:dateAx>
        <c:axId val="101584620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5454704"/>
        <c:crosses val="autoZero"/>
        <c:auto val="1"/>
        <c:lblOffset val="100"/>
        <c:baseTimeUnit val="months"/>
      </c:dateAx>
      <c:valAx>
        <c:axId val="1445454704"/>
        <c:scaling>
          <c:orientation val="minMax"/>
          <c:max val="4.0000000000000008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46208"/>
        <c:crosses val="autoZero"/>
        <c:crossBetween val="between"/>
        <c:majorUnit val="1.0000000000000002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Applications on Tasmanian Housing Register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 3'!$A$4:$A$16</c:f>
              <c:numCache>
                <c:formatCode>mmm\-yy</c:formatCode>
                <c:ptCount val="13"/>
                <c:pt idx="0">
                  <c:v>45809</c:v>
                </c:pt>
                <c:pt idx="1">
                  <c:v>45839</c:v>
                </c:pt>
                <c:pt idx="2">
                  <c:v>45870</c:v>
                </c:pt>
                <c:pt idx="3">
                  <c:v>45901</c:v>
                </c:pt>
                <c:pt idx="4">
                  <c:v>45931</c:v>
                </c:pt>
                <c:pt idx="5">
                  <c:v>45962</c:v>
                </c:pt>
                <c:pt idx="6">
                  <c:v>45992</c:v>
                </c:pt>
                <c:pt idx="7">
                  <c:v>46023</c:v>
                </c:pt>
                <c:pt idx="8">
                  <c:v>46054</c:v>
                </c:pt>
                <c:pt idx="9">
                  <c:v>46082</c:v>
                </c:pt>
                <c:pt idx="10">
                  <c:v>46113</c:v>
                </c:pt>
                <c:pt idx="11">
                  <c:v>46143</c:v>
                </c:pt>
                <c:pt idx="12">
                  <c:v>46174</c:v>
                </c:pt>
              </c:numCache>
            </c:numRef>
          </c:cat>
          <c:val>
            <c:numRef>
              <c:f>'Figure 3'!$B$4:$B$16</c:f>
              <c:numCache>
                <c:formatCode>General</c:formatCode>
                <c:ptCount val="13"/>
                <c:pt idx="0">
                  <c:v>5163</c:v>
                </c:pt>
                <c:pt idx="1">
                  <c:v>5247</c:v>
                </c:pt>
                <c:pt idx="2">
                  <c:v>5277</c:v>
                </c:pt>
                <c:pt idx="3">
                  <c:v>5336</c:v>
                </c:pt>
                <c:pt idx="4">
                  <c:v>5380</c:v>
                </c:pt>
                <c:pt idx="5">
                  <c:v>5384</c:v>
                </c:pt>
                <c:pt idx="6">
                  <c:v>5410</c:v>
                </c:pt>
                <c:pt idx="7">
                  <c:v>5387</c:v>
                </c:pt>
                <c:pt idx="8">
                  <c:v>5408</c:v>
                </c:pt>
                <c:pt idx="9">
                  <c:v>5533</c:v>
                </c:pt>
                <c:pt idx="10">
                  <c:v>5507</c:v>
                </c:pt>
                <c:pt idx="11">
                  <c:v>5577</c:v>
                </c:pt>
                <c:pt idx="12">
                  <c:v>5655</c:v>
                </c:pt>
              </c:numCache>
            </c:numRef>
          </c:val>
          <c:smooth val="0"/>
          <c:extLst>
            <c:ext xmlns:c16="http://schemas.microsoft.com/office/drawing/2014/chart" uri="{C3380CC4-5D6E-409C-BE32-E72D297353CC}">
              <c16:uniqueId val="{00000000-E0AB-4392-A145-4DB1BC833A44}"/>
            </c:ext>
          </c:extLst>
        </c:ser>
        <c:dLbls>
          <c:dLblPos val="t"/>
          <c:showLegendKey val="0"/>
          <c:showVal val="1"/>
          <c:showCatName val="0"/>
          <c:showSerName val="0"/>
          <c:showPercent val="0"/>
          <c:showBubbleSize val="0"/>
        </c:dLbls>
        <c:smooth val="0"/>
        <c:axId val="2060419263"/>
        <c:axId val="1808477679"/>
      </c:lineChart>
      <c:dateAx>
        <c:axId val="2060419263"/>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8477679"/>
        <c:crosses val="autoZero"/>
        <c:auto val="1"/>
        <c:lblOffset val="100"/>
        <c:baseTimeUnit val="months"/>
      </c:dateAx>
      <c:valAx>
        <c:axId val="18084776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0419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time to house priority applicants (rolling 12-month average), in weeks</a:t>
            </a:r>
          </a:p>
        </c:rich>
      </c:tx>
      <c:layout>
        <c:manualLayout>
          <c:xMode val="edge"/>
          <c:yMode val="edge"/>
          <c:x val="0.12158333333333333"/>
          <c:y val="6.481481481481481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'Figure 4'!$A$4:$A$16</c:f>
              <c:numCache>
                <c:formatCode>mmm\-yy</c:formatCode>
                <c:ptCount val="13"/>
                <c:pt idx="0">
                  <c:v>45809</c:v>
                </c:pt>
                <c:pt idx="1">
                  <c:v>45839</c:v>
                </c:pt>
                <c:pt idx="2">
                  <c:v>45870</c:v>
                </c:pt>
                <c:pt idx="3">
                  <c:v>45901</c:v>
                </c:pt>
                <c:pt idx="4">
                  <c:v>45931</c:v>
                </c:pt>
                <c:pt idx="5">
                  <c:v>45962</c:v>
                </c:pt>
                <c:pt idx="6">
                  <c:v>45992</c:v>
                </c:pt>
                <c:pt idx="7">
                  <c:v>46023</c:v>
                </c:pt>
                <c:pt idx="8">
                  <c:v>46054</c:v>
                </c:pt>
                <c:pt idx="9">
                  <c:v>46082</c:v>
                </c:pt>
                <c:pt idx="10">
                  <c:v>46113</c:v>
                </c:pt>
                <c:pt idx="11">
                  <c:v>46143</c:v>
                </c:pt>
                <c:pt idx="12">
                  <c:v>46174</c:v>
                </c:pt>
              </c:numCache>
            </c:numRef>
          </c:cat>
          <c:val>
            <c:numRef>
              <c:f>'Figure 4'!$B$4:$B$16</c:f>
              <c:numCache>
                <c:formatCode>General</c:formatCode>
                <c:ptCount val="13"/>
                <c:pt idx="0">
                  <c:v>79.099999999999994</c:v>
                </c:pt>
                <c:pt idx="1">
                  <c:v>80.2</c:v>
                </c:pt>
                <c:pt idx="2">
                  <c:v>80.8</c:v>
                </c:pt>
                <c:pt idx="3">
                  <c:v>82.6</c:v>
                </c:pt>
                <c:pt idx="4">
                  <c:v>82.4</c:v>
                </c:pt>
                <c:pt idx="5">
                  <c:v>84.3</c:v>
                </c:pt>
                <c:pt idx="6">
                  <c:v>84.4</c:v>
                </c:pt>
                <c:pt idx="7">
                  <c:v>84.6</c:v>
                </c:pt>
                <c:pt idx="8">
                  <c:v>85</c:v>
                </c:pt>
                <c:pt idx="9">
                  <c:v>88.1</c:v>
                </c:pt>
                <c:pt idx="10">
                  <c:v>89</c:v>
                </c:pt>
                <c:pt idx="11">
                  <c:v>87.9</c:v>
                </c:pt>
                <c:pt idx="12">
                  <c:v>88.6</c:v>
                </c:pt>
              </c:numCache>
            </c:numRef>
          </c:val>
          <c:smooth val="0"/>
          <c:extLst>
            <c:ext xmlns:c16="http://schemas.microsoft.com/office/drawing/2014/chart" uri="{C3380CC4-5D6E-409C-BE32-E72D297353CC}">
              <c16:uniqueId val="{00000000-C0FB-4D73-B706-0A5B596138A4}"/>
            </c:ext>
          </c:extLst>
        </c:ser>
        <c:dLbls>
          <c:dLblPos val="t"/>
          <c:showLegendKey val="0"/>
          <c:showVal val="1"/>
          <c:showCatName val="0"/>
          <c:showSerName val="0"/>
          <c:showPercent val="0"/>
          <c:showBubbleSize val="0"/>
        </c:dLbls>
        <c:smooth val="0"/>
        <c:axId val="224393231"/>
        <c:axId val="2075328591"/>
      </c:lineChart>
      <c:dateAx>
        <c:axId val="224393231"/>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328591"/>
        <c:crosses val="autoZero"/>
        <c:auto val="1"/>
        <c:lblOffset val="100"/>
        <c:baseTimeUnit val="months"/>
      </c:dateAx>
      <c:valAx>
        <c:axId val="2075328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3932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BCE299F698E04EA598F86E15244ECC" ma:contentTypeVersion="3" ma:contentTypeDescription="Create a new document." ma:contentTypeScope="" ma:versionID="7e682e0b0935c240e2432935cc28ee66">
  <xsd:schema xmlns:xsd="http://www.w3.org/2001/XMLSchema" xmlns:xs="http://www.w3.org/2001/XMLSchema" xmlns:p="http://schemas.microsoft.com/office/2006/metadata/properties" xmlns:ns2="92e40a98-5010-4b0b-b55d-764948bbdfad" targetNamespace="http://schemas.microsoft.com/office/2006/metadata/properties" ma:root="true" ma:fieldsID="64d2ccfb2613354509397441d930184d" ns2:_="">
    <xsd:import namespace="92e40a98-5010-4b0b-b55d-764948bbdfa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40a98-5010-4b0b-b55d-764948bbdf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5E269-B61B-473B-AEEB-A5E8BC9C1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40a98-5010-4b0b-b55d-764948bbd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B133F-F1A5-4E49-81DB-B9BF18329660}">
  <ds:schemaRefs>
    <ds:schemaRef ds:uri="http://schemas.openxmlformats.org/officeDocument/2006/bibliography"/>
  </ds:schemaRefs>
</ds:datastoreItem>
</file>

<file path=customXml/itemProps3.xml><?xml version="1.0" encoding="utf-8"?>
<ds:datastoreItem xmlns:ds="http://schemas.openxmlformats.org/officeDocument/2006/customXml" ds:itemID="{FED2C664-E4DB-4882-9245-31CCC90911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01BBB5-3163-425B-9B29-D3CDE937F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2738</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Claxton</dc:creator>
  <cp:keywords/>
  <dc:description/>
  <cp:lastModifiedBy>Ginny Toombs</cp:lastModifiedBy>
  <cp:revision>5</cp:revision>
  <cp:lastPrinted>2026-06-18T04:44:00Z</cp:lastPrinted>
  <dcterms:created xsi:type="dcterms:W3CDTF">2026-09-14T03:18:00Z</dcterms:created>
  <dcterms:modified xsi:type="dcterms:W3CDTF">2026-09-14T05:22:00Z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0x010100B5BCE299F698E04EA598F86E15244ECC</vt:lpwstr>
  </property>
</Properties>
</file>