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E3826" w14:textId="7BC2C0E2" w:rsidR="00C30360" w:rsidRDefault="00F63391">
      <w:pPr>
        <w:pStyle w:val="Title"/>
        <w:spacing w:line="196" w:lineRule="auto"/>
        <w:rPr>
          <w:rFonts w:ascii="Avenir Next Demi Bold" w:hAnsi="Avenir Next Demi Bold"/>
          <w:color w:val="FFFFFF"/>
          <w:spacing w:val="-14"/>
        </w:rPr>
      </w:pPr>
      <w:r w:rsidRPr="00C30360">
        <w:rPr>
          <w:rFonts w:ascii="Avenir Next Demi Bold" w:hAnsi="Avenir Next Demi Bold"/>
          <w:noProof/>
        </w:rPr>
        <w:drawing>
          <wp:anchor distT="0" distB="0" distL="0" distR="0" simplePos="0" relativeHeight="251623936" behindDoc="1" locked="0" layoutInCell="1" allowOverlap="1" wp14:anchorId="53EDEFA3" wp14:editId="383E0569">
            <wp:simplePos x="0" y="0"/>
            <wp:positionH relativeFrom="page">
              <wp:posOffset>0</wp:posOffset>
            </wp:positionH>
            <wp:positionV relativeFrom="page">
              <wp:posOffset>0</wp:posOffset>
            </wp:positionV>
            <wp:extent cx="7559036" cy="10684284"/>
            <wp:effectExtent l="0" t="0" r="0" b="0"/>
            <wp:wrapNone/>
            <wp:docPr id="1" name="image1.jpeg" descr="Cover illustration shows a father with two children as well as the logos for Anglicare Tasmania and the Social Action and Researc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36" cy="10684284"/>
                    </a:xfrm>
                    <a:prstGeom prst="rect">
                      <a:avLst/>
                    </a:prstGeom>
                  </pic:spPr>
                </pic:pic>
              </a:graphicData>
            </a:graphic>
            <wp14:sizeRelV relativeFrom="margin">
              <wp14:pctHeight>0</wp14:pctHeight>
            </wp14:sizeRelV>
          </wp:anchor>
        </w:drawing>
      </w:r>
      <w:r w:rsidR="00BF7913">
        <w:rPr>
          <w:rFonts w:ascii="Avenir Next Demi Bold" w:hAnsi="Avenir Next Demi Bold"/>
          <w:color w:val="FFFFFF"/>
          <w:spacing w:val="-14"/>
        </w:rPr>
        <w:t>Action</w:t>
      </w:r>
      <w:r w:rsidR="00471882">
        <w:rPr>
          <w:rFonts w:ascii="Avenir Next Demi Bold" w:hAnsi="Avenir Next Demi Bold"/>
          <w:color w:val="FFFFFF"/>
          <w:spacing w:val="-14"/>
        </w:rPr>
        <w:t xml:space="preserve"> </w:t>
      </w:r>
      <w:r w:rsidR="00B153E7">
        <w:rPr>
          <w:rFonts w:ascii="Avenir Next Demi Bold" w:hAnsi="Avenir Next Demi Bold"/>
          <w:color w:val="FFFFFF"/>
          <w:spacing w:val="-14"/>
        </w:rPr>
        <w:t>for a healthier community:</w:t>
      </w:r>
      <w:r w:rsidR="00471882">
        <w:rPr>
          <w:rFonts w:ascii="Avenir Next Demi Bold" w:hAnsi="Avenir Next Demi Bold"/>
          <w:color w:val="FFFFFF"/>
          <w:spacing w:val="-14"/>
        </w:rPr>
        <w:t xml:space="preserve"> </w:t>
      </w:r>
      <w:r w:rsidR="00E82514">
        <w:rPr>
          <w:rFonts w:ascii="Avenir Next Demi Bold" w:hAnsi="Avenir Next Demi Bold"/>
          <w:color w:val="FFFFFF"/>
          <w:spacing w:val="-14"/>
        </w:rPr>
        <w:t xml:space="preserve">an effective </w:t>
      </w:r>
      <w:r w:rsidR="00B153E7">
        <w:rPr>
          <w:rFonts w:ascii="Avenir Next Demi Bold" w:hAnsi="Avenir Next Demi Bold"/>
          <w:color w:val="FFFFFF"/>
          <w:spacing w:val="-14"/>
        </w:rPr>
        <w:t xml:space="preserve">response to </w:t>
      </w:r>
      <w:r w:rsidR="00E82514">
        <w:rPr>
          <w:rFonts w:ascii="Avenir Next Demi Bold" w:hAnsi="Avenir Next Demi Bold"/>
          <w:color w:val="FFFFFF"/>
          <w:spacing w:val="-14"/>
        </w:rPr>
        <w:t xml:space="preserve">illicit </w:t>
      </w:r>
      <w:r w:rsidR="00B153E7">
        <w:rPr>
          <w:rFonts w:ascii="Avenir Next Demi Bold" w:hAnsi="Avenir Next Demi Bold"/>
          <w:color w:val="FFFFFF"/>
          <w:spacing w:val="-14"/>
        </w:rPr>
        <w:t>drugs</w:t>
      </w:r>
    </w:p>
    <w:p w14:paraId="45BCED62" w14:textId="77777777" w:rsidR="00222F18" w:rsidRPr="00C30360" w:rsidRDefault="00F63391">
      <w:pPr>
        <w:pStyle w:val="Title"/>
        <w:spacing w:line="196" w:lineRule="auto"/>
        <w:rPr>
          <w:rFonts w:ascii="Avenir Next" w:hAnsi="Avenir Next"/>
          <w:b w:val="0"/>
          <w:bCs w:val="0"/>
        </w:rPr>
      </w:pPr>
      <w:r w:rsidRPr="00C30360">
        <w:rPr>
          <w:rFonts w:ascii="Avenir Next" w:hAnsi="Avenir Next"/>
          <w:b w:val="0"/>
          <w:bCs w:val="0"/>
          <w:color w:val="FFFFFF"/>
          <w:spacing w:val="-6"/>
        </w:rPr>
        <w:t xml:space="preserve"> </w:t>
      </w:r>
      <w:r w:rsidRPr="00C30360">
        <w:rPr>
          <w:rFonts w:ascii="Avenir Next" w:hAnsi="Avenir Next"/>
          <w:b w:val="0"/>
          <w:bCs w:val="0"/>
          <w:color w:val="FFFFFF"/>
          <w:spacing w:val="-2"/>
        </w:rPr>
        <w:t>2023</w:t>
      </w:r>
    </w:p>
    <w:p w14:paraId="7BEBB1CC" w14:textId="77777777" w:rsidR="00222F18" w:rsidRDefault="00C30360">
      <w:pPr>
        <w:pStyle w:val="BodyText"/>
        <w:rPr>
          <w:sz w:val="66"/>
        </w:rPr>
      </w:pPr>
      <w:r>
        <w:rPr>
          <w:noProof/>
          <w:sz w:val="66"/>
        </w:rPr>
        <mc:AlternateContent>
          <mc:Choice Requires="wps">
            <w:drawing>
              <wp:anchor distT="0" distB="0" distL="114300" distR="114300" simplePos="0" relativeHeight="251624960" behindDoc="0" locked="0" layoutInCell="1" allowOverlap="1" wp14:anchorId="60225FDC" wp14:editId="351B9481">
                <wp:simplePos x="0" y="0"/>
                <wp:positionH relativeFrom="column">
                  <wp:posOffset>368300</wp:posOffset>
                </wp:positionH>
                <wp:positionV relativeFrom="paragraph">
                  <wp:posOffset>7036435</wp:posOffset>
                </wp:positionV>
                <wp:extent cx="1828800" cy="1306800"/>
                <wp:effectExtent l="0" t="0" r="0" b="1905"/>
                <wp:wrapNone/>
                <wp:docPr id="7" name="Text Box 7" descr="Text box 'working for a just Tasmania'"/>
                <wp:cNvGraphicFramePr/>
                <a:graphic xmlns:a="http://schemas.openxmlformats.org/drawingml/2006/main">
                  <a:graphicData uri="http://schemas.microsoft.com/office/word/2010/wordprocessingShape">
                    <wps:wsp>
                      <wps:cNvSpPr txBox="1"/>
                      <wps:spPr>
                        <a:xfrm>
                          <a:off x="0" y="0"/>
                          <a:ext cx="1828800" cy="1306800"/>
                        </a:xfrm>
                        <a:prstGeom prst="rect">
                          <a:avLst/>
                        </a:prstGeom>
                        <a:noFill/>
                        <a:ln w="6350">
                          <a:noFill/>
                        </a:ln>
                      </wps:spPr>
                      <wps:txbx>
                        <w:txbxContent>
                          <w:p w14:paraId="39BD061E" w14:textId="77777777" w:rsidR="005A3B94" w:rsidRPr="00BF69AF" w:rsidRDefault="005A3B94">
                            <w:pPr>
                              <w:rPr>
                                <w:rFonts w:ascii="Avenir Next Demi Bold" w:hAnsi="Avenir Next Demi Bold"/>
                                <w:b/>
                                <w:bCs/>
                                <w:color w:val="FFFFFF" w:themeColor="background1"/>
                                <w:lang w:val="en-AU"/>
                              </w:rPr>
                            </w:pPr>
                            <w:r w:rsidRPr="00BF69AF">
                              <w:rPr>
                                <w:rFonts w:ascii="Avenir Next Demi Bold" w:hAnsi="Avenir Next Demi Bold"/>
                                <w:b/>
                                <w:bCs/>
                                <w:color w:val="FFFFFF" w:themeColor="background1"/>
                                <w:lang w:val="en-AU"/>
                              </w:rPr>
                              <w:t>WORKING FOR</w:t>
                            </w:r>
                            <w:r w:rsidRPr="00BF69AF">
                              <w:rPr>
                                <w:rFonts w:ascii="Avenir Next Demi Bold" w:hAnsi="Avenir Next Demi Bold"/>
                                <w:b/>
                                <w:bCs/>
                                <w:color w:val="FFFFFF" w:themeColor="background1"/>
                                <w:lang w:val="en-AU"/>
                              </w:rPr>
                              <w:br/>
                              <w:t>A JUST TASMANIA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225FDC" id="_x0000_t202" coordsize="21600,21600" o:spt="202" path="m,l,21600r21600,l21600,xe">
                <v:stroke joinstyle="miter"/>
                <v:path gradientshapeok="t" o:connecttype="rect"/>
              </v:shapetype>
              <v:shape id="Text Box 7" o:spid="_x0000_s1026" type="#_x0000_t202" alt="Text box 'working for a just Tasmania'" style="position:absolute;margin-left:29pt;margin-top:554.05pt;width:2in;height:102.9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" filled="f" stroked="f" strokeweight=".5pt">
                <v:textbox inset="0,0,0,0">
                  <w:txbxContent>
                    <w:p w14:paraId="39BD061E" w14:textId="77777777" w:rsidR="005A3B94" w:rsidRPr="00BF69AF" w:rsidRDefault="005A3B94">
                      <w:pPr>
                        <w:rPr>
                          <w:rFonts w:ascii="Avenir Next Demi Bold" w:hAnsi="Avenir Next Demi Bold"/>
                          <w:b/>
                          <w:bCs/>
                          <w:color w:val="FFFFFF" w:themeColor="background1"/>
                          <w:lang w:val="en-AU"/>
                        </w:rPr>
                      </w:pPr>
                      <w:r w:rsidRPr="00BF69AF">
                        <w:rPr>
                          <w:rFonts w:ascii="Avenir Next Demi Bold" w:hAnsi="Avenir Next Demi Bold"/>
                          <w:b/>
                          <w:bCs/>
                          <w:color w:val="FFFFFF" w:themeColor="background1"/>
                          <w:lang w:val="en-AU"/>
                        </w:rPr>
                        <w:t>WORKING FOR</w:t>
                      </w:r>
                      <w:r w:rsidRPr="00BF69AF">
                        <w:rPr>
                          <w:rFonts w:ascii="Avenir Next Demi Bold" w:hAnsi="Avenir Next Demi Bold"/>
                          <w:b/>
                          <w:bCs/>
                          <w:color w:val="FFFFFF" w:themeColor="background1"/>
                          <w:lang w:val="en-AU"/>
                        </w:rPr>
                        <w:br/>
                        <w:t>A JUST TASMANIA</w:t>
                      </w:r>
                    </w:p>
                  </w:txbxContent>
                </v:textbox>
              </v:shape>
            </w:pict>
          </mc:Fallback>
        </mc:AlternateContent>
      </w:r>
    </w:p>
    <w:p w14:paraId="1C10E037" w14:textId="77777777" w:rsidR="00222F18" w:rsidRDefault="00222F18">
      <w:pPr>
        <w:spacing w:line="408" w:lineRule="exact"/>
        <w:rPr>
          <w:sz w:val="32"/>
        </w:rPr>
        <w:sectPr w:rsidR="00222F18">
          <w:footerReference w:type="even" r:id="rId9"/>
          <w:footerReference w:type="default" r:id="rId10"/>
          <w:type w:val="continuous"/>
          <w:pgSz w:w="11910" w:h="16840"/>
          <w:pgMar w:top="1500" w:right="1000" w:bottom="280" w:left="960" w:header="720" w:footer="720" w:gutter="0"/>
          <w:cols w:space="720"/>
        </w:sectPr>
      </w:pPr>
    </w:p>
    <w:sdt>
      <w:sdtPr>
        <w:rPr>
          <w:rFonts w:ascii="Avenir Next" w:eastAsia="AvenirNext LT Pro Bold" w:hAnsi="Avenir Next" w:cs="AvenirNext LT Pro Bold"/>
          <w:bCs w:val="0"/>
          <w:color w:val="575F61"/>
          <w:sz w:val="24"/>
          <w:szCs w:val="22"/>
          <w:lang w:val="en-GB"/>
        </w:rPr>
        <w:id w:val="2146854010"/>
        <w:docPartObj>
          <w:docPartGallery w:val="Table of Contents"/>
          <w:docPartUnique/>
        </w:docPartObj>
      </w:sdtPr>
      <w:sdtEndPr>
        <w:rPr>
          <w:b/>
          <w:noProof/>
        </w:rPr>
      </w:sdtEndPr>
      <w:sdtContent>
        <w:p w14:paraId="4E765042" w14:textId="77777777" w:rsidR="00C0360F" w:rsidRDefault="00C0360F" w:rsidP="00A82EA0">
          <w:pPr>
            <w:pStyle w:val="TOCHeading"/>
          </w:pPr>
          <w:r>
            <w:t>Contents</w:t>
          </w:r>
        </w:p>
        <w:p w14:paraId="3A35DE65" w14:textId="23733F6B" w:rsidR="00146A5B" w:rsidRDefault="00C0360F">
          <w:pPr>
            <w:pStyle w:val="TOC1"/>
            <w:tabs>
              <w:tab w:val="right" w:leader="dot" w:pos="9940"/>
            </w:tabs>
            <w:rPr>
              <w:rFonts w:eastAsiaTheme="minorEastAsia" w:cstheme="minorBidi"/>
              <w:b w:val="0"/>
              <w:bCs w:val="0"/>
              <w:noProof/>
              <w:color w:val="auto"/>
              <w:sz w:val="22"/>
              <w:szCs w:val="22"/>
              <w:lang w:val="en-AU" w:eastAsia="en-AU"/>
            </w:rPr>
          </w:pPr>
          <w:r>
            <w:fldChar w:fldCharType="begin"/>
          </w:r>
          <w:r>
            <w:instrText xml:space="preserve"> TOC \o "1-3" \h \z \u </w:instrText>
          </w:r>
          <w:r>
            <w:fldChar w:fldCharType="separate"/>
          </w:r>
          <w:hyperlink w:anchor="_Toc136851447" w:history="1">
            <w:r w:rsidR="00146A5B" w:rsidRPr="00AB3D4A">
              <w:rPr>
                <w:rStyle w:val="Hyperlink"/>
                <w:rFonts w:ascii="Avenir Next Demi Bold" w:eastAsia="AvenirNextLTPro-Demi" w:hAnsi="Avenir Next Demi Bold" w:cs="AvenirNextLTPro-Demi"/>
                <w:noProof/>
              </w:rPr>
              <w:t>Hope for a healthier community</w:t>
            </w:r>
            <w:r w:rsidR="00146A5B">
              <w:rPr>
                <w:noProof/>
                <w:webHidden/>
              </w:rPr>
              <w:tab/>
            </w:r>
            <w:r w:rsidR="00146A5B">
              <w:rPr>
                <w:noProof/>
                <w:webHidden/>
              </w:rPr>
              <w:fldChar w:fldCharType="begin"/>
            </w:r>
            <w:r w:rsidR="00146A5B">
              <w:rPr>
                <w:noProof/>
                <w:webHidden/>
              </w:rPr>
              <w:instrText xml:space="preserve"> PAGEREF _Toc136851447 \h </w:instrText>
            </w:r>
            <w:r w:rsidR="00146A5B">
              <w:rPr>
                <w:noProof/>
                <w:webHidden/>
              </w:rPr>
            </w:r>
            <w:r w:rsidR="00146A5B">
              <w:rPr>
                <w:noProof/>
                <w:webHidden/>
              </w:rPr>
              <w:fldChar w:fldCharType="separate"/>
            </w:r>
            <w:r w:rsidR="007725FF">
              <w:rPr>
                <w:noProof/>
                <w:webHidden/>
              </w:rPr>
              <w:t>4</w:t>
            </w:r>
            <w:r w:rsidR="00146A5B">
              <w:rPr>
                <w:noProof/>
                <w:webHidden/>
              </w:rPr>
              <w:fldChar w:fldCharType="end"/>
            </w:r>
          </w:hyperlink>
        </w:p>
        <w:p w14:paraId="3FA1926C" w14:textId="44986C9A" w:rsidR="00146A5B" w:rsidRDefault="007725FF">
          <w:pPr>
            <w:pStyle w:val="TOC1"/>
            <w:tabs>
              <w:tab w:val="right" w:leader="dot" w:pos="9940"/>
            </w:tabs>
            <w:rPr>
              <w:rFonts w:eastAsiaTheme="minorEastAsia" w:cstheme="minorBidi"/>
              <w:b w:val="0"/>
              <w:bCs w:val="0"/>
              <w:noProof/>
              <w:color w:val="auto"/>
              <w:sz w:val="22"/>
              <w:szCs w:val="22"/>
              <w:lang w:val="en-AU" w:eastAsia="en-AU"/>
            </w:rPr>
          </w:pPr>
          <w:hyperlink w:anchor="_Toc136851448" w:history="1">
            <w:r w:rsidR="00146A5B" w:rsidRPr="00AB3D4A">
              <w:rPr>
                <w:rStyle w:val="Hyperlink"/>
                <w:noProof/>
              </w:rPr>
              <w:t>Recommendations</w:t>
            </w:r>
            <w:r w:rsidR="00146A5B">
              <w:rPr>
                <w:noProof/>
                <w:webHidden/>
              </w:rPr>
              <w:tab/>
            </w:r>
            <w:r w:rsidR="00146A5B">
              <w:rPr>
                <w:noProof/>
                <w:webHidden/>
              </w:rPr>
              <w:fldChar w:fldCharType="begin"/>
            </w:r>
            <w:r w:rsidR="00146A5B">
              <w:rPr>
                <w:noProof/>
                <w:webHidden/>
              </w:rPr>
              <w:instrText xml:space="preserve"> PAGEREF _Toc136851448 \h </w:instrText>
            </w:r>
            <w:r w:rsidR="00146A5B">
              <w:rPr>
                <w:noProof/>
                <w:webHidden/>
              </w:rPr>
            </w:r>
            <w:r w:rsidR="00146A5B">
              <w:rPr>
                <w:noProof/>
                <w:webHidden/>
              </w:rPr>
              <w:fldChar w:fldCharType="separate"/>
            </w:r>
            <w:r>
              <w:rPr>
                <w:noProof/>
                <w:webHidden/>
              </w:rPr>
              <w:t>5</w:t>
            </w:r>
            <w:r w:rsidR="00146A5B">
              <w:rPr>
                <w:noProof/>
                <w:webHidden/>
              </w:rPr>
              <w:fldChar w:fldCharType="end"/>
            </w:r>
          </w:hyperlink>
        </w:p>
        <w:p w14:paraId="347B08E2" w14:textId="434A9BA4" w:rsidR="00146A5B" w:rsidRDefault="007725FF">
          <w:pPr>
            <w:pStyle w:val="TOC1"/>
            <w:tabs>
              <w:tab w:val="right" w:leader="dot" w:pos="9940"/>
            </w:tabs>
            <w:rPr>
              <w:rFonts w:eastAsiaTheme="minorEastAsia" w:cstheme="minorBidi"/>
              <w:b w:val="0"/>
              <w:bCs w:val="0"/>
              <w:noProof/>
              <w:color w:val="auto"/>
              <w:sz w:val="22"/>
              <w:szCs w:val="22"/>
              <w:lang w:val="en-AU" w:eastAsia="en-AU"/>
            </w:rPr>
          </w:pPr>
          <w:hyperlink w:anchor="_Toc136851449" w:history="1">
            <w:r w:rsidR="00146A5B" w:rsidRPr="00AB3D4A">
              <w:rPr>
                <w:rStyle w:val="Hyperlink"/>
                <w:noProof/>
              </w:rPr>
              <w:t>The current approach</w:t>
            </w:r>
            <w:r w:rsidR="00146A5B">
              <w:rPr>
                <w:noProof/>
                <w:webHidden/>
              </w:rPr>
              <w:tab/>
            </w:r>
            <w:r w:rsidR="00146A5B">
              <w:rPr>
                <w:noProof/>
                <w:webHidden/>
              </w:rPr>
              <w:fldChar w:fldCharType="begin"/>
            </w:r>
            <w:r w:rsidR="00146A5B">
              <w:rPr>
                <w:noProof/>
                <w:webHidden/>
              </w:rPr>
              <w:instrText xml:space="preserve"> PAGEREF _Toc136851449 \h </w:instrText>
            </w:r>
            <w:r w:rsidR="00146A5B">
              <w:rPr>
                <w:noProof/>
                <w:webHidden/>
              </w:rPr>
            </w:r>
            <w:r w:rsidR="00146A5B">
              <w:rPr>
                <w:noProof/>
                <w:webHidden/>
              </w:rPr>
              <w:fldChar w:fldCharType="separate"/>
            </w:r>
            <w:r>
              <w:rPr>
                <w:noProof/>
                <w:webHidden/>
              </w:rPr>
              <w:t>6</w:t>
            </w:r>
            <w:r w:rsidR="00146A5B">
              <w:rPr>
                <w:noProof/>
                <w:webHidden/>
              </w:rPr>
              <w:fldChar w:fldCharType="end"/>
            </w:r>
          </w:hyperlink>
        </w:p>
        <w:p w14:paraId="6F10A329" w14:textId="147EAB34" w:rsidR="00146A5B" w:rsidRDefault="007725FF">
          <w:pPr>
            <w:pStyle w:val="TOC2"/>
            <w:tabs>
              <w:tab w:val="right" w:leader="dot" w:pos="9940"/>
            </w:tabs>
            <w:rPr>
              <w:rFonts w:eastAsiaTheme="minorEastAsia" w:cstheme="minorBidi"/>
              <w:i w:val="0"/>
              <w:iCs w:val="0"/>
              <w:noProof/>
              <w:color w:val="auto"/>
              <w:sz w:val="22"/>
              <w:szCs w:val="22"/>
              <w:lang w:val="en-AU" w:eastAsia="en-AU"/>
            </w:rPr>
          </w:pPr>
          <w:hyperlink w:anchor="_Toc136851450" w:history="1">
            <w:r w:rsidR="00146A5B" w:rsidRPr="00AB3D4A">
              <w:rPr>
                <w:rStyle w:val="Hyperlink"/>
                <w:noProof/>
              </w:rPr>
              <w:t>Harms from drug use</w:t>
            </w:r>
            <w:r w:rsidR="00146A5B">
              <w:rPr>
                <w:noProof/>
                <w:webHidden/>
              </w:rPr>
              <w:tab/>
            </w:r>
            <w:r w:rsidR="00146A5B">
              <w:rPr>
                <w:noProof/>
                <w:webHidden/>
              </w:rPr>
              <w:fldChar w:fldCharType="begin"/>
            </w:r>
            <w:r w:rsidR="00146A5B">
              <w:rPr>
                <w:noProof/>
                <w:webHidden/>
              </w:rPr>
              <w:instrText xml:space="preserve"> PAGEREF _Toc136851450 \h </w:instrText>
            </w:r>
            <w:r w:rsidR="00146A5B">
              <w:rPr>
                <w:noProof/>
                <w:webHidden/>
              </w:rPr>
            </w:r>
            <w:r w:rsidR="00146A5B">
              <w:rPr>
                <w:noProof/>
                <w:webHidden/>
              </w:rPr>
              <w:fldChar w:fldCharType="separate"/>
            </w:r>
            <w:r>
              <w:rPr>
                <w:noProof/>
                <w:webHidden/>
              </w:rPr>
              <w:t>7</w:t>
            </w:r>
            <w:r w:rsidR="00146A5B">
              <w:rPr>
                <w:noProof/>
                <w:webHidden/>
              </w:rPr>
              <w:fldChar w:fldCharType="end"/>
            </w:r>
          </w:hyperlink>
        </w:p>
        <w:p w14:paraId="6C504CA9" w14:textId="2C1F3A64" w:rsidR="00146A5B" w:rsidRDefault="007725FF">
          <w:pPr>
            <w:pStyle w:val="TOC2"/>
            <w:tabs>
              <w:tab w:val="right" w:leader="dot" w:pos="9940"/>
            </w:tabs>
            <w:rPr>
              <w:rFonts w:eastAsiaTheme="minorEastAsia" w:cstheme="minorBidi"/>
              <w:i w:val="0"/>
              <w:iCs w:val="0"/>
              <w:noProof/>
              <w:color w:val="auto"/>
              <w:sz w:val="22"/>
              <w:szCs w:val="22"/>
              <w:lang w:val="en-AU" w:eastAsia="en-AU"/>
            </w:rPr>
          </w:pPr>
          <w:hyperlink w:anchor="_Toc136851451" w:history="1">
            <w:r w:rsidR="00146A5B" w:rsidRPr="00AB3D4A">
              <w:rPr>
                <w:rStyle w:val="Hyperlink"/>
                <w:noProof/>
              </w:rPr>
              <w:t>The current approach is not meeting Tasmanians' needs</w:t>
            </w:r>
            <w:r w:rsidR="00146A5B">
              <w:rPr>
                <w:noProof/>
                <w:webHidden/>
              </w:rPr>
              <w:tab/>
            </w:r>
            <w:r w:rsidR="00146A5B">
              <w:rPr>
                <w:noProof/>
                <w:webHidden/>
              </w:rPr>
              <w:fldChar w:fldCharType="begin"/>
            </w:r>
            <w:r w:rsidR="00146A5B">
              <w:rPr>
                <w:noProof/>
                <w:webHidden/>
              </w:rPr>
              <w:instrText xml:space="preserve"> PAGEREF _Toc136851451 \h </w:instrText>
            </w:r>
            <w:r w:rsidR="00146A5B">
              <w:rPr>
                <w:noProof/>
                <w:webHidden/>
              </w:rPr>
            </w:r>
            <w:r w:rsidR="00146A5B">
              <w:rPr>
                <w:noProof/>
                <w:webHidden/>
              </w:rPr>
              <w:fldChar w:fldCharType="separate"/>
            </w:r>
            <w:r>
              <w:rPr>
                <w:noProof/>
                <w:webHidden/>
              </w:rPr>
              <w:t>8</w:t>
            </w:r>
            <w:r w:rsidR="00146A5B">
              <w:rPr>
                <w:noProof/>
                <w:webHidden/>
              </w:rPr>
              <w:fldChar w:fldCharType="end"/>
            </w:r>
          </w:hyperlink>
        </w:p>
        <w:p w14:paraId="5F99D778" w14:textId="0DEE8F6F" w:rsidR="00146A5B" w:rsidRDefault="007725FF">
          <w:pPr>
            <w:pStyle w:val="TOC3"/>
            <w:rPr>
              <w:rFonts w:eastAsiaTheme="minorEastAsia" w:cstheme="minorBidi"/>
              <w:noProof/>
              <w:color w:val="auto"/>
              <w:sz w:val="22"/>
              <w:szCs w:val="22"/>
              <w:lang w:val="en-AU" w:eastAsia="en-AU"/>
            </w:rPr>
          </w:pPr>
          <w:hyperlink w:anchor="_Toc136851452" w:history="1">
            <w:r w:rsidR="00146A5B" w:rsidRPr="00AB3D4A">
              <w:rPr>
                <w:rStyle w:val="Hyperlink"/>
                <w:noProof/>
              </w:rPr>
              <w:t>Treatment and supports are under pressure</w:t>
            </w:r>
            <w:r w:rsidR="00146A5B">
              <w:rPr>
                <w:noProof/>
                <w:webHidden/>
              </w:rPr>
              <w:tab/>
            </w:r>
            <w:r w:rsidR="00146A5B">
              <w:rPr>
                <w:noProof/>
                <w:webHidden/>
              </w:rPr>
              <w:fldChar w:fldCharType="begin"/>
            </w:r>
            <w:r w:rsidR="00146A5B">
              <w:rPr>
                <w:noProof/>
                <w:webHidden/>
              </w:rPr>
              <w:instrText xml:space="preserve"> PAGEREF _Toc136851452 \h </w:instrText>
            </w:r>
            <w:r w:rsidR="00146A5B">
              <w:rPr>
                <w:noProof/>
                <w:webHidden/>
              </w:rPr>
            </w:r>
            <w:r w:rsidR="00146A5B">
              <w:rPr>
                <w:noProof/>
                <w:webHidden/>
              </w:rPr>
              <w:fldChar w:fldCharType="separate"/>
            </w:r>
            <w:r>
              <w:rPr>
                <w:noProof/>
                <w:webHidden/>
              </w:rPr>
              <w:t>8</w:t>
            </w:r>
            <w:r w:rsidR="00146A5B">
              <w:rPr>
                <w:noProof/>
                <w:webHidden/>
              </w:rPr>
              <w:fldChar w:fldCharType="end"/>
            </w:r>
          </w:hyperlink>
        </w:p>
        <w:p w14:paraId="2BEBFBF9" w14:textId="12C555F4" w:rsidR="00146A5B" w:rsidRDefault="007725FF">
          <w:pPr>
            <w:pStyle w:val="TOC3"/>
            <w:rPr>
              <w:rFonts w:eastAsiaTheme="minorEastAsia" w:cstheme="minorBidi"/>
              <w:noProof/>
              <w:color w:val="auto"/>
              <w:sz w:val="22"/>
              <w:szCs w:val="22"/>
              <w:lang w:val="en-AU" w:eastAsia="en-AU"/>
            </w:rPr>
          </w:pPr>
          <w:hyperlink w:anchor="_Toc136851453" w:history="1">
            <w:r w:rsidR="00146A5B" w:rsidRPr="00AB3D4A">
              <w:rPr>
                <w:rStyle w:val="Hyperlink"/>
                <w:noProof/>
              </w:rPr>
              <w:t>… and they don’t always feel safe</w:t>
            </w:r>
            <w:r w:rsidR="00146A5B">
              <w:rPr>
                <w:noProof/>
                <w:webHidden/>
              </w:rPr>
              <w:tab/>
            </w:r>
            <w:r w:rsidR="00146A5B">
              <w:rPr>
                <w:noProof/>
                <w:webHidden/>
              </w:rPr>
              <w:fldChar w:fldCharType="begin"/>
            </w:r>
            <w:r w:rsidR="00146A5B">
              <w:rPr>
                <w:noProof/>
                <w:webHidden/>
              </w:rPr>
              <w:instrText xml:space="preserve"> PAGEREF _Toc136851453 \h </w:instrText>
            </w:r>
            <w:r w:rsidR="00146A5B">
              <w:rPr>
                <w:noProof/>
                <w:webHidden/>
              </w:rPr>
            </w:r>
            <w:r w:rsidR="00146A5B">
              <w:rPr>
                <w:noProof/>
                <w:webHidden/>
              </w:rPr>
              <w:fldChar w:fldCharType="separate"/>
            </w:r>
            <w:r>
              <w:rPr>
                <w:noProof/>
                <w:webHidden/>
              </w:rPr>
              <w:t>8</w:t>
            </w:r>
            <w:r w:rsidR="00146A5B">
              <w:rPr>
                <w:noProof/>
                <w:webHidden/>
              </w:rPr>
              <w:fldChar w:fldCharType="end"/>
            </w:r>
          </w:hyperlink>
        </w:p>
        <w:p w14:paraId="172E5015" w14:textId="27071BCF" w:rsidR="00146A5B" w:rsidRDefault="007725FF">
          <w:pPr>
            <w:pStyle w:val="TOC3"/>
            <w:rPr>
              <w:rFonts w:eastAsiaTheme="minorEastAsia" w:cstheme="minorBidi"/>
              <w:noProof/>
              <w:color w:val="auto"/>
              <w:sz w:val="22"/>
              <w:szCs w:val="22"/>
              <w:lang w:val="en-AU" w:eastAsia="en-AU"/>
            </w:rPr>
          </w:pPr>
          <w:hyperlink w:anchor="_Toc136851454" w:history="1">
            <w:r w:rsidR="00146A5B" w:rsidRPr="00AB3D4A">
              <w:rPr>
                <w:rStyle w:val="Hyperlink"/>
                <w:noProof/>
              </w:rPr>
              <w:t>Criminal convictions are not preventing future crime</w:t>
            </w:r>
            <w:r w:rsidR="00146A5B">
              <w:rPr>
                <w:noProof/>
                <w:webHidden/>
              </w:rPr>
              <w:tab/>
            </w:r>
            <w:r w:rsidR="00146A5B">
              <w:rPr>
                <w:noProof/>
                <w:webHidden/>
              </w:rPr>
              <w:fldChar w:fldCharType="begin"/>
            </w:r>
            <w:r w:rsidR="00146A5B">
              <w:rPr>
                <w:noProof/>
                <w:webHidden/>
              </w:rPr>
              <w:instrText xml:space="preserve"> PAGEREF _Toc136851454 \h </w:instrText>
            </w:r>
            <w:r w:rsidR="00146A5B">
              <w:rPr>
                <w:noProof/>
                <w:webHidden/>
              </w:rPr>
            </w:r>
            <w:r w:rsidR="00146A5B">
              <w:rPr>
                <w:noProof/>
                <w:webHidden/>
              </w:rPr>
              <w:fldChar w:fldCharType="separate"/>
            </w:r>
            <w:r>
              <w:rPr>
                <w:noProof/>
                <w:webHidden/>
              </w:rPr>
              <w:t>9</w:t>
            </w:r>
            <w:r w:rsidR="00146A5B">
              <w:rPr>
                <w:noProof/>
                <w:webHidden/>
              </w:rPr>
              <w:fldChar w:fldCharType="end"/>
            </w:r>
          </w:hyperlink>
        </w:p>
        <w:p w14:paraId="66C2FA30" w14:textId="036DE066" w:rsidR="00146A5B" w:rsidRDefault="007725FF">
          <w:pPr>
            <w:pStyle w:val="TOC3"/>
            <w:rPr>
              <w:rFonts w:eastAsiaTheme="minorEastAsia" w:cstheme="minorBidi"/>
              <w:noProof/>
              <w:color w:val="auto"/>
              <w:sz w:val="22"/>
              <w:szCs w:val="22"/>
              <w:lang w:val="en-AU" w:eastAsia="en-AU"/>
            </w:rPr>
          </w:pPr>
          <w:hyperlink w:anchor="_Toc136851455" w:history="1">
            <w:r w:rsidR="00146A5B" w:rsidRPr="00AB3D4A">
              <w:rPr>
                <w:rStyle w:val="Hyperlink"/>
                <w:noProof/>
              </w:rPr>
              <w:t>Drug arrests and seizures rise, but use is unaffected</w:t>
            </w:r>
            <w:r w:rsidR="00146A5B">
              <w:rPr>
                <w:noProof/>
                <w:webHidden/>
              </w:rPr>
              <w:tab/>
            </w:r>
            <w:r w:rsidR="00146A5B">
              <w:rPr>
                <w:noProof/>
                <w:webHidden/>
              </w:rPr>
              <w:fldChar w:fldCharType="begin"/>
            </w:r>
            <w:r w:rsidR="00146A5B">
              <w:rPr>
                <w:noProof/>
                <w:webHidden/>
              </w:rPr>
              <w:instrText xml:space="preserve"> PAGEREF _Toc136851455 \h </w:instrText>
            </w:r>
            <w:r w:rsidR="00146A5B">
              <w:rPr>
                <w:noProof/>
                <w:webHidden/>
              </w:rPr>
            </w:r>
            <w:r w:rsidR="00146A5B">
              <w:rPr>
                <w:noProof/>
                <w:webHidden/>
              </w:rPr>
              <w:fldChar w:fldCharType="separate"/>
            </w:r>
            <w:r>
              <w:rPr>
                <w:noProof/>
                <w:webHidden/>
              </w:rPr>
              <w:t>9</w:t>
            </w:r>
            <w:r w:rsidR="00146A5B">
              <w:rPr>
                <w:noProof/>
                <w:webHidden/>
              </w:rPr>
              <w:fldChar w:fldCharType="end"/>
            </w:r>
          </w:hyperlink>
        </w:p>
        <w:p w14:paraId="6104E4FE" w14:textId="0A5BAA76" w:rsidR="00146A5B" w:rsidRDefault="007725FF">
          <w:pPr>
            <w:pStyle w:val="TOC3"/>
            <w:rPr>
              <w:rFonts w:eastAsiaTheme="minorEastAsia" w:cstheme="minorBidi"/>
              <w:noProof/>
              <w:color w:val="auto"/>
              <w:sz w:val="22"/>
              <w:szCs w:val="22"/>
              <w:lang w:val="en-AU" w:eastAsia="en-AU"/>
            </w:rPr>
          </w:pPr>
          <w:hyperlink w:anchor="_Toc136851456" w:history="1">
            <w:r w:rsidR="00146A5B" w:rsidRPr="00AB3D4A">
              <w:rPr>
                <w:rStyle w:val="Hyperlink"/>
                <w:noProof/>
              </w:rPr>
              <w:t>Problematic drug use is a marker of inequality</w:t>
            </w:r>
            <w:r w:rsidR="00146A5B">
              <w:rPr>
                <w:noProof/>
                <w:webHidden/>
              </w:rPr>
              <w:tab/>
            </w:r>
            <w:r w:rsidR="00146A5B">
              <w:rPr>
                <w:noProof/>
                <w:webHidden/>
              </w:rPr>
              <w:fldChar w:fldCharType="begin"/>
            </w:r>
            <w:r w:rsidR="00146A5B">
              <w:rPr>
                <w:noProof/>
                <w:webHidden/>
              </w:rPr>
              <w:instrText xml:space="preserve"> PAGEREF _Toc136851456 \h </w:instrText>
            </w:r>
            <w:r w:rsidR="00146A5B">
              <w:rPr>
                <w:noProof/>
                <w:webHidden/>
              </w:rPr>
            </w:r>
            <w:r w:rsidR="00146A5B">
              <w:rPr>
                <w:noProof/>
                <w:webHidden/>
              </w:rPr>
              <w:fldChar w:fldCharType="separate"/>
            </w:r>
            <w:r>
              <w:rPr>
                <w:noProof/>
                <w:webHidden/>
              </w:rPr>
              <w:t>10</w:t>
            </w:r>
            <w:r w:rsidR="00146A5B">
              <w:rPr>
                <w:noProof/>
                <w:webHidden/>
              </w:rPr>
              <w:fldChar w:fldCharType="end"/>
            </w:r>
          </w:hyperlink>
        </w:p>
        <w:p w14:paraId="13D1D126" w14:textId="1EB3B86A" w:rsidR="00146A5B" w:rsidRDefault="007725FF">
          <w:pPr>
            <w:pStyle w:val="TOC3"/>
            <w:rPr>
              <w:rFonts w:eastAsiaTheme="minorEastAsia" w:cstheme="minorBidi"/>
              <w:noProof/>
              <w:color w:val="auto"/>
              <w:sz w:val="22"/>
              <w:szCs w:val="22"/>
              <w:lang w:val="en-AU" w:eastAsia="en-AU"/>
            </w:rPr>
          </w:pPr>
          <w:hyperlink w:anchor="_Toc136851457" w:history="1">
            <w:r w:rsidR="00146A5B" w:rsidRPr="00AB3D4A">
              <w:rPr>
                <w:rStyle w:val="Hyperlink"/>
                <w:noProof/>
              </w:rPr>
              <w:t>The ripples from a criminal conviction and inequitable penalties spread widely</w:t>
            </w:r>
            <w:r w:rsidR="00146A5B">
              <w:rPr>
                <w:noProof/>
                <w:webHidden/>
              </w:rPr>
              <w:tab/>
            </w:r>
            <w:r w:rsidR="00146A5B">
              <w:rPr>
                <w:noProof/>
                <w:webHidden/>
              </w:rPr>
              <w:fldChar w:fldCharType="begin"/>
            </w:r>
            <w:r w:rsidR="00146A5B">
              <w:rPr>
                <w:noProof/>
                <w:webHidden/>
              </w:rPr>
              <w:instrText xml:space="preserve"> PAGEREF _Toc136851457 \h </w:instrText>
            </w:r>
            <w:r w:rsidR="00146A5B">
              <w:rPr>
                <w:noProof/>
                <w:webHidden/>
              </w:rPr>
            </w:r>
            <w:r w:rsidR="00146A5B">
              <w:rPr>
                <w:noProof/>
                <w:webHidden/>
              </w:rPr>
              <w:fldChar w:fldCharType="separate"/>
            </w:r>
            <w:r>
              <w:rPr>
                <w:noProof/>
                <w:webHidden/>
              </w:rPr>
              <w:t>12</w:t>
            </w:r>
            <w:r w:rsidR="00146A5B">
              <w:rPr>
                <w:noProof/>
                <w:webHidden/>
              </w:rPr>
              <w:fldChar w:fldCharType="end"/>
            </w:r>
          </w:hyperlink>
        </w:p>
        <w:p w14:paraId="73514F5B" w14:textId="48BC7F25" w:rsidR="00146A5B" w:rsidRDefault="007725FF">
          <w:pPr>
            <w:pStyle w:val="TOC1"/>
            <w:tabs>
              <w:tab w:val="right" w:leader="dot" w:pos="9940"/>
            </w:tabs>
            <w:rPr>
              <w:rFonts w:eastAsiaTheme="minorEastAsia" w:cstheme="minorBidi"/>
              <w:b w:val="0"/>
              <w:bCs w:val="0"/>
              <w:noProof/>
              <w:color w:val="auto"/>
              <w:sz w:val="22"/>
              <w:szCs w:val="22"/>
              <w:lang w:val="en-AU" w:eastAsia="en-AU"/>
            </w:rPr>
          </w:pPr>
          <w:hyperlink w:anchor="_Toc136851458" w:history="1">
            <w:r w:rsidR="00146A5B" w:rsidRPr="00AB3D4A">
              <w:rPr>
                <w:rStyle w:val="Hyperlink"/>
                <w:noProof/>
              </w:rPr>
              <w:t>A more effective approach to drug use</w:t>
            </w:r>
            <w:r w:rsidR="00146A5B">
              <w:rPr>
                <w:noProof/>
                <w:webHidden/>
              </w:rPr>
              <w:tab/>
            </w:r>
            <w:r w:rsidR="00146A5B">
              <w:rPr>
                <w:noProof/>
                <w:webHidden/>
              </w:rPr>
              <w:fldChar w:fldCharType="begin"/>
            </w:r>
            <w:r w:rsidR="00146A5B">
              <w:rPr>
                <w:noProof/>
                <w:webHidden/>
              </w:rPr>
              <w:instrText xml:space="preserve"> PAGEREF _Toc136851458 \h </w:instrText>
            </w:r>
            <w:r w:rsidR="00146A5B">
              <w:rPr>
                <w:noProof/>
                <w:webHidden/>
              </w:rPr>
            </w:r>
            <w:r w:rsidR="00146A5B">
              <w:rPr>
                <w:noProof/>
                <w:webHidden/>
              </w:rPr>
              <w:fldChar w:fldCharType="separate"/>
            </w:r>
            <w:r>
              <w:rPr>
                <w:noProof/>
                <w:webHidden/>
              </w:rPr>
              <w:t>13</w:t>
            </w:r>
            <w:r w:rsidR="00146A5B">
              <w:rPr>
                <w:noProof/>
                <w:webHidden/>
              </w:rPr>
              <w:fldChar w:fldCharType="end"/>
            </w:r>
          </w:hyperlink>
        </w:p>
        <w:p w14:paraId="115E4AE0" w14:textId="31E60B12" w:rsidR="00146A5B" w:rsidRDefault="007725FF">
          <w:pPr>
            <w:pStyle w:val="TOC2"/>
            <w:tabs>
              <w:tab w:val="right" w:leader="dot" w:pos="9940"/>
            </w:tabs>
            <w:rPr>
              <w:rFonts w:eastAsiaTheme="minorEastAsia" w:cstheme="minorBidi"/>
              <w:i w:val="0"/>
              <w:iCs w:val="0"/>
              <w:noProof/>
              <w:color w:val="auto"/>
              <w:sz w:val="22"/>
              <w:szCs w:val="22"/>
              <w:lang w:val="en-AU" w:eastAsia="en-AU"/>
            </w:rPr>
          </w:pPr>
          <w:hyperlink w:anchor="_Toc136851459" w:history="1">
            <w:r w:rsidR="00146A5B" w:rsidRPr="00AB3D4A">
              <w:rPr>
                <w:rStyle w:val="Hyperlink"/>
                <w:noProof/>
              </w:rPr>
              <w:t>The harm cycle can be interrupted and redirected to flourishing</w:t>
            </w:r>
            <w:r w:rsidR="00146A5B">
              <w:rPr>
                <w:noProof/>
                <w:webHidden/>
              </w:rPr>
              <w:tab/>
            </w:r>
            <w:r w:rsidR="00146A5B">
              <w:rPr>
                <w:noProof/>
                <w:webHidden/>
              </w:rPr>
              <w:fldChar w:fldCharType="begin"/>
            </w:r>
            <w:r w:rsidR="00146A5B">
              <w:rPr>
                <w:noProof/>
                <w:webHidden/>
              </w:rPr>
              <w:instrText xml:space="preserve"> PAGEREF _Toc136851459 \h </w:instrText>
            </w:r>
            <w:r w:rsidR="00146A5B">
              <w:rPr>
                <w:noProof/>
                <w:webHidden/>
              </w:rPr>
            </w:r>
            <w:r w:rsidR="00146A5B">
              <w:rPr>
                <w:noProof/>
                <w:webHidden/>
              </w:rPr>
              <w:fldChar w:fldCharType="separate"/>
            </w:r>
            <w:r>
              <w:rPr>
                <w:noProof/>
                <w:webHidden/>
              </w:rPr>
              <w:t>13</w:t>
            </w:r>
            <w:r w:rsidR="00146A5B">
              <w:rPr>
                <w:noProof/>
                <w:webHidden/>
              </w:rPr>
              <w:fldChar w:fldCharType="end"/>
            </w:r>
          </w:hyperlink>
        </w:p>
        <w:p w14:paraId="696B2DBE" w14:textId="774CB0A7" w:rsidR="00146A5B" w:rsidRDefault="007725FF">
          <w:pPr>
            <w:pStyle w:val="TOC3"/>
            <w:rPr>
              <w:rFonts w:eastAsiaTheme="minorEastAsia" w:cstheme="minorBidi"/>
              <w:noProof/>
              <w:color w:val="auto"/>
              <w:sz w:val="22"/>
              <w:szCs w:val="22"/>
              <w:lang w:val="en-AU" w:eastAsia="en-AU"/>
            </w:rPr>
          </w:pPr>
          <w:hyperlink w:anchor="_Toc136851460" w:history="1">
            <w:r w:rsidR="00146A5B" w:rsidRPr="00AB3D4A">
              <w:rPr>
                <w:rStyle w:val="Hyperlink"/>
                <w:noProof/>
              </w:rPr>
              <w:t>Prevention is the first step</w:t>
            </w:r>
            <w:r w:rsidR="00146A5B">
              <w:rPr>
                <w:noProof/>
                <w:webHidden/>
              </w:rPr>
              <w:tab/>
            </w:r>
            <w:r w:rsidR="00146A5B">
              <w:rPr>
                <w:noProof/>
                <w:webHidden/>
              </w:rPr>
              <w:fldChar w:fldCharType="begin"/>
            </w:r>
            <w:r w:rsidR="00146A5B">
              <w:rPr>
                <w:noProof/>
                <w:webHidden/>
              </w:rPr>
              <w:instrText xml:space="preserve"> PAGEREF _Toc136851460 \h </w:instrText>
            </w:r>
            <w:r w:rsidR="00146A5B">
              <w:rPr>
                <w:noProof/>
                <w:webHidden/>
              </w:rPr>
            </w:r>
            <w:r w:rsidR="00146A5B">
              <w:rPr>
                <w:noProof/>
                <w:webHidden/>
              </w:rPr>
              <w:fldChar w:fldCharType="separate"/>
            </w:r>
            <w:r>
              <w:rPr>
                <w:noProof/>
                <w:webHidden/>
              </w:rPr>
              <w:t>15</w:t>
            </w:r>
            <w:r w:rsidR="00146A5B">
              <w:rPr>
                <w:noProof/>
                <w:webHidden/>
              </w:rPr>
              <w:fldChar w:fldCharType="end"/>
            </w:r>
          </w:hyperlink>
        </w:p>
        <w:p w14:paraId="4FC6BEF8" w14:textId="335F597C" w:rsidR="00146A5B" w:rsidRDefault="007725FF">
          <w:pPr>
            <w:pStyle w:val="TOC2"/>
            <w:tabs>
              <w:tab w:val="right" w:leader="dot" w:pos="9940"/>
            </w:tabs>
            <w:rPr>
              <w:rFonts w:eastAsiaTheme="minorEastAsia" w:cstheme="minorBidi"/>
              <w:i w:val="0"/>
              <w:iCs w:val="0"/>
              <w:noProof/>
              <w:color w:val="auto"/>
              <w:sz w:val="22"/>
              <w:szCs w:val="22"/>
              <w:lang w:val="en-AU" w:eastAsia="en-AU"/>
            </w:rPr>
          </w:pPr>
          <w:hyperlink w:anchor="_Toc136851461" w:history="1">
            <w:r w:rsidR="00146A5B" w:rsidRPr="00AB3D4A">
              <w:rPr>
                <w:rStyle w:val="Hyperlink"/>
                <w:noProof/>
              </w:rPr>
              <w:t>Our recommended approach addresses harms</w:t>
            </w:r>
            <w:r w:rsidR="00146A5B">
              <w:rPr>
                <w:noProof/>
                <w:webHidden/>
              </w:rPr>
              <w:tab/>
            </w:r>
            <w:r w:rsidR="00146A5B">
              <w:rPr>
                <w:noProof/>
                <w:webHidden/>
              </w:rPr>
              <w:fldChar w:fldCharType="begin"/>
            </w:r>
            <w:r w:rsidR="00146A5B">
              <w:rPr>
                <w:noProof/>
                <w:webHidden/>
              </w:rPr>
              <w:instrText xml:space="preserve"> PAGEREF _Toc136851461 \h </w:instrText>
            </w:r>
            <w:r w:rsidR="00146A5B">
              <w:rPr>
                <w:noProof/>
                <w:webHidden/>
              </w:rPr>
            </w:r>
            <w:r w:rsidR="00146A5B">
              <w:rPr>
                <w:noProof/>
                <w:webHidden/>
              </w:rPr>
              <w:fldChar w:fldCharType="separate"/>
            </w:r>
            <w:r>
              <w:rPr>
                <w:noProof/>
                <w:webHidden/>
              </w:rPr>
              <w:t>15</w:t>
            </w:r>
            <w:r w:rsidR="00146A5B">
              <w:rPr>
                <w:noProof/>
                <w:webHidden/>
              </w:rPr>
              <w:fldChar w:fldCharType="end"/>
            </w:r>
          </w:hyperlink>
        </w:p>
        <w:p w14:paraId="16990DFB" w14:textId="4068D9AE" w:rsidR="00146A5B" w:rsidRDefault="007725FF">
          <w:pPr>
            <w:pStyle w:val="TOC2"/>
            <w:tabs>
              <w:tab w:val="right" w:leader="dot" w:pos="9940"/>
            </w:tabs>
            <w:rPr>
              <w:rFonts w:eastAsiaTheme="minorEastAsia" w:cstheme="minorBidi"/>
              <w:i w:val="0"/>
              <w:iCs w:val="0"/>
              <w:noProof/>
              <w:color w:val="auto"/>
              <w:sz w:val="22"/>
              <w:szCs w:val="22"/>
              <w:lang w:val="en-AU" w:eastAsia="en-AU"/>
            </w:rPr>
          </w:pPr>
          <w:hyperlink w:anchor="_Toc136851462" w:history="1">
            <w:r w:rsidR="00146A5B" w:rsidRPr="00AB3D4A">
              <w:rPr>
                <w:rStyle w:val="Hyperlink"/>
                <w:noProof/>
              </w:rPr>
              <w:t>The evidence for this approach</w:t>
            </w:r>
            <w:r w:rsidR="00146A5B">
              <w:rPr>
                <w:noProof/>
                <w:webHidden/>
              </w:rPr>
              <w:tab/>
            </w:r>
            <w:r w:rsidR="00146A5B">
              <w:rPr>
                <w:noProof/>
                <w:webHidden/>
              </w:rPr>
              <w:fldChar w:fldCharType="begin"/>
            </w:r>
            <w:r w:rsidR="00146A5B">
              <w:rPr>
                <w:noProof/>
                <w:webHidden/>
              </w:rPr>
              <w:instrText xml:space="preserve"> PAGEREF _Toc136851462 \h </w:instrText>
            </w:r>
            <w:r w:rsidR="00146A5B">
              <w:rPr>
                <w:noProof/>
                <w:webHidden/>
              </w:rPr>
            </w:r>
            <w:r w:rsidR="00146A5B">
              <w:rPr>
                <w:noProof/>
                <w:webHidden/>
              </w:rPr>
              <w:fldChar w:fldCharType="separate"/>
            </w:r>
            <w:r>
              <w:rPr>
                <w:noProof/>
                <w:webHidden/>
              </w:rPr>
              <w:t>17</w:t>
            </w:r>
            <w:r w:rsidR="00146A5B">
              <w:rPr>
                <w:noProof/>
                <w:webHidden/>
              </w:rPr>
              <w:fldChar w:fldCharType="end"/>
            </w:r>
          </w:hyperlink>
        </w:p>
        <w:p w14:paraId="08BA2084" w14:textId="2343E33D" w:rsidR="00146A5B" w:rsidRDefault="007725FF">
          <w:pPr>
            <w:pStyle w:val="TOC3"/>
            <w:rPr>
              <w:rFonts w:eastAsiaTheme="minorEastAsia" w:cstheme="minorBidi"/>
              <w:noProof/>
              <w:color w:val="auto"/>
              <w:sz w:val="22"/>
              <w:szCs w:val="22"/>
              <w:lang w:val="en-AU" w:eastAsia="en-AU"/>
            </w:rPr>
          </w:pPr>
          <w:hyperlink w:anchor="_Toc136851463" w:history="1">
            <w:r w:rsidR="00146A5B" w:rsidRPr="00AB3D4A">
              <w:rPr>
                <w:rStyle w:val="Hyperlink"/>
                <w:noProof/>
              </w:rPr>
              <w:t>Decriminalisation is associated with less harmful drug use</w:t>
            </w:r>
            <w:r w:rsidR="00146A5B">
              <w:rPr>
                <w:noProof/>
                <w:webHidden/>
              </w:rPr>
              <w:tab/>
            </w:r>
            <w:r w:rsidR="00146A5B">
              <w:rPr>
                <w:noProof/>
                <w:webHidden/>
              </w:rPr>
              <w:fldChar w:fldCharType="begin"/>
            </w:r>
            <w:r w:rsidR="00146A5B">
              <w:rPr>
                <w:noProof/>
                <w:webHidden/>
              </w:rPr>
              <w:instrText xml:space="preserve"> PAGEREF _Toc136851463 \h </w:instrText>
            </w:r>
            <w:r w:rsidR="00146A5B">
              <w:rPr>
                <w:noProof/>
                <w:webHidden/>
              </w:rPr>
            </w:r>
            <w:r w:rsidR="00146A5B">
              <w:rPr>
                <w:noProof/>
                <w:webHidden/>
              </w:rPr>
              <w:fldChar w:fldCharType="separate"/>
            </w:r>
            <w:r>
              <w:rPr>
                <w:noProof/>
                <w:webHidden/>
              </w:rPr>
              <w:t>17</w:t>
            </w:r>
            <w:r w:rsidR="00146A5B">
              <w:rPr>
                <w:noProof/>
                <w:webHidden/>
              </w:rPr>
              <w:fldChar w:fldCharType="end"/>
            </w:r>
          </w:hyperlink>
        </w:p>
        <w:p w14:paraId="677E229F" w14:textId="5E5AF86F" w:rsidR="00146A5B" w:rsidRDefault="007725FF">
          <w:pPr>
            <w:pStyle w:val="TOC3"/>
            <w:rPr>
              <w:rFonts w:eastAsiaTheme="minorEastAsia" w:cstheme="minorBidi"/>
              <w:noProof/>
              <w:color w:val="auto"/>
              <w:sz w:val="22"/>
              <w:szCs w:val="22"/>
              <w:lang w:val="en-AU" w:eastAsia="en-AU"/>
            </w:rPr>
          </w:pPr>
          <w:hyperlink w:anchor="_Toc136851464" w:history="1">
            <w:r w:rsidR="00146A5B" w:rsidRPr="00AB3D4A">
              <w:rPr>
                <w:rStyle w:val="Hyperlink"/>
                <w:noProof/>
              </w:rPr>
              <w:t>Decriminalisation reduces the prevalence of drug use disorders</w:t>
            </w:r>
            <w:r w:rsidR="00146A5B">
              <w:rPr>
                <w:noProof/>
                <w:webHidden/>
              </w:rPr>
              <w:tab/>
            </w:r>
            <w:r w:rsidR="00146A5B">
              <w:rPr>
                <w:noProof/>
                <w:webHidden/>
              </w:rPr>
              <w:fldChar w:fldCharType="begin"/>
            </w:r>
            <w:r w:rsidR="00146A5B">
              <w:rPr>
                <w:noProof/>
                <w:webHidden/>
              </w:rPr>
              <w:instrText xml:space="preserve"> PAGEREF _Toc136851464 \h </w:instrText>
            </w:r>
            <w:r w:rsidR="00146A5B">
              <w:rPr>
                <w:noProof/>
                <w:webHidden/>
              </w:rPr>
            </w:r>
            <w:r w:rsidR="00146A5B">
              <w:rPr>
                <w:noProof/>
                <w:webHidden/>
              </w:rPr>
              <w:fldChar w:fldCharType="separate"/>
            </w:r>
            <w:r>
              <w:rPr>
                <w:noProof/>
                <w:webHidden/>
              </w:rPr>
              <w:t>17</w:t>
            </w:r>
            <w:r w:rsidR="00146A5B">
              <w:rPr>
                <w:noProof/>
                <w:webHidden/>
              </w:rPr>
              <w:fldChar w:fldCharType="end"/>
            </w:r>
          </w:hyperlink>
        </w:p>
        <w:p w14:paraId="6D031037" w14:textId="1DC6C923" w:rsidR="00146A5B" w:rsidRDefault="007725FF">
          <w:pPr>
            <w:pStyle w:val="TOC3"/>
            <w:rPr>
              <w:rFonts w:eastAsiaTheme="minorEastAsia" w:cstheme="minorBidi"/>
              <w:noProof/>
              <w:color w:val="auto"/>
              <w:sz w:val="22"/>
              <w:szCs w:val="22"/>
              <w:lang w:val="en-AU" w:eastAsia="en-AU"/>
            </w:rPr>
          </w:pPr>
          <w:hyperlink w:anchor="_Toc136851465" w:history="1">
            <w:r w:rsidR="00146A5B" w:rsidRPr="00AB3D4A">
              <w:rPr>
                <w:rStyle w:val="Hyperlink"/>
                <w:noProof/>
              </w:rPr>
              <w:t>Decriminalisation reduces deaths due to drug use disorders</w:t>
            </w:r>
            <w:r w:rsidR="00146A5B">
              <w:rPr>
                <w:noProof/>
                <w:webHidden/>
              </w:rPr>
              <w:tab/>
            </w:r>
            <w:r w:rsidR="00146A5B">
              <w:rPr>
                <w:noProof/>
                <w:webHidden/>
              </w:rPr>
              <w:fldChar w:fldCharType="begin"/>
            </w:r>
            <w:r w:rsidR="00146A5B">
              <w:rPr>
                <w:noProof/>
                <w:webHidden/>
              </w:rPr>
              <w:instrText xml:space="preserve"> PAGEREF _Toc136851465 \h </w:instrText>
            </w:r>
            <w:r w:rsidR="00146A5B">
              <w:rPr>
                <w:noProof/>
                <w:webHidden/>
              </w:rPr>
            </w:r>
            <w:r w:rsidR="00146A5B">
              <w:rPr>
                <w:noProof/>
                <w:webHidden/>
              </w:rPr>
              <w:fldChar w:fldCharType="separate"/>
            </w:r>
            <w:r>
              <w:rPr>
                <w:noProof/>
                <w:webHidden/>
              </w:rPr>
              <w:t>18</w:t>
            </w:r>
            <w:r w:rsidR="00146A5B">
              <w:rPr>
                <w:noProof/>
                <w:webHidden/>
              </w:rPr>
              <w:fldChar w:fldCharType="end"/>
            </w:r>
          </w:hyperlink>
        </w:p>
        <w:p w14:paraId="299201BF" w14:textId="364595BB" w:rsidR="00146A5B" w:rsidRDefault="007725FF">
          <w:pPr>
            <w:pStyle w:val="TOC3"/>
            <w:rPr>
              <w:rFonts w:eastAsiaTheme="minorEastAsia" w:cstheme="minorBidi"/>
              <w:noProof/>
              <w:color w:val="auto"/>
              <w:sz w:val="22"/>
              <w:szCs w:val="22"/>
              <w:lang w:val="en-AU" w:eastAsia="en-AU"/>
            </w:rPr>
          </w:pPr>
          <w:hyperlink w:anchor="_Toc136851466" w:history="1">
            <w:r w:rsidR="00146A5B" w:rsidRPr="00AB3D4A">
              <w:rPr>
                <w:rStyle w:val="Hyperlink"/>
                <w:noProof/>
              </w:rPr>
              <w:t>Decriminalisation is saving lives</w:t>
            </w:r>
            <w:r w:rsidR="00146A5B">
              <w:rPr>
                <w:noProof/>
                <w:webHidden/>
              </w:rPr>
              <w:tab/>
            </w:r>
            <w:r w:rsidR="00146A5B">
              <w:rPr>
                <w:noProof/>
                <w:webHidden/>
              </w:rPr>
              <w:fldChar w:fldCharType="begin"/>
            </w:r>
            <w:r w:rsidR="00146A5B">
              <w:rPr>
                <w:noProof/>
                <w:webHidden/>
              </w:rPr>
              <w:instrText xml:space="preserve"> PAGEREF _Toc136851466 \h </w:instrText>
            </w:r>
            <w:r w:rsidR="00146A5B">
              <w:rPr>
                <w:noProof/>
                <w:webHidden/>
              </w:rPr>
            </w:r>
            <w:r w:rsidR="00146A5B">
              <w:rPr>
                <w:noProof/>
                <w:webHidden/>
              </w:rPr>
              <w:fldChar w:fldCharType="separate"/>
            </w:r>
            <w:r>
              <w:rPr>
                <w:noProof/>
                <w:webHidden/>
              </w:rPr>
              <w:t>19</w:t>
            </w:r>
            <w:r w:rsidR="00146A5B">
              <w:rPr>
                <w:noProof/>
                <w:webHidden/>
              </w:rPr>
              <w:fldChar w:fldCharType="end"/>
            </w:r>
          </w:hyperlink>
        </w:p>
        <w:p w14:paraId="6159C84A" w14:textId="2F450EAD" w:rsidR="00146A5B" w:rsidRDefault="007725FF">
          <w:pPr>
            <w:pStyle w:val="TOC3"/>
            <w:rPr>
              <w:rFonts w:eastAsiaTheme="minorEastAsia" w:cstheme="minorBidi"/>
              <w:noProof/>
              <w:color w:val="auto"/>
              <w:sz w:val="22"/>
              <w:szCs w:val="22"/>
              <w:lang w:val="en-AU" w:eastAsia="en-AU"/>
            </w:rPr>
          </w:pPr>
          <w:hyperlink w:anchor="_Toc136851467" w:history="1">
            <w:r w:rsidR="00146A5B" w:rsidRPr="00AB3D4A">
              <w:rPr>
                <w:rStyle w:val="Hyperlink"/>
                <w:noProof/>
              </w:rPr>
              <w:t>Decriminalisation is a matter of justice</w:t>
            </w:r>
            <w:r w:rsidR="00146A5B">
              <w:rPr>
                <w:noProof/>
                <w:webHidden/>
              </w:rPr>
              <w:tab/>
            </w:r>
            <w:r w:rsidR="00146A5B">
              <w:rPr>
                <w:noProof/>
                <w:webHidden/>
              </w:rPr>
              <w:fldChar w:fldCharType="begin"/>
            </w:r>
            <w:r w:rsidR="00146A5B">
              <w:rPr>
                <w:noProof/>
                <w:webHidden/>
              </w:rPr>
              <w:instrText xml:space="preserve"> PAGEREF _Toc136851467 \h </w:instrText>
            </w:r>
            <w:r w:rsidR="00146A5B">
              <w:rPr>
                <w:noProof/>
                <w:webHidden/>
              </w:rPr>
            </w:r>
            <w:r w:rsidR="00146A5B">
              <w:rPr>
                <w:noProof/>
                <w:webHidden/>
              </w:rPr>
              <w:fldChar w:fldCharType="separate"/>
            </w:r>
            <w:r>
              <w:rPr>
                <w:noProof/>
                <w:webHidden/>
              </w:rPr>
              <w:t>20</w:t>
            </w:r>
            <w:r w:rsidR="00146A5B">
              <w:rPr>
                <w:noProof/>
                <w:webHidden/>
              </w:rPr>
              <w:fldChar w:fldCharType="end"/>
            </w:r>
          </w:hyperlink>
        </w:p>
        <w:p w14:paraId="4C6598CC" w14:textId="3F6694B4" w:rsidR="00146A5B" w:rsidRDefault="007725FF">
          <w:pPr>
            <w:pStyle w:val="TOC3"/>
            <w:rPr>
              <w:rFonts w:eastAsiaTheme="minorEastAsia" w:cstheme="minorBidi"/>
              <w:noProof/>
              <w:color w:val="auto"/>
              <w:sz w:val="22"/>
              <w:szCs w:val="22"/>
              <w:lang w:val="en-AU" w:eastAsia="en-AU"/>
            </w:rPr>
          </w:pPr>
          <w:hyperlink w:anchor="_Toc136851468" w:history="1">
            <w:r w:rsidR="00146A5B" w:rsidRPr="00AB3D4A">
              <w:rPr>
                <w:rStyle w:val="Hyperlink"/>
                <w:noProof/>
              </w:rPr>
              <w:t>Decriminalisation delivers net economic benefits</w:t>
            </w:r>
            <w:r w:rsidR="00146A5B">
              <w:rPr>
                <w:noProof/>
                <w:webHidden/>
              </w:rPr>
              <w:tab/>
            </w:r>
            <w:r w:rsidR="00146A5B">
              <w:rPr>
                <w:noProof/>
                <w:webHidden/>
              </w:rPr>
              <w:fldChar w:fldCharType="begin"/>
            </w:r>
            <w:r w:rsidR="00146A5B">
              <w:rPr>
                <w:noProof/>
                <w:webHidden/>
              </w:rPr>
              <w:instrText xml:space="preserve"> PAGEREF _Toc136851468 \h </w:instrText>
            </w:r>
            <w:r w:rsidR="00146A5B">
              <w:rPr>
                <w:noProof/>
                <w:webHidden/>
              </w:rPr>
            </w:r>
            <w:r w:rsidR="00146A5B">
              <w:rPr>
                <w:noProof/>
                <w:webHidden/>
              </w:rPr>
              <w:fldChar w:fldCharType="separate"/>
            </w:r>
            <w:r>
              <w:rPr>
                <w:noProof/>
                <w:webHidden/>
              </w:rPr>
              <w:t>21</w:t>
            </w:r>
            <w:r w:rsidR="00146A5B">
              <w:rPr>
                <w:noProof/>
                <w:webHidden/>
              </w:rPr>
              <w:fldChar w:fldCharType="end"/>
            </w:r>
          </w:hyperlink>
        </w:p>
        <w:p w14:paraId="70A3A2BF" w14:textId="4F3D94A9" w:rsidR="00146A5B" w:rsidRDefault="007725FF">
          <w:pPr>
            <w:pStyle w:val="TOC1"/>
            <w:tabs>
              <w:tab w:val="right" w:leader="dot" w:pos="9940"/>
            </w:tabs>
            <w:rPr>
              <w:rFonts w:eastAsiaTheme="minorEastAsia" w:cstheme="minorBidi"/>
              <w:b w:val="0"/>
              <w:bCs w:val="0"/>
              <w:noProof/>
              <w:color w:val="auto"/>
              <w:sz w:val="22"/>
              <w:szCs w:val="22"/>
              <w:lang w:val="en-AU" w:eastAsia="en-AU"/>
            </w:rPr>
          </w:pPr>
          <w:hyperlink w:anchor="_Toc136851469" w:history="1">
            <w:r w:rsidR="00146A5B" w:rsidRPr="00AB3D4A">
              <w:rPr>
                <w:rStyle w:val="Hyperlink"/>
                <w:noProof/>
              </w:rPr>
              <w:t>Conclusions</w:t>
            </w:r>
            <w:r w:rsidR="00146A5B">
              <w:rPr>
                <w:noProof/>
                <w:webHidden/>
              </w:rPr>
              <w:tab/>
            </w:r>
            <w:r w:rsidR="00146A5B">
              <w:rPr>
                <w:noProof/>
                <w:webHidden/>
              </w:rPr>
              <w:fldChar w:fldCharType="begin"/>
            </w:r>
            <w:r w:rsidR="00146A5B">
              <w:rPr>
                <w:noProof/>
                <w:webHidden/>
              </w:rPr>
              <w:instrText xml:space="preserve"> PAGEREF _Toc136851469 \h </w:instrText>
            </w:r>
            <w:r w:rsidR="00146A5B">
              <w:rPr>
                <w:noProof/>
                <w:webHidden/>
              </w:rPr>
            </w:r>
            <w:r w:rsidR="00146A5B">
              <w:rPr>
                <w:noProof/>
                <w:webHidden/>
              </w:rPr>
              <w:fldChar w:fldCharType="separate"/>
            </w:r>
            <w:r>
              <w:rPr>
                <w:noProof/>
                <w:webHidden/>
              </w:rPr>
              <w:t>22</w:t>
            </w:r>
            <w:r w:rsidR="00146A5B">
              <w:rPr>
                <w:noProof/>
                <w:webHidden/>
              </w:rPr>
              <w:fldChar w:fldCharType="end"/>
            </w:r>
          </w:hyperlink>
        </w:p>
        <w:p w14:paraId="50A77505" w14:textId="3ABE2DCD" w:rsidR="00146A5B" w:rsidRDefault="007725FF">
          <w:pPr>
            <w:pStyle w:val="TOC1"/>
            <w:tabs>
              <w:tab w:val="right" w:leader="dot" w:pos="9940"/>
            </w:tabs>
            <w:rPr>
              <w:rFonts w:eastAsiaTheme="minorEastAsia" w:cstheme="minorBidi"/>
              <w:b w:val="0"/>
              <w:bCs w:val="0"/>
              <w:noProof/>
              <w:color w:val="auto"/>
              <w:sz w:val="22"/>
              <w:szCs w:val="22"/>
              <w:lang w:val="en-AU" w:eastAsia="en-AU"/>
            </w:rPr>
          </w:pPr>
          <w:hyperlink w:anchor="_Toc136851470" w:history="1">
            <w:r w:rsidR="00146A5B" w:rsidRPr="00AB3D4A">
              <w:rPr>
                <w:rStyle w:val="Hyperlink"/>
                <w:noProof/>
              </w:rPr>
              <w:t>Recommendations</w:t>
            </w:r>
            <w:r w:rsidR="00146A5B">
              <w:rPr>
                <w:noProof/>
                <w:webHidden/>
              </w:rPr>
              <w:tab/>
            </w:r>
            <w:r w:rsidR="00146A5B">
              <w:rPr>
                <w:noProof/>
                <w:webHidden/>
              </w:rPr>
              <w:fldChar w:fldCharType="begin"/>
            </w:r>
            <w:r w:rsidR="00146A5B">
              <w:rPr>
                <w:noProof/>
                <w:webHidden/>
              </w:rPr>
              <w:instrText xml:space="preserve"> PAGEREF _Toc136851470 \h </w:instrText>
            </w:r>
            <w:r w:rsidR="00146A5B">
              <w:rPr>
                <w:noProof/>
                <w:webHidden/>
              </w:rPr>
            </w:r>
            <w:r w:rsidR="00146A5B">
              <w:rPr>
                <w:noProof/>
                <w:webHidden/>
              </w:rPr>
              <w:fldChar w:fldCharType="separate"/>
            </w:r>
            <w:r>
              <w:rPr>
                <w:noProof/>
                <w:webHidden/>
              </w:rPr>
              <w:t>23</w:t>
            </w:r>
            <w:r w:rsidR="00146A5B">
              <w:rPr>
                <w:noProof/>
                <w:webHidden/>
              </w:rPr>
              <w:fldChar w:fldCharType="end"/>
            </w:r>
          </w:hyperlink>
        </w:p>
        <w:p w14:paraId="43410F91" w14:textId="0796D69B" w:rsidR="00146A5B" w:rsidRDefault="007725FF">
          <w:pPr>
            <w:pStyle w:val="TOC1"/>
            <w:tabs>
              <w:tab w:val="right" w:leader="dot" w:pos="9940"/>
            </w:tabs>
            <w:rPr>
              <w:rFonts w:eastAsiaTheme="minorEastAsia" w:cstheme="minorBidi"/>
              <w:b w:val="0"/>
              <w:bCs w:val="0"/>
              <w:noProof/>
              <w:color w:val="auto"/>
              <w:sz w:val="22"/>
              <w:szCs w:val="22"/>
              <w:lang w:val="en-AU" w:eastAsia="en-AU"/>
            </w:rPr>
          </w:pPr>
          <w:hyperlink w:anchor="_Toc136851471" w:history="1">
            <w:r w:rsidR="00146A5B" w:rsidRPr="00AB3D4A">
              <w:rPr>
                <w:rStyle w:val="Hyperlink"/>
                <w:noProof/>
              </w:rPr>
              <w:t>Glossary</w:t>
            </w:r>
            <w:r w:rsidR="00146A5B">
              <w:rPr>
                <w:noProof/>
                <w:webHidden/>
              </w:rPr>
              <w:tab/>
            </w:r>
            <w:r w:rsidR="00146A5B">
              <w:rPr>
                <w:noProof/>
                <w:webHidden/>
              </w:rPr>
              <w:fldChar w:fldCharType="begin"/>
            </w:r>
            <w:r w:rsidR="00146A5B">
              <w:rPr>
                <w:noProof/>
                <w:webHidden/>
              </w:rPr>
              <w:instrText xml:space="preserve"> PAGEREF _Toc136851471 \h </w:instrText>
            </w:r>
            <w:r w:rsidR="00146A5B">
              <w:rPr>
                <w:noProof/>
                <w:webHidden/>
              </w:rPr>
            </w:r>
            <w:r w:rsidR="00146A5B">
              <w:rPr>
                <w:noProof/>
                <w:webHidden/>
              </w:rPr>
              <w:fldChar w:fldCharType="separate"/>
            </w:r>
            <w:r>
              <w:rPr>
                <w:noProof/>
                <w:webHidden/>
              </w:rPr>
              <w:t>24</w:t>
            </w:r>
            <w:r w:rsidR="00146A5B">
              <w:rPr>
                <w:noProof/>
                <w:webHidden/>
              </w:rPr>
              <w:fldChar w:fldCharType="end"/>
            </w:r>
          </w:hyperlink>
        </w:p>
        <w:p w14:paraId="31FF03D8" w14:textId="47705417" w:rsidR="00146A5B" w:rsidRDefault="007725FF">
          <w:pPr>
            <w:pStyle w:val="TOC1"/>
            <w:tabs>
              <w:tab w:val="right" w:leader="dot" w:pos="9940"/>
            </w:tabs>
            <w:rPr>
              <w:rFonts w:eastAsiaTheme="minorEastAsia" w:cstheme="minorBidi"/>
              <w:b w:val="0"/>
              <w:bCs w:val="0"/>
              <w:noProof/>
              <w:color w:val="auto"/>
              <w:sz w:val="22"/>
              <w:szCs w:val="22"/>
              <w:lang w:val="en-AU" w:eastAsia="en-AU"/>
            </w:rPr>
          </w:pPr>
          <w:hyperlink w:anchor="_Toc136851472" w:history="1">
            <w:r w:rsidR="00146A5B" w:rsidRPr="00AB3D4A">
              <w:rPr>
                <w:rStyle w:val="Hyperlink"/>
                <w:noProof/>
              </w:rPr>
              <w:t>References</w:t>
            </w:r>
            <w:r w:rsidR="00146A5B">
              <w:rPr>
                <w:noProof/>
                <w:webHidden/>
              </w:rPr>
              <w:tab/>
            </w:r>
            <w:r w:rsidR="00146A5B">
              <w:rPr>
                <w:noProof/>
                <w:webHidden/>
              </w:rPr>
              <w:fldChar w:fldCharType="begin"/>
            </w:r>
            <w:r w:rsidR="00146A5B">
              <w:rPr>
                <w:noProof/>
                <w:webHidden/>
              </w:rPr>
              <w:instrText xml:space="preserve"> PAGEREF _Toc136851472 \h </w:instrText>
            </w:r>
            <w:r w:rsidR="00146A5B">
              <w:rPr>
                <w:noProof/>
                <w:webHidden/>
              </w:rPr>
            </w:r>
            <w:r w:rsidR="00146A5B">
              <w:rPr>
                <w:noProof/>
                <w:webHidden/>
              </w:rPr>
              <w:fldChar w:fldCharType="separate"/>
            </w:r>
            <w:r>
              <w:rPr>
                <w:noProof/>
                <w:webHidden/>
              </w:rPr>
              <w:t>26</w:t>
            </w:r>
            <w:r w:rsidR="00146A5B">
              <w:rPr>
                <w:noProof/>
                <w:webHidden/>
              </w:rPr>
              <w:fldChar w:fldCharType="end"/>
            </w:r>
          </w:hyperlink>
        </w:p>
        <w:p w14:paraId="03771589" w14:textId="7D6DD248" w:rsidR="00C0360F" w:rsidRDefault="00C0360F">
          <w:r>
            <w:rPr>
              <w:b/>
              <w:bCs/>
              <w:noProof/>
            </w:rPr>
            <w:fldChar w:fldCharType="end"/>
          </w:r>
        </w:p>
      </w:sdtContent>
    </w:sdt>
    <w:p w14:paraId="0A81DC79" w14:textId="77777777" w:rsidR="00921D00" w:rsidRDefault="00921D00">
      <w:pPr>
        <w:spacing w:before="0" w:after="0"/>
        <w:rPr>
          <w:szCs w:val="24"/>
        </w:rPr>
      </w:pPr>
      <w:r>
        <w:br w:type="page"/>
      </w:r>
    </w:p>
    <w:p w14:paraId="32F3CE2C" w14:textId="77777777" w:rsidR="00051051" w:rsidRDefault="00051051" w:rsidP="00B153E7">
      <w:pPr>
        <w:pStyle w:val="BodyText"/>
      </w:pPr>
    </w:p>
    <w:p w14:paraId="4E393B03" w14:textId="1BA8DCE5" w:rsidR="00921D00" w:rsidRPr="00740EB5" w:rsidRDefault="00921D00" w:rsidP="00921D00">
      <w:pPr>
        <w:pStyle w:val="IntenseQuote"/>
        <w:rPr>
          <w:rStyle w:val="Emphasis"/>
        </w:rPr>
      </w:pPr>
      <w:r w:rsidRPr="00740EB5">
        <w:rPr>
          <w:rStyle w:val="Emphasis"/>
        </w:rPr>
        <w:t>Anglicare Tasmania acknowledges the Tasmanian Aboriginal community as the traditional and original owners and continuing custodians of this land lutruwita.</w:t>
      </w:r>
      <w:r w:rsidR="00F603E6">
        <w:rPr>
          <w:rStyle w:val="Emphasis"/>
        </w:rPr>
        <w:t xml:space="preserve"> </w:t>
      </w:r>
      <w:r w:rsidRPr="00740EB5">
        <w:rPr>
          <w:rStyle w:val="Emphasis"/>
        </w:rPr>
        <w:t>We pay respect to Elders past and present.</w:t>
      </w:r>
    </w:p>
    <w:p w14:paraId="0499B171" w14:textId="77777777" w:rsidR="00222F18" w:rsidRDefault="00222F18" w:rsidP="00BF69AF">
      <w:pPr>
        <w:rPr>
          <w:rFonts w:ascii="AvenirNextLTPro-Demi"/>
          <w:b/>
          <w:sz w:val="22"/>
        </w:rPr>
      </w:pPr>
    </w:p>
    <w:p w14:paraId="1738FD3E" w14:textId="77777777" w:rsidR="00222F18" w:rsidRDefault="00222F18" w:rsidP="00BF69AF">
      <w:pPr>
        <w:rPr>
          <w:rFonts w:ascii="AvenirNextLTPro-Demi"/>
          <w:b/>
          <w:sz w:val="22"/>
        </w:rPr>
      </w:pPr>
    </w:p>
    <w:p w14:paraId="0057E80D" w14:textId="34EA2CF4" w:rsidR="00222F18" w:rsidRPr="00C61F11" w:rsidRDefault="00A30FE3">
      <w:pPr>
        <w:rPr>
          <w:rFonts w:ascii="AvenirNext LT Pro Regular" w:hAnsi="AvenirNext LT Pro Regular"/>
        </w:rPr>
        <w:sectPr w:rsidR="00222F18" w:rsidRPr="00C61F11">
          <w:pgSz w:w="11910" w:h="16840"/>
          <w:pgMar w:top="1500" w:right="1000" w:bottom="280" w:left="960" w:header="720" w:footer="720" w:gutter="0"/>
          <w:cols w:space="720"/>
        </w:sectPr>
      </w:pPr>
      <w:r w:rsidRPr="00C867F8">
        <w:rPr>
          <w:rFonts w:ascii="AvenirNext LT Pro Regular" w:hAnsi="AvenirNext LT Pro Regular"/>
          <w:noProof/>
        </w:rPr>
        <mc:AlternateContent>
          <mc:Choice Requires="wps">
            <w:drawing>
              <wp:anchor distT="0" distB="0" distL="114300" distR="114300" simplePos="0" relativeHeight="251633664" behindDoc="1" locked="0" layoutInCell="1" allowOverlap="1" wp14:anchorId="278B673F" wp14:editId="16CB5C11">
                <wp:simplePos x="0" y="0"/>
                <wp:positionH relativeFrom="page">
                  <wp:align>right</wp:align>
                </wp:positionH>
                <wp:positionV relativeFrom="paragraph">
                  <wp:posOffset>1447165</wp:posOffset>
                </wp:positionV>
                <wp:extent cx="7553325" cy="6565900"/>
                <wp:effectExtent l="0" t="0" r="9525" b="63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6565900"/>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38114" id="Rectangle 9" o:spid="_x0000_s1026" style="position:absolute;margin-left:543.55pt;margin-top:113.95pt;width:594.75pt;height:517pt;z-index:-2516828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" fillcolor="#e6e3d9" stroked="f" strokeweight="2pt">
                <w10:wrap anchorx="page"/>
              </v:rect>
            </w:pict>
          </mc:Fallback>
        </mc:AlternateContent>
      </w:r>
      <w:r w:rsidR="00BF7913" w:rsidRPr="00C867F8">
        <w:rPr>
          <w:rFonts w:ascii="AvenirNext LT Pro Regular" w:hAnsi="AvenirNext LT Pro Regular"/>
          <w:noProof/>
        </w:rPr>
        <mc:AlternateContent>
          <mc:Choice Requires="wps">
            <w:drawing>
              <wp:anchor distT="0" distB="0" distL="114300" distR="114300" simplePos="0" relativeHeight="251632640" behindDoc="0" locked="0" layoutInCell="1" allowOverlap="1" wp14:anchorId="02729481" wp14:editId="4B77A409">
                <wp:simplePos x="0" y="0"/>
                <wp:positionH relativeFrom="column">
                  <wp:posOffset>102781</wp:posOffset>
                </wp:positionH>
                <wp:positionV relativeFrom="paragraph">
                  <wp:posOffset>2064725</wp:posOffset>
                </wp:positionV>
                <wp:extent cx="6276975" cy="5377416"/>
                <wp:effectExtent l="0" t="0" r="9525" b="13970"/>
                <wp:wrapNone/>
                <wp:docPr id="8" name="docshape3" descr="Text box&#10;Social Action and Research Centre&#10;At the Social Action and Research Centre (SARC), we contribute to building a more just Tasmania.&#10;This means we listen, collaborate, research, advocate and educate. We carry out research and work for changes that will reduce poverty and disadvantage. We listen to the views and experiences of people in local communities. We also hear from frontline workers. We share what we learn with others—including decision-makers in government. &#10;Some words in the text are highlighted. These terms are defined in the Glossary.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276975" cy="5377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F8388" w14:textId="77777777" w:rsidR="005A3B94" w:rsidRPr="00867988" w:rsidRDefault="005A3B94" w:rsidP="00867988">
                            <w:pPr>
                              <w:rPr>
                                <w:b/>
                                <w:sz w:val="28"/>
                                <w:szCs w:val="28"/>
                              </w:rPr>
                            </w:pPr>
                            <w:r w:rsidRPr="00867988">
                              <w:rPr>
                                <w:b/>
                                <w:sz w:val="28"/>
                                <w:szCs w:val="28"/>
                              </w:rPr>
                              <w:t>Social Action and Research Centre</w:t>
                            </w:r>
                          </w:p>
                          <w:p w14:paraId="3FC5DCCF" w14:textId="77777777" w:rsidR="005A3B94" w:rsidRDefault="005A3B94" w:rsidP="00C867F8">
                            <w:r>
                              <w:t>At the Social Action and Research Centre (SARC), we contribute to building a more just Tasmania.</w:t>
                            </w:r>
                          </w:p>
                          <w:p w14:paraId="24B4DA53" w14:textId="77777777" w:rsidR="005A3B94" w:rsidRDefault="005A3B94" w:rsidP="00C867F8">
                            <w:r>
                              <w:t xml:space="preserve">This means we listen, collaborate, research, advocate and educate. We carry out research and work for changes that will reduce poverty and disadvantage. We listen to the views and experiences of people in local communities. We also hear from frontline workers. We share what we learn with others—including decision-makers in government. </w:t>
                            </w:r>
                          </w:p>
                          <w:p w14:paraId="492875EC" w14:textId="77777777" w:rsidR="005A3B94" w:rsidRDefault="005A3B94" w:rsidP="00C867F8"/>
                          <w:p w14:paraId="3040BB6C" w14:textId="77777777" w:rsidR="005A3B94" w:rsidRDefault="005A3B94" w:rsidP="00C867F8">
                            <w:pPr>
                              <w:pStyle w:val="TableParagraph"/>
                            </w:pPr>
                          </w:p>
                          <w:p w14:paraId="3E62EC29" w14:textId="77777777" w:rsidR="005A3B94" w:rsidRDefault="005A3B94" w:rsidP="00C867F8">
                            <w:pPr>
                              <w:pStyle w:val="TableParagraph"/>
                            </w:pPr>
                          </w:p>
                          <w:p w14:paraId="740AB722" w14:textId="77777777" w:rsidR="005A3B94" w:rsidRDefault="005A3B94" w:rsidP="00C867F8">
                            <w:pPr>
                              <w:pStyle w:val="TableParagraph"/>
                            </w:pPr>
                          </w:p>
                          <w:p w14:paraId="5A20962D" w14:textId="77777777" w:rsidR="005A3B94" w:rsidRDefault="005A3B94" w:rsidP="00C867F8">
                            <w:pPr>
                              <w:pStyle w:val="TableParagraph"/>
                            </w:pPr>
                          </w:p>
                          <w:p w14:paraId="2F2E1BE2" w14:textId="77777777" w:rsidR="005A3B94" w:rsidRDefault="005A3B94" w:rsidP="00C867F8">
                            <w:pPr>
                              <w:pStyle w:val="TableParagraph"/>
                            </w:pPr>
                          </w:p>
                          <w:p w14:paraId="16F07749" w14:textId="77777777" w:rsidR="005A3B94" w:rsidRPr="006F73D8" w:rsidRDefault="005A3B94" w:rsidP="00C867F8">
                            <w:pPr>
                              <w:pStyle w:val="TableParagraph"/>
                            </w:pPr>
                            <w:r w:rsidRPr="00777D2F">
                              <w:rPr>
                                <w:rStyle w:val="BodyTextChar"/>
                              </w:rPr>
                              <w:t xml:space="preserve">Some words in the text are </w:t>
                            </w:r>
                            <w:r w:rsidRPr="007564E2">
                              <w:rPr>
                                <w:rStyle w:val="BodyTextChar"/>
                                <w:b/>
                                <w:bCs/>
                                <w:color w:val="31849B" w:themeColor="accent5" w:themeShade="BF"/>
                              </w:rPr>
                              <w:t>highlighted</w:t>
                            </w:r>
                            <w:r w:rsidRPr="00777D2F">
                              <w:rPr>
                                <w:rStyle w:val="BodyTextChar"/>
                              </w:rPr>
                              <w:t>. These terms are defined in the Glossary</w:t>
                            </w:r>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29481" id="docshape3" o:spid="_x0000_s1027" type="#_x0000_t202" alt="Text box&#10;Social Action and Research Centre&#10;At the Social Action and Research Centre (SARC), we contribute to building a more just Tasmania.&#10;This means we listen, collaborate, research, advocate and educate. We carry out research and work for changes that will reduce poverty and disadvantage. We listen to the views and experiences of people in local communities. We also hear from frontline workers. We share what we learn with others—including decision-makers in government. &#10;Some words in the text are highlighted. These terms are defined in the Glossary. &#10;" style="position:absolute;margin-left:8.1pt;margin-top:162.6pt;width:494.25pt;height:423.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" filled="f" stroked="f">
                <o:lock v:ext="edit" aspectratio="t" verticies="t" text="t" shapetype="t"/>
                <v:textbox inset="0,0,0,0">
                  <w:txbxContent>
                    <w:p w14:paraId="5EDF8388" w14:textId="77777777" w:rsidR="005A3B94" w:rsidRPr="00867988" w:rsidRDefault="005A3B94" w:rsidP="00867988">
                      <w:pPr>
                        <w:rPr>
                          <w:b/>
                          <w:sz w:val="28"/>
                          <w:szCs w:val="28"/>
                        </w:rPr>
                      </w:pPr>
                      <w:r w:rsidRPr="00867988">
                        <w:rPr>
                          <w:b/>
                          <w:sz w:val="28"/>
                          <w:szCs w:val="28"/>
                        </w:rPr>
                        <w:t>Social Action and Research Centre</w:t>
                      </w:r>
                    </w:p>
                    <w:p w14:paraId="3FC5DCCF" w14:textId="77777777" w:rsidR="005A3B94" w:rsidRDefault="005A3B94" w:rsidP="00C867F8">
                      <w:r>
                        <w:t>At the Social Action and Research Centre (SARC), we contribute to building a more just Tasmania.</w:t>
                      </w:r>
                    </w:p>
                    <w:p w14:paraId="24B4DA53" w14:textId="77777777" w:rsidR="005A3B94" w:rsidRDefault="005A3B94" w:rsidP="00C867F8">
                      <w:r>
                        <w:t xml:space="preserve">This means we listen, collaborate, research, advocate and educate. We carry out research and work for changes that will reduce poverty and disadvantage. We listen to the views and experiences of people in local communities. We also hear from frontline workers. We share what we learn with others—including decision-makers in government. </w:t>
                      </w:r>
                    </w:p>
                    <w:p w14:paraId="492875EC" w14:textId="77777777" w:rsidR="005A3B94" w:rsidRDefault="005A3B94" w:rsidP="00C867F8"/>
                    <w:p w14:paraId="3040BB6C" w14:textId="77777777" w:rsidR="005A3B94" w:rsidRDefault="005A3B94" w:rsidP="00C867F8">
                      <w:pPr>
                        <w:pStyle w:val="TableParagraph"/>
                      </w:pPr>
                    </w:p>
                    <w:p w14:paraId="3E62EC29" w14:textId="77777777" w:rsidR="005A3B94" w:rsidRDefault="005A3B94" w:rsidP="00C867F8">
                      <w:pPr>
                        <w:pStyle w:val="TableParagraph"/>
                      </w:pPr>
                    </w:p>
                    <w:p w14:paraId="740AB722" w14:textId="77777777" w:rsidR="005A3B94" w:rsidRDefault="005A3B94" w:rsidP="00C867F8">
                      <w:pPr>
                        <w:pStyle w:val="TableParagraph"/>
                      </w:pPr>
                    </w:p>
                    <w:p w14:paraId="5A20962D" w14:textId="77777777" w:rsidR="005A3B94" w:rsidRDefault="005A3B94" w:rsidP="00C867F8">
                      <w:pPr>
                        <w:pStyle w:val="TableParagraph"/>
                      </w:pPr>
                    </w:p>
                    <w:p w14:paraId="2F2E1BE2" w14:textId="77777777" w:rsidR="005A3B94" w:rsidRDefault="005A3B94" w:rsidP="00C867F8">
                      <w:pPr>
                        <w:pStyle w:val="TableParagraph"/>
                      </w:pPr>
                    </w:p>
                    <w:p w14:paraId="16F07749" w14:textId="77777777" w:rsidR="005A3B94" w:rsidRPr="006F73D8" w:rsidRDefault="005A3B94" w:rsidP="00C867F8">
                      <w:pPr>
                        <w:pStyle w:val="TableParagraph"/>
                      </w:pPr>
                      <w:r w:rsidRPr="00777D2F">
                        <w:rPr>
                          <w:rStyle w:val="BodyTextChar"/>
                        </w:rPr>
                        <w:t xml:space="preserve">Some words in the text are </w:t>
                      </w:r>
                      <w:r w:rsidRPr="007564E2">
                        <w:rPr>
                          <w:rStyle w:val="BodyTextChar"/>
                          <w:b/>
                          <w:bCs/>
                          <w:color w:val="31849B" w:themeColor="accent5" w:themeShade="BF"/>
                        </w:rPr>
                        <w:t>highlighted</w:t>
                      </w:r>
                      <w:r w:rsidRPr="00777D2F">
                        <w:rPr>
                          <w:rStyle w:val="BodyTextChar"/>
                        </w:rPr>
                        <w:t>. These terms are defined in the Glossary</w:t>
                      </w:r>
                      <w:r>
                        <w:t xml:space="preserve">. </w:t>
                      </w:r>
                    </w:p>
                  </w:txbxContent>
                </v:textbox>
              </v:shape>
            </w:pict>
          </mc:Fallback>
        </mc:AlternateContent>
      </w:r>
      <w:r w:rsidR="00C867F8">
        <w:rPr>
          <w:rFonts w:ascii="AvenirNext LT Pro Regular" w:hAnsi="AvenirNext LT Pro Regular"/>
        </w:rPr>
        <w:t xml:space="preserve"> </w:t>
      </w:r>
    </w:p>
    <w:p w14:paraId="476DFADC" w14:textId="77777777" w:rsidR="007C6AF1" w:rsidRDefault="007C6AF1" w:rsidP="00573A64">
      <w:pPr>
        <w:pStyle w:val="Breakout"/>
        <w:rPr>
          <w:rStyle w:val="Emphasis"/>
          <w:iCs w:val="0"/>
          <w:color w:val="9EA2A2"/>
          <w:spacing w:val="0"/>
          <w:sz w:val="24"/>
          <w:szCs w:val="22"/>
        </w:rPr>
      </w:pPr>
    </w:p>
    <w:p w14:paraId="17892FD4" w14:textId="77777777" w:rsidR="00515F2E" w:rsidRDefault="00B153E7" w:rsidP="00573A64">
      <w:pPr>
        <w:pStyle w:val="Breakout"/>
        <w:rPr>
          <w:rStyle w:val="Emphasis"/>
          <w:iCs w:val="0"/>
          <w:color w:val="9EA2A2"/>
          <w:spacing w:val="0"/>
          <w:sz w:val="24"/>
          <w:szCs w:val="22"/>
        </w:rPr>
      </w:pPr>
      <w:r w:rsidRPr="00DD5638">
        <w:rPr>
          <w:rStyle w:val="Emphasis"/>
          <w:iCs w:val="0"/>
          <w:color w:val="9EA2A2"/>
        </w:rPr>
        <w:t>There comes a point where we need to stop just pulling people out of the river. We need to go upstream and find out why they’re falling in</w:t>
      </w:r>
      <w:r w:rsidR="00515F2E">
        <w:rPr>
          <w:rStyle w:val="Emphasis"/>
          <w:iCs w:val="0"/>
          <w:color w:val="9EA2A2"/>
        </w:rPr>
        <w:t>.</w:t>
      </w:r>
    </w:p>
    <w:p w14:paraId="04FC940A" w14:textId="4E4C09C6" w:rsidR="00B153E7" w:rsidRPr="00DD5638" w:rsidRDefault="00B153E7" w:rsidP="00573A64">
      <w:pPr>
        <w:pStyle w:val="Breakout"/>
        <w:rPr>
          <w:rStyle w:val="Emphasis"/>
          <w:bCs/>
          <w:i w:val="0"/>
          <w:iCs w:val="0"/>
          <w:color w:val="9EA2A2"/>
          <w:spacing w:val="0"/>
          <w:sz w:val="24"/>
          <w:szCs w:val="22"/>
        </w:rPr>
      </w:pPr>
      <w:r w:rsidRPr="00DD5638">
        <w:rPr>
          <w:rStyle w:val="Emphasis"/>
          <w:i w:val="0"/>
          <w:iCs w:val="0"/>
          <w:color w:val="9EA2A2"/>
        </w:rPr>
        <w:t>―</w:t>
      </w:r>
      <w:r w:rsidR="00FB7984">
        <w:rPr>
          <w:rStyle w:val="Emphasis"/>
          <w:i w:val="0"/>
          <w:iCs w:val="0"/>
          <w:color w:val="9EA2A2"/>
        </w:rPr>
        <w:t xml:space="preserve">Archbishop </w:t>
      </w:r>
      <w:r w:rsidRPr="00DD5638">
        <w:rPr>
          <w:rStyle w:val="Emphasis"/>
          <w:i w:val="0"/>
          <w:iCs w:val="0"/>
          <w:color w:val="9EA2A2"/>
        </w:rPr>
        <w:t>Desmond Tutu</w:t>
      </w:r>
    </w:p>
    <w:p w14:paraId="68C7E3B3" w14:textId="77777777" w:rsidR="00F37A0E" w:rsidRPr="007A2A7B" w:rsidRDefault="00F37A0E" w:rsidP="00F37A0E">
      <w:pPr>
        <w:spacing w:before="240" w:line="520" w:lineRule="exact"/>
        <w:outlineLvl w:val="0"/>
        <w:rPr>
          <w:rFonts w:ascii="Avenir Next Demi Bold" w:eastAsia="AvenirNextLTPro-Demi" w:hAnsi="Avenir Next Demi Bold" w:cs="AvenirNextLTPro-Demi"/>
          <w:bCs/>
          <w:color w:val="1598CB"/>
          <w:sz w:val="44"/>
          <w:szCs w:val="44"/>
        </w:rPr>
      </w:pPr>
      <w:bookmarkStart w:id="0" w:name="_Toc136851447"/>
      <w:r w:rsidRPr="007A2A7B">
        <w:rPr>
          <w:rFonts w:ascii="Avenir Next Demi Bold" w:eastAsia="AvenirNextLTPro-Demi" w:hAnsi="Avenir Next Demi Bold" w:cs="AvenirNextLTPro-Demi"/>
          <w:bCs/>
          <w:color w:val="1598CB"/>
          <w:sz w:val="44"/>
          <w:szCs w:val="44"/>
        </w:rPr>
        <w:t>Hope for a healthier community</w:t>
      </w:r>
      <w:bookmarkEnd w:id="0"/>
    </w:p>
    <w:p w14:paraId="57774057" w14:textId="77777777" w:rsidR="00F37A0E" w:rsidRPr="00603D80" w:rsidRDefault="00F37A0E" w:rsidP="00F37A0E">
      <w:pPr>
        <w:pBdr>
          <w:top w:val="single" w:sz="4" w:space="10" w:color="4F81BD" w:themeColor="accent1"/>
          <w:bottom w:val="single" w:sz="4" w:space="10" w:color="4F81BD" w:themeColor="accent1"/>
        </w:pBdr>
        <w:spacing w:before="360" w:after="360"/>
        <w:ind w:left="864" w:right="864"/>
        <w:jc w:val="center"/>
        <w:rPr>
          <w:color w:val="1598CB"/>
        </w:rPr>
      </w:pPr>
      <w:r w:rsidRPr="00603D80">
        <w:rPr>
          <w:i/>
          <w:color w:val="1598CB"/>
        </w:rPr>
        <w:t>“I was in child protection from really early, and never really learned how to care for my own kids. I wasn’t the parent I wanted to be. The kids</w:t>
      </w:r>
      <w:r w:rsidRPr="00603D80">
        <w:rPr>
          <w:color w:val="1598CB"/>
        </w:rPr>
        <w:t xml:space="preserve"> </w:t>
      </w:r>
      <w:r w:rsidRPr="00603D80">
        <w:rPr>
          <w:i/>
          <w:iCs/>
          <w:color w:val="1598CB"/>
        </w:rPr>
        <w:t xml:space="preserve">were taken away, </w:t>
      </w:r>
      <w:proofErr w:type="spellStart"/>
      <w:r w:rsidRPr="00603D80">
        <w:rPr>
          <w:i/>
          <w:iCs/>
          <w:color w:val="1598CB"/>
        </w:rPr>
        <w:t>’</w:t>
      </w:r>
      <w:proofErr w:type="gramStart"/>
      <w:r w:rsidRPr="00603D80">
        <w:rPr>
          <w:i/>
          <w:iCs/>
          <w:color w:val="1598CB"/>
        </w:rPr>
        <w:t>cause</w:t>
      </w:r>
      <w:proofErr w:type="spellEnd"/>
      <w:proofErr w:type="gramEnd"/>
      <w:r w:rsidRPr="00603D80">
        <w:rPr>
          <w:i/>
          <w:iCs/>
          <w:color w:val="1598CB"/>
        </w:rPr>
        <w:t xml:space="preserve"> I’d neglected them, and it hit me so hard. Drugs numbed the pain. Now, if I don’t get myself sorted out, I’m facing prison”</w:t>
      </w:r>
      <w:r w:rsidRPr="00603D80">
        <w:rPr>
          <w:i/>
          <w:iCs/>
          <w:color w:val="1598CB"/>
          <w:vertAlign w:val="superscript"/>
        </w:rPr>
        <w:footnoteReference w:id="1"/>
      </w:r>
    </w:p>
    <w:p w14:paraId="14EC1C2E" w14:textId="31EEB259" w:rsidR="00F37A0E" w:rsidRPr="007A2A7B" w:rsidRDefault="00F37A0E" w:rsidP="00F37A0E">
      <w:pPr>
        <w:rPr>
          <w:szCs w:val="24"/>
        </w:rPr>
      </w:pPr>
      <w:r w:rsidRPr="007A2A7B">
        <w:rPr>
          <w:szCs w:val="24"/>
        </w:rPr>
        <w:t xml:space="preserve">Safeguarding and improving the health and wellbeing of all Tasmanians is a priority. The State’s </w:t>
      </w:r>
      <w:r w:rsidRPr="007A2A7B">
        <w:rPr>
          <w:i/>
          <w:szCs w:val="24"/>
        </w:rPr>
        <w:t>Healthy Tasmania Five-Year Strategic Plan 2022–2026</w:t>
      </w:r>
      <w:r w:rsidRPr="007A2A7B">
        <w:rPr>
          <w:szCs w:val="24"/>
        </w:rPr>
        <w:t xml:space="preserve"> identifies the need for a healthier population, greater equity of health outcomes, </w:t>
      </w:r>
      <w:r w:rsidR="00080523" w:rsidRPr="007A2A7B">
        <w:rPr>
          <w:szCs w:val="24"/>
        </w:rPr>
        <w:t>liveable</w:t>
      </w:r>
      <w:r w:rsidRPr="007A2A7B">
        <w:rPr>
          <w:szCs w:val="24"/>
        </w:rPr>
        <w:t xml:space="preserve">, vibrant and healthy places, and greater social connectedness. </w:t>
      </w:r>
    </w:p>
    <w:p w14:paraId="4101CAA1" w14:textId="77777777" w:rsidR="00F37A0E" w:rsidRPr="007A2A7B" w:rsidRDefault="00F37A0E" w:rsidP="00F37A0E">
      <w:pPr>
        <w:rPr>
          <w:b/>
          <w:szCs w:val="24"/>
        </w:rPr>
      </w:pPr>
      <w:r w:rsidRPr="007A2A7B">
        <w:rPr>
          <w:b/>
          <w:szCs w:val="24"/>
        </w:rPr>
        <w:t xml:space="preserve">To deliver a healthy Tasmania, we need evidence-based, effective action on drugs. </w:t>
      </w:r>
    </w:p>
    <w:p w14:paraId="7CC76BFC" w14:textId="5899E157" w:rsidR="00F37A0E" w:rsidRPr="007A2A7B" w:rsidRDefault="00F37A0E" w:rsidP="00F37A0E">
      <w:pPr>
        <w:rPr>
          <w:szCs w:val="24"/>
        </w:rPr>
      </w:pPr>
      <w:r w:rsidRPr="007A2A7B">
        <w:rPr>
          <w:szCs w:val="24"/>
        </w:rPr>
        <w:t>We are already delivering services to reduce the harm to Tasmanians from drug use. But our current response to the possession and use of illicit drugs criminalises people, pushing them to the margins of society and perpetuating trauma by cutting them off from family and friends, from secure housing, from paid employment and volunteering, and from seeking the preventive help or treatment that might enable them to be part of flourishing communities.</w:t>
      </w:r>
      <w:r w:rsidR="00F603E6">
        <w:rPr>
          <w:szCs w:val="24"/>
        </w:rPr>
        <w:t xml:space="preserve"> </w:t>
      </w:r>
    </w:p>
    <w:p w14:paraId="0BAE820E" w14:textId="705C78F3" w:rsidR="00185977" w:rsidRPr="00603D80" w:rsidRDefault="008258D3" w:rsidP="00603D80">
      <w:pPr>
        <w:rPr>
          <w:szCs w:val="24"/>
        </w:rPr>
      </w:pPr>
      <w:r>
        <w:rPr>
          <w:noProof/>
        </w:rPr>
        <mc:AlternateContent>
          <mc:Choice Requires="wps">
            <w:drawing>
              <wp:anchor distT="0" distB="0" distL="114300" distR="114300" simplePos="0" relativeHeight="251732992" behindDoc="0" locked="0" layoutInCell="1" allowOverlap="1" wp14:anchorId="5CCB7B88" wp14:editId="1E53F9FA">
                <wp:simplePos x="0" y="0"/>
                <wp:positionH relativeFrom="page">
                  <wp:posOffset>606056</wp:posOffset>
                </wp:positionH>
                <wp:positionV relativeFrom="page">
                  <wp:posOffset>7846828</wp:posOffset>
                </wp:positionV>
                <wp:extent cx="6124353" cy="1616149"/>
                <wp:effectExtent l="0" t="0" r="0" b="3175"/>
                <wp:wrapNone/>
                <wp:docPr id="39" name="Text Box 39" descr="Break out text box&#10;This position paper builds on Anglicare’s work to reduce the harms from drug use, to enable the development of natural social supports for members of our community who have drug use disorders, and to work for a more just approach. &#10;Restorative justice and therapeutic jurisprudence are at the heart of this work."/>
                <wp:cNvGraphicFramePr/>
                <a:graphic xmlns:a="http://schemas.openxmlformats.org/drawingml/2006/main">
                  <a:graphicData uri="http://schemas.microsoft.com/office/word/2010/wordprocessingShape">
                    <wps:wsp>
                      <wps:cNvSpPr txBox="1"/>
                      <wps:spPr>
                        <a:xfrm>
                          <a:off x="0" y="0"/>
                          <a:ext cx="6124353" cy="1616149"/>
                        </a:xfrm>
                        <a:prstGeom prst="rect">
                          <a:avLst/>
                        </a:prstGeom>
                        <a:solidFill>
                          <a:srgbClr val="1598CB"/>
                        </a:solidFill>
                        <a:ln w="6350">
                          <a:noFill/>
                        </a:ln>
                      </wps:spPr>
                      <wps:txbx>
                        <w:txbxContent>
                          <w:p w14:paraId="47A0F9F3" w14:textId="77777777" w:rsidR="005A3B94" w:rsidRDefault="005A3B94" w:rsidP="00080523">
                            <w:pPr>
                              <w:pStyle w:val="BodyText"/>
                              <w:ind w:left="284" w:right="334"/>
                              <w:rPr>
                                <w:color w:val="FFFFFF" w:themeColor="background1"/>
                              </w:rPr>
                            </w:pPr>
                            <w:r w:rsidRPr="00275A05">
                              <w:rPr>
                                <w:color w:val="FFFFFF" w:themeColor="background1"/>
                              </w:rPr>
                              <w:t xml:space="preserve">This position paper builds on Anglicare’s work to reduce the harms from drug use, to enable the development of natural social supports for members of our community who have drug use disorders, and to work for a more just approach. </w:t>
                            </w:r>
                          </w:p>
                          <w:p w14:paraId="05A1ABEF" w14:textId="77777777" w:rsidR="005A3B94" w:rsidRPr="003D7E3E" w:rsidRDefault="005A3B94" w:rsidP="00080523">
                            <w:pPr>
                              <w:ind w:left="284" w:right="334"/>
                              <w:rPr>
                                <w:color w:val="1598CB"/>
                              </w:rPr>
                            </w:pPr>
                            <w:r w:rsidRPr="00275A05">
                              <w:rPr>
                                <w:b/>
                                <w:bCs/>
                                <w:color w:val="FFFFFF" w:themeColor="background1"/>
                              </w:rPr>
                              <w:t>Restorative justice</w:t>
                            </w:r>
                            <w:r w:rsidRPr="00275A05">
                              <w:rPr>
                                <w:color w:val="FFFFFF" w:themeColor="background1"/>
                              </w:rPr>
                              <w:t xml:space="preserve"> and </w:t>
                            </w:r>
                            <w:r w:rsidRPr="00275A05">
                              <w:rPr>
                                <w:b/>
                                <w:bCs/>
                                <w:color w:val="FFFFFF" w:themeColor="background1"/>
                              </w:rPr>
                              <w:t>therapeutic</w:t>
                            </w:r>
                            <w:r w:rsidRPr="00275A05">
                              <w:rPr>
                                <w:color w:val="FFFFFF" w:themeColor="background1"/>
                              </w:rPr>
                              <w:t xml:space="preserve"> </w:t>
                            </w:r>
                            <w:r w:rsidRPr="00275A05">
                              <w:rPr>
                                <w:b/>
                                <w:bCs/>
                                <w:color w:val="FFFFFF" w:themeColor="background1"/>
                              </w:rPr>
                              <w:t>jurisprudence</w:t>
                            </w:r>
                            <w:r w:rsidRPr="00275A05">
                              <w:rPr>
                                <w:color w:val="FFFFFF" w:themeColor="background1"/>
                              </w:rPr>
                              <w:t xml:space="preserve"> are at the heart of this </w:t>
                            </w:r>
                            <w:r>
                              <w:rPr>
                                <w:color w:val="FFFFFF" w:themeColor="background1"/>
                              </w:rPr>
                              <w:t>work</w:t>
                            </w:r>
                            <w:r w:rsidRPr="00275A05">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B7B88" id="Text Box 39" o:spid="_x0000_s1028" type="#_x0000_t202" alt="Break out text box&#10;This position paper builds on Anglicare’s work to reduce the harms from drug use, to enable the development of natural social supports for members of our community who have drug use disorders, and to work for a more just approach. &#10;Restorative justice and therapeutic jurisprudence are at the heart of this work." style="position:absolute;margin-left:47.7pt;margin-top:617.85pt;width:482.25pt;height:127.2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" fillcolor="#1598cb" stroked="f" strokeweight=".5pt">
                <v:textbox>
                  <w:txbxContent>
                    <w:p w14:paraId="47A0F9F3" w14:textId="77777777" w:rsidR="005A3B94" w:rsidRDefault="005A3B94" w:rsidP="00080523">
                      <w:pPr>
                        <w:pStyle w:val="BodyText"/>
                        <w:ind w:left="284" w:right="334"/>
                        <w:rPr>
                          <w:color w:val="FFFFFF" w:themeColor="background1"/>
                        </w:rPr>
                      </w:pPr>
                      <w:r w:rsidRPr="00275A05">
                        <w:rPr>
                          <w:color w:val="FFFFFF" w:themeColor="background1"/>
                        </w:rPr>
                        <w:t xml:space="preserve">This position paper builds on Anglicare’s work to reduce the harms from drug use, to enable the development of natural social supports for members of our community who have drug use disorders, and to work for a more just approach. </w:t>
                      </w:r>
                    </w:p>
                    <w:p w14:paraId="05A1ABEF" w14:textId="77777777" w:rsidR="005A3B94" w:rsidRPr="003D7E3E" w:rsidRDefault="005A3B94" w:rsidP="00080523">
                      <w:pPr>
                        <w:ind w:left="284" w:right="334"/>
                        <w:rPr>
                          <w:color w:val="1598CB"/>
                        </w:rPr>
                      </w:pPr>
                      <w:r w:rsidRPr="00275A05">
                        <w:rPr>
                          <w:b/>
                          <w:bCs/>
                          <w:color w:val="FFFFFF" w:themeColor="background1"/>
                        </w:rPr>
                        <w:t>Restorative justice</w:t>
                      </w:r>
                      <w:r w:rsidRPr="00275A05">
                        <w:rPr>
                          <w:color w:val="FFFFFF" w:themeColor="background1"/>
                        </w:rPr>
                        <w:t xml:space="preserve"> and </w:t>
                      </w:r>
                      <w:r w:rsidRPr="00275A05">
                        <w:rPr>
                          <w:b/>
                          <w:bCs/>
                          <w:color w:val="FFFFFF" w:themeColor="background1"/>
                        </w:rPr>
                        <w:t>therapeutic</w:t>
                      </w:r>
                      <w:r w:rsidRPr="00275A05">
                        <w:rPr>
                          <w:color w:val="FFFFFF" w:themeColor="background1"/>
                        </w:rPr>
                        <w:t xml:space="preserve"> </w:t>
                      </w:r>
                      <w:r w:rsidRPr="00275A05">
                        <w:rPr>
                          <w:b/>
                          <w:bCs/>
                          <w:color w:val="FFFFFF" w:themeColor="background1"/>
                        </w:rPr>
                        <w:t>jurisprudence</w:t>
                      </w:r>
                      <w:r w:rsidRPr="00275A05">
                        <w:rPr>
                          <w:color w:val="FFFFFF" w:themeColor="background1"/>
                        </w:rPr>
                        <w:t xml:space="preserve"> are at the heart of this </w:t>
                      </w:r>
                      <w:r>
                        <w:rPr>
                          <w:color w:val="FFFFFF" w:themeColor="background1"/>
                        </w:rPr>
                        <w:t>work</w:t>
                      </w:r>
                      <w:r w:rsidRPr="00275A05">
                        <w:rPr>
                          <w:color w:val="FFFFFF" w:themeColor="background1"/>
                        </w:rPr>
                        <w:t>.</w:t>
                      </w:r>
                    </w:p>
                  </w:txbxContent>
                </v:textbox>
                <w10:wrap anchorx="page" anchory="page"/>
              </v:shape>
            </w:pict>
          </mc:Fallback>
        </mc:AlternateContent>
      </w:r>
      <w:r w:rsidR="00F37A0E" w:rsidRPr="007A2A7B">
        <w:rPr>
          <w:szCs w:val="24"/>
        </w:rPr>
        <w:t xml:space="preserve">We have the opportunity to disrupt this cycle of harm by increasing </w:t>
      </w:r>
      <w:r w:rsidR="00F37A0E" w:rsidRPr="007A2A7B">
        <w:rPr>
          <w:b/>
          <w:szCs w:val="24"/>
        </w:rPr>
        <w:t>equity</w:t>
      </w:r>
      <w:r w:rsidR="00F37A0E" w:rsidRPr="007A2A7B">
        <w:rPr>
          <w:szCs w:val="24"/>
        </w:rPr>
        <w:t xml:space="preserve">, </w:t>
      </w:r>
      <w:r w:rsidR="00F37A0E" w:rsidRPr="007A2A7B">
        <w:rPr>
          <w:b/>
          <w:szCs w:val="24"/>
        </w:rPr>
        <w:t>fairness</w:t>
      </w:r>
      <w:r w:rsidR="00F37A0E" w:rsidRPr="007A2A7B">
        <w:rPr>
          <w:szCs w:val="24"/>
        </w:rPr>
        <w:t xml:space="preserve"> and </w:t>
      </w:r>
      <w:r w:rsidR="00F37A0E" w:rsidRPr="007A2A7B">
        <w:rPr>
          <w:b/>
          <w:szCs w:val="24"/>
        </w:rPr>
        <w:t>inclusion</w:t>
      </w:r>
      <w:r w:rsidR="00F37A0E" w:rsidRPr="007A2A7B">
        <w:rPr>
          <w:szCs w:val="24"/>
        </w:rPr>
        <w:t xml:space="preserve">, and </w:t>
      </w:r>
      <w:r w:rsidR="00F37A0E" w:rsidRPr="007A2A7B">
        <w:rPr>
          <w:b/>
          <w:szCs w:val="24"/>
        </w:rPr>
        <w:t>empowering people and communities</w:t>
      </w:r>
      <w:r w:rsidR="00F37A0E" w:rsidRPr="007A2A7B">
        <w:rPr>
          <w:szCs w:val="24"/>
        </w:rPr>
        <w:t xml:space="preserve"> to shape their health and wellbeing. </w:t>
      </w:r>
      <w:r w:rsidR="00185977">
        <w:br w:type="page"/>
      </w:r>
    </w:p>
    <w:p w14:paraId="40C0037D" w14:textId="75E902C6" w:rsidR="00B153E7" w:rsidRPr="006F73D8" w:rsidRDefault="00B153E7" w:rsidP="00A82EA0">
      <w:pPr>
        <w:pStyle w:val="Heading1"/>
      </w:pPr>
      <w:bookmarkStart w:id="1" w:name="_Toc136851448"/>
      <w:r>
        <w:t>Recom</w:t>
      </w:r>
      <w:r w:rsidR="002F370E">
        <w:t>m</w:t>
      </w:r>
      <w:r>
        <w:t>endation</w:t>
      </w:r>
      <w:r w:rsidR="0003276C">
        <w:t>s</w:t>
      </w:r>
      <w:bookmarkEnd w:id="1"/>
    </w:p>
    <w:p w14:paraId="2152B94A" w14:textId="7A0CE499" w:rsidR="006211AB" w:rsidRDefault="00BA53BA" w:rsidP="00B153E7">
      <w:pPr>
        <w:pStyle w:val="BodyText"/>
      </w:pPr>
      <w:r>
        <w:t xml:space="preserve">Anglicare Tasmania recommends </w:t>
      </w:r>
      <w:r w:rsidR="00D76305">
        <w:t xml:space="preserve">implementing </w:t>
      </w:r>
      <w:r>
        <w:t xml:space="preserve">an evidence-based </w:t>
      </w:r>
      <w:r w:rsidR="0003276C">
        <w:t xml:space="preserve">public health </w:t>
      </w:r>
      <w:r>
        <w:t xml:space="preserve">approach to </w:t>
      </w:r>
      <w:r w:rsidR="0046616A">
        <w:t xml:space="preserve">illicit </w:t>
      </w:r>
      <w:r>
        <w:t xml:space="preserve">drug use that </w:t>
      </w:r>
      <w:r w:rsidR="00ED5501">
        <w:t>is effective in</w:t>
      </w:r>
      <w:r>
        <w:t xml:space="preserve"> </w:t>
      </w:r>
      <w:r w:rsidR="00ED5501">
        <w:t>reducing</w:t>
      </w:r>
      <w:r>
        <w:t xml:space="preserve"> harms to </w:t>
      </w:r>
      <w:r w:rsidR="00B153E7">
        <w:t>individuals, families and communities</w:t>
      </w:r>
      <w:r>
        <w:t xml:space="preserve"> and </w:t>
      </w:r>
      <w:r w:rsidR="00ED5501">
        <w:t xml:space="preserve">less </w:t>
      </w:r>
      <w:r w:rsidR="00EC5B15">
        <w:t xml:space="preserve">costly </w:t>
      </w:r>
      <w:r w:rsidR="00ED5501">
        <w:t>than the current approach</w:t>
      </w:r>
      <w:bookmarkStart w:id="2" w:name="_Hlk132709425"/>
      <w:r w:rsidR="00407EA5">
        <w:t xml:space="preserve"> by:</w:t>
      </w:r>
    </w:p>
    <w:p w14:paraId="7D9B0E6A" w14:textId="6535857F" w:rsidR="00924EEA" w:rsidRDefault="00924EEA">
      <w:pPr>
        <w:pStyle w:val="Bullets"/>
        <w:rPr>
          <w:rStyle w:val="Strong"/>
          <w:b w:val="0"/>
        </w:rPr>
      </w:pPr>
      <w:r>
        <w:rPr>
          <w:rStyle w:val="Strong"/>
          <w:color w:val="1598CB"/>
        </w:rPr>
        <w:t>Acting to address</w:t>
      </w:r>
      <w:r w:rsidRPr="002B141E">
        <w:rPr>
          <w:rStyle w:val="Strong"/>
          <w:color w:val="1598CB"/>
        </w:rPr>
        <w:t xml:space="preserve"> the</w:t>
      </w:r>
      <w:r>
        <w:rPr>
          <w:rStyle w:val="Strong"/>
          <w:color w:val="1598CB"/>
        </w:rPr>
        <w:t xml:space="preserve"> upstream factors </w:t>
      </w:r>
      <w:r w:rsidRPr="002B141E">
        <w:rPr>
          <w:rStyle w:val="Strong"/>
          <w:color w:val="1598CB"/>
        </w:rPr>
        <w:t>that predispose people to drug use disorders</w:t>
      </w:r>
      <w:r>
        <w:rPr>
          <w:rStyle w:val="Strong"/>
          <w:b w:val="0"/>
        </w:rPr>
        <w:t xml:space="preserve"> and recognising that access to the social determinants of health </w:t>
      </w:r>
      <w:r w:rsidR="00F72297">
        <w:rPr>
          <w:rStyle w:val="Strong"/>
          <w:b w:val="0"/>
        </w:rPr>
        <w:t>(</w:t>
      </w:r>
      <w:r>
        <w:rPr>
          <w:rStyle w:val="Strong"/>
          <w:b w:val="0"/>
        </w:rPr>
        <w:t>including housing, education, social supports, health care, income, employment, connected communities and nurturing childhood experiences</w:t>
      </w:r>
      <w:r w:rsidR="00F72297">
        <w:rPr>
          <w:rStyle w:val="Strong"/>
          <w:b w:val="0"/>
        </w:rPr>
        <w:t>)</w:t>
      </w:r>
      <w:r>
        <w:rPr>
          <w:rStyle w:val="Strong"/>
          <w:b w:val="0"/>
        </w:rPr>
        <w:t xml:space="preserve"> are critical to the success of any strategy to minimise harm from drugs.</w:t>
      </w:r>
    </w:p>
    <w:p w14:paraId="40850419" w14:textId="27FE383A" w:rsidR="00924EEA" w:rsidRDefault="00924EEA" w:rsidP="003D7E3E">
      <w:pPr>
        <w:pStyle w:val="Bullets"/>
      </w:pPr>
      <w:r>
        <w:rPr>
          <w:rStyle w:val="Strong"/>
          <w:color w:val="1598CB"/>
        </w:rPr>
        <w:t xml:space="preserve">Increasing access to treatment </w:t>
      </w:r>
      <w:r>
        <w:t xml:space="preserve">by building on existing evidence-based initiatives to </w:t>
      </w:r>
      <w:r w:rsidR="00B402F7">
        <w:t xml:space="preserve">significantly boost the availability of </w:t>
      </w:r>
      <w:r w:rsidRPr="00B402F7">
        <w:t>non-discriminatory, adequate, accessible and no</w:t>
      </w:r>
      <w:r>
        <w:t>n-stigmatising treatments and support services for those living with drug use, including:</w:t>
      </w:r>
    </w:p>
    <w:p w14:paraId="49FB1C35" w14:textId="514F342D" w:rsidR="00924EEA" w:rsidRDefault="00F72297" w:rsidP="00497414">
      <w:pPr>
        <w:pStyle w:val="Bullets"/>
        <w:numPr>
          <w:ilvl w:val="1"/>
          <w:numId w:val="64"/>
        </w:numPr>
      </w:pPr>
      <w:r>
        <w:t>m</w:t>
      </w:r>
      <w:r w:rsidR="00924EEA">
        <w:t>aking the needle and syringe program available in more locations</w:t>
      </w:r>
    </w:p>
    <w:p w14:paraId="4175F106" w14:textId="6691706C" w:rsidR="00924EEA" w:rsidRDefault="00F72297" w:rsidP="00497414">
      <w:pPr>
        <w:pStyle w:val="Bullets"/>
        <w:numPr>
          <w:ilvl w:val="1"/>
          <w:numId w:val="64"/>
        </w:numPr>
      </w:pPr>
      <w:r>
        <w:t>p</w:t>
      </w:r>
      <w:r w:rsidR="00924EEA">
        <w:t>roviding safe injecting rooms</w:t>
      </w:r>
    </w:p>
    <w:p w14:paraId="64AC4FDD" w14:textId="7492C369" w:rsidR="00924EEA" w:rsidRDefault="00F72297" w:rsidP="00497414">
      <w:pPr>
        <w:pStyle w:val="Bullets"/>
        <w:numPr>
          <w:ilvl w:val="1"/>
          <w:numId w:val="64"/>
        </w:numPr>
      </w:pPr>
      <w:r>
        <w:t>a</w:t>
      </w:r>
      <w:r w:rsidR="00924EEA">
        <w:t>ddressing the lack of access to health care through general practitioners</w:t>
      </w:r>
    </w:p>
    <w:p w14:paraId="4180C593" w14:textId="3D5F8DBA" w:rsidR="00924EEA" w:rsidRPr="0046616A" w:rsidRDefault="00F72297" w:rsidP="00497414">
      <w:pPr>
        <w:pStyle w:val="Bullets"/>
        <w:numPr>
          <w:ilvl w:val="1"/>
          <w:numId w:val="64"/>
        </w:numPr>
      </w:pPr>
      <w:r>
        <w:t>p</w:t>
      </w:r>
      <w:r w:rsidR="00924EEA">
        <w:t xml:space="preserve">roviding </w:t>
      </w:r>
      <w:r w:rsidR="00A82EA0">
        <w:t>bulk-billed</w:t>
      </w:r>
      <w:r w:rsidR="00924EEA">
        <w:t xml:space="preserve"> access to mental health programs for people at increased risk of drug use disorders</w:t>
      </w:r>
      <w:r w:rsidR="00A82EA0">
        <w:t>.</w:t>
      </w:r>
    </w:p>
    <w:p w14:paraId="04286EA6" w14:textId="561FCFCA" w:rsidR="00924EEA" w:rsidRDefault="00924EEA">
      <w:pPr>
        <w:pStyle w:val="Bullets"/>
      </w:pPr>
      <w:r w:rsidRPr="002B141E">
        <w:rPr>
          <w:rStyle w:val="Strong"/>
          <w:color w:val="1598CB"/>
        </w:rPr>
        <w:t>Re</w:t>
      </w:r>
      <w:r>
        <w:rPr>
          <w:rStyle w:val="Strong"/>
          <w:color w:val="1598CB"/>
        </w:rPr>
        <w:t>moving</w:t>
      </w:r>
      <w:r w:rsidRPr="002B141E">
        <w:rPr>
          <w:rStyle w:val="Strong"/>
          <w:color w:val="1598CB"/>
        </w:rPr>
        <w:t xml:space="preserve"> criminal sanctions</w:t>
      </w:r>
      <w:r>
        <w:t xml:space="preserve"> for possession and personal use of illicit drugs and replacing them with administrative </w:t>
      </w:r>
      <w:r w:rsidR="00A82EA0">
        <w:t xml:space="preserve">and civil </w:t>
      </w:r>
      <w:r>
        <w:t>sanctions</w:t>
      </w:r>
      <w:r w:rsidRPr="00BF7913">
        <w:t xml:space="preserve"> </w:t>
      </w:r>
      <w:r>
        <w:t xml:space="preserve">as well as </w:t>
      </w:r>
      <w:r w:rsidRPr="00ED18AF">
        <w:t>expung</w:t>
      </w:r>
      <w:r>
        <w:t xml:space="preserve">ing </w:t>
      </w:r>
      <w:r w:rsidRPr="00ED18AF">
        <w:t>historical convictions.</w:t>
      </w:r>
      <w:r>
        <w:t xml:space="preserve"> </w:t>
      </w:r>
    </w:p>
    <w:p w14:paraId="1E298C68" w14:textId="4D319D47" w:rsidR="00924EEA" w:rsidRDefault="00924EEA">
      <w:pPr>
        <w:pStyle w:val="Bullets"/>
      </w:pPr>
      <w:r w:rsidRPr="002B141E">
        <w:rPr>
          <w:rStyle w:val="Strong"/>
          <w:color w:val="1598CB"/>
        </w:rPr>
        <w:t>Introducing more equitable penalties</w:t>
      </w:r>
      <w:r>
        <w:t xml:space="preserve"> such as </w:t>
      </w:r>
      <w:r w:rsidRPr="00ED18AF">
        <w:t>means-tested penalties (“day fine</w:t>
      </w:r>
      <w:r w:rsidR="001101DE">
        <w:t>s</w:t>
      </w:r>
      <w:r w:rsidRPr="00ED18AF">
        <w:t xml:space="preserve">”) </w:t>
      </w:r>
      <w:r>
        <w:t>and</w:t>
      </w:r>
      <w:r w:rsidRPr="00ED18AF">
        <w:t xml:space="preserve"> Work and Development Orders</w:t>
      </w:r>
      <w:r>
        <w:t xml:space="preserve"> as well as making </w:t>
      </w:r>
      <w:r w:rsidRPr="00ED18AF">
        <w:t xml:space="preserve">greater use of cautions, </w:t>
      </w:r>
      <w:r>
        <w:t xml:space="preserve">deflection and </w:t>
      </w:r>
      <w:r w:rsidRPr="00ED18AF">
        <w:t xml:space="preserve">diversion, </w:t>
      </w:r>
      <w:r>
        <w:t xml:space="preserve">and </w:t>
      </w:r>
      <w:r w:rsidRPr="00ED18AF">
        <w:t>treatment orders</w:t>
      </w:r>
      <w:r>
        <w:t>.</w:t>
      </w:r>
    </w:p>
    <w:bookmarkEnd w:id="2"/>
    <w:p w14:paraId="3BAAB4F8" w14:textId="15A5ECF3" w:rsidR="00F37A0E" w:rsidRPr="00D447D5" w:rsidRDefault="00B153E7" w:rsidP="00D447D5">
      <w:pPr>
        <w:pStyle w:val="BodyText"/>
      </w:pPr>
      <w:r>
        <w:t xml:space="preserve">This position paper sets out </w:t>
      </w:r>
      <w:r w:rsidR="00D76305">
        <w:t xml:space="preserve">the </w:t>
      </w:r>
      <w:r>
        <w:t>evidence for the harms perpetuated by our present approach, and for a</w:t>
      </w:r>
      <w:r w:rsidR="006211AB">
        <w:t>n alternative that is</w:t>
      </w:r>
      <w:r>
        <w:t xml:space="preserve"> compassionate, respectful</w:t>
      </w:r>
      <w:r w:rsidR="006211AB">
        <w:t xml:space="preserve">, </w:t>
      </w:r>
      <w:r>
        <w:t>and just</w:t>
      </w:r>
      <w:r w:rsidR="006211AB">
        <w:t>.</w:t>
      </w:r>
      <w:r w:rsidR="00A15FC3">
        <w:t xml:space="preserve"> </w:t>
      </w:r>
      <w:r w:rsidR="00F37A0E">
        <w:br w:type="page"/>
      </w:r>
    </w:p>
    <w:p w14:paraId="1EED68C2" w14:textId="44723FFA" w:rsidR="00B153E7" w:rsidRDefault="00B153E7" w:rsidP="00A82EA0">
      <w:pPr>
        <w:pStyle w:val="Heading1"/>
      </w:pPr>
      <w:bookmarkStart w:id="3" w:name="_Toc136851449"/>
      <w:r>
        <w:t>The current approach</w:t>
      </w:r>
      <w:bookmarkEnd w:id="3"/>
      <w:r>
        <w:t xml:space="preserve"> </w:t>
      </w:r>
    </w:p>
    <w:p w14:paraId="14D8AC14" w14:textId="77777777" w:rsidR="00720DB6" w:rsidRDefault="00720DB6" w:rsidP="00720DB6">
      <w:pPr>
        <w:pStyle w:val="BodyText"/>
      </w:pPr>
      <w:r w:rsidRPr="00F94B4D">
        <w:rPr>
          <w:b/>
        </w:rPr>
        <w:t>The current approach does not adequately minimise harms to individuals, families and communities</w:t>
      </w:r>
      <w:r w:rsidR="00F94B4D">
        <w:rPr>
          <w:b/>
        </w:rPr>
        <w:t>,</w:t>
      </w:r>
      <w:r>
        <w:rPr>
          <w:b/>
        </w:rPr>
        <w:t xml:space="preserve"> and is costly</w:t>
      </w:r>
      <w:r>
        <w:t xml:space="preserve">. </w:t>
      </w:r>
    </w:p>
    <w:p w14:paraId="574E2753" w14:textId="036B867D" w:rsidR="00EC5B15" w:rsidRDefault="00B153E7" w:rsidP="00F14F8F">
      <w:pPr>
        <w:pStyle w:val="BodyText"/>
      </w:pPr>
      <w:r>
        <w:t xml:space="preserve">The aim of Tasmania’s present strategy is to </w:t>
      </w:r>
      <w:r w:rsidRPr="007E74D7">
        <w:t xml:space="preserve">prevent and reduce the health, economic and social costs and harmful effects of </w:t>
      </w:r>
      <w:r w:rsidR="00396E19">
        <w:t>drug</w:t>
      </w:r>
      <w:r w:rsidRPr="007E74D7">
        <w:t xml:space="preserve"> use in Tasmania</w:t>
      </w:r>
      <w:r w:rsidR="005A21BA">
        <w:t xml:space="preserve"> </w:t>
      </w:r>
      <w:r w:rsidR="005A21BA">
        <w:fldChar w:fldCharType="begin"/>
      </w:r>
      <w:r w:rsidR="00956746">
        <w:instrText xml:space="preserve"> ADDIN EN.CITE &lt;EndNote&gt;&lt;Cite&gt;&lt;Author&gt;Department of Health&lt;/Author&gt;&lt;Year&gt;2019&lt;/Year&gt;&lt;RecNum&gt;43&lt;/RecNum&gt;&lt;DisplayText&gt;[2]&lt;/DisplayText&gt;&lt;record&gt;&lt;rec-number&gt;43&lt;/rec-number&gt;&lt;foreign-keys&gt;&lt;key app="EN" db-id="5fz2fzfzg2w2x4efdz3xprvlzezfdv2spstv" timestamp="1678056144"&gt;43&lt;/key&gt;&lt;/foreign-keys&gt;&lt;ref-type name="Report"&gt;27&lt;/ref-type&gt;&lt;contributors&gt;&lt;authors&gt;&lt;author&gt;Department of Health,&lt;/author&gt;&lt;/authors&gt;&lt;/contributors&gt;&lt;titles&gt;&lt;title&gt;Tasmania Drug Strategy 2013-2018 Report on Activities&lt;/title&gt;&lt;/titles&gt;&lt;dates&gt;&lt;year&gt;2019&lt;/year&gt;&lt;/dates&gt;&lt;pub-location&gt;Hobart, TAS&lt;/pub-location&gt;&lt;publisher&gt;Mental Health, Alcohol and Drug Directorate, Department of Health, Government of Tasmania&lt;/publisher&gt;&lt;urls&gt;&lt;related-urls&gt;&lt;url&gt;http://drugstrategy.dhhs.tas.gov.au/__data/assets/pdf_file/0020/403742/Tasmanian_Drug_Strategy_2013-2018_Report_on_Activities.pdf&lt;/url&gt;&lt;/related-urls&gt;&lt;/urls&gt;&lt;/record&gt;&lt;/Cite&gt;&lt;/EndNote&gt;</w:instrText>
      </w:r>
      <w:r w:rsidR="005A21BA">
        <w:fldChar w:fldCharType="separate"/>
      </w:r>
      <w:r w:rsidR="00956746">
        <w:rPr>
          <w:noProof/>
        </w:rPr>
        <w:t>[2]</w:t>
      </w:r>
      <w:r w:rsidR="005A21BA">
        <w:fldChar w:fldCharType="end"/>
      </w:r>
      <w:r>
        <w:t xml:space="preserve">. This harm-minimisation approach considers the systems that may be involved in problematic drug use and the need for cross-agency responses </w:t>
      </w:r>
      <w:r>
        <w:fldChar w:fldCharType="begin"/>
      </w:r>
      <w:r w:rsidR="00956746">
        <w:instrText xml:space="preserve"> ADDIN EN.CITE &lt;EndNote&gt;&lt;Cite&gt;&lt;Author&gt;Department of Health&lt;/Author&gt;&lt;Year&gt;2021&lt;/Year&gt;&lt;RecNum&gt;76&lt;/RecNum&gt;&lt;DisplayText&gt;[3]&lt;/DisplayText&gt;&lt;record&gt;&lt;rec-number&gt;76&lt;/rec-number&gt;&lt;foreign-keys&gt;&lt;key app="EN" db-id="5fz2fzfzg2w2x4efdz3xprvlzezfdv2spstv" timestamp="1678336682"&gt;76&lt;/key&gt;&lt;/foreign-keys&gt;&lt;ref-type name="Generic"&gt;13&lt;/ref-type&gt;&lt;contributors&gt;&lt;authors&gt;&lt;author&gt;Department of Health,&lt;/author&gt;&lt;/authors&gt;&lt;/contributors&gt;&lt;titles&gt;&lt;title&gt;Tasmanian Drug Strategy 2021-2027 Summary Paper&lt;/title&gt;&lt;/titles&gt;&lt;dates&gt;&lt;year&gt;2021&lt;/year&gt;&lt;/dates&gt;&lt;pub-location&gt;Hobart, TAS&lt;/pub-location&gt;&lt;publisher&gt;Department of Health, Government of Tasmania&lt;/publisher&gt;&lt;urls&gt;&lt;/urls&gt;&lt;/record&gt;&lt;/Cite&gt;&lt;/EndNote&gt;</w:instrText>
      </w:r>
      <w:r>
        <w:fldChar w:fldCharType="separate"/>
      </w:r>
      <w:r w:rsidR="00956746">
        <w:rPr>
          <w:noProof/>
        </w:rPr>
        <w:t>[3]</w:t>
      </w:r>
      <w:r>
        <w:fldChar w:fldCharType="end"/>
      </w:r>
      <w:r>
        <w:t xml:space="preserve">. </w:t>
      </w:r>
    </w:p>
    <w:p w14:paraId="6C476D7F" w14:textId="324E22DA" w:rsidR="006B7A1C" w:rsidRDefault="00447AF5" w:rsidP="00F14F8F">
      <w:pPr>
        <w:pStyle w:val="BodyText"/>
      </w:pPr>
      <w:r>
        <w:t xml:space="preserve">While many aspects (e.g., Court Mandated </w:t>
      </w:r>
      <w:r w:rsidR="007C4788">
        <w:t xml:space="preserve">Diversion, Diversion Treatment Orders) of </w:t>
      </w:r>
      <w:r w:rsidR="00515F2E">
        <w:t xml:space="preserve">Tasmania’s </w:t>
      </w:r>
      <w:r w:rsidR="007C4788">
        <w:t xml:space="preserve">approach are </w:t>
      </w:r>
      <w:r w:rsidRPr="00F62CB1">
        <w:rPr>
          <w:b/>
          <w:bCs/>
          <w:color w:val="31849B" w:themeColor="accent5" w:themeShade="BF"/>
        </w:rPr>
        <w:t xml:space="preserve">de facto </w:t>
      </w:r>
      <w:r w:rsidR="007C4788">
        <w:t xml:space="preserve">decriminalisation, the criminalisation of </w:t>
      </w:r>
      <w:r w:rsidR="00B153E7">
        <w:t>possession</w:t>
      </w:r>
      <w:r w:rsidR="007C4788">
        <w:t xml:space="preserve"> and personal</w:t>
      </w:r>
      <w:r w:rsidR="00B153E7">
        <w:t xml:space="preserve"> use </w:t>
      </w:r>
      <w:r w:rsidR="007C4788">
        <w:t>of illicit drugs undermines efforts at harm minimisation</w:t>
      </w:r>
      <w:r w:rsidR="00F94B4D">
        <w:t xml:space="preserve"> </w:t>
      </w:r>
      <w:r w:rsidR="00B52828">
        <w:fldChar w:fldCharType="begin"/>
      </w:r>
      <w:r w:rsidR="00956746">
        <w:instrText xml:space="preserve"> ADDIN EN.CITE &lt;EndNote&gt;&lt;Cite&gt;&lt;RecNum&gt;135&lt;/RecNum&gt;&lt;DisplayText&gt;[4]&lt;/DisplayText&gt;&lt;record&gt;&lt;rec-number&gt;135&lt;/rec-number&gt;&lt;foreign-keys&gt;&lt;key app="EN" db-id="5fz2fzfzg2w2x4efdz3xprvlzezfdv2spstv" timestamp="1679006338"&gt;135&lt;/key&gt;&lt;/foreign-keys&gt;&lt;ref-type name="Web Page"&gt;12&lt;/ref-type&gt;&lt;contributors&gt;&lt;secondary-authors&gt;&lt;author&gt;(TAS)&lt;/author&gt;&lt;/secondary-authors&gt;&lt;/contributors&gt;&lt;titles&gt;&lt;title&gt;Misuse of Drugs Act 2001 (TAS)&lt;/title&gt;&lt;/titles&gt;&lt;dates&gt;&lt;/dates&gt;&lt;urls&gt;&lt;related-urls&gt;&lt;url&gt;https://www.legislation.tas.gov.au/view/whole/pdf/authorised/2021-07-01%202021-07-15/act-2001-094&lt;/url&gt;&lt;/related-urls&gt;&lt;/urls&gt;&lt;/record&gt;&lt;/Cite&gt;&lt;/EndNote&gt;</w:instrText>
      </w:r>
      <w:r w:rsidR="00B52828">
        <w:fldChar w:fldCharType="separate"/>
      </w:r>
      <w:r w:rsidR="00956746">
        <w:rPr>
          <w:noProof/>
        </w:rPr>
        <w:t>[4]</w:t>
      </w:r>
      <w:r w:rsidR="00B52828">
        <w:fldChar w:fldCharType="end"/>
      </w:r>
      <w:r w:rsidR="00B153E7">
        <w:t xml:space="preserve">. </w:t>
      </w:r>
    </w:p>
    <w:p w14:paraId="0B4092E2" w14:textId="4516B100" w:rsidR="00B153E7" w:rsidRDefault="00300933" w:rsidP="00F14F8F">
      <w:pPr>
        <w:pStyle w:val="BodyText"/>
      </w:pPr>
      <w:r>
        <w:t xml:space="preserve">Criminalisation of possession and use is </w:t>
      </w:r>
      <w:r w:rsidR="00BE30E7">
        <w:t xml:space="preserve">costly </w:t>
      </w:r>
      <w:r w:rsidR="002160CA">
        <w:fldChar w:fldCharType="begin"/>
      </w:r>
      <w:r w:rsidR="00956746">
        <w:instrText xml:space="preserve"> ADDIN EN.CITE &lt;EndNote&gt;&lt;Cite&gt;&lt;Author&gt;Bartl&lt;/Author&gt;&lt;Year&gt;2022&lt;/Year&gt;&lt;RecNum&gt;25&lt;/RecNum&gt;&lt;DisplayText&gt;[5]&lt;/DisplayText&gt;&lt;record&gt;&lt;rec-number&gt;25&lt;/rec-number&gt;&lt;foreign-keys&gt;&lt;key app="EN" db-id="5fz2fzfzg2w2x4efdz3xprvlzezfdv2spstv" timestamp="1676606833"&gt;25&lt;/key&gt;&lt;/foreign-keys&gt;&lt;ref-type name="Report"&gt;27&lt;/ref-type&gt;&lt;contributors&gt;&lt;authors&gt;&lt;author&gt;Bartl, Benedict&lt;/author&gt;&lt;/authors&gt;&lt;/contributors&gt;&lt;titles&gt;&lt;title&gt;The case for a health focused response to drug use in Tasmania&amp;apos;s legal system&lt;/title&gt;&lt;/titles&gt;&lt;edition&gt;Revised&lt;/edition&gt;&lt;dates&gt;&lt;year&gt;2022&lt;/year&gt;&lt;/dates&gt;&lt;pub-location&gt;Hobart, TAS&lt;/pub-location&gt;&lt;publisher&gt;Community Legal Centres Tasmania&lt;/publisher&gt;&lt;urls&gt;&lt;/urls&gt;&lt;/record&gt;&lt;/Cite&gt;&lt;/EndNote&gt;</w:instrText>
      </w:r>
      <w:r w:rsidR="002160CA">
        <w:fldChar w:fldCharType="separate"/>
      </w:r>
      <w:r w:rsidR="00956746">
        <w:rPr>
          <w:noProof/>
        </w:rPr>
        <w:t>[5]</w:t>
      </w:r>
      <w:r w:rsidR="002160CA">
        <w:fldChar w:fldCharType="end"/>
      </w:r>
      <w:r w:rsidR="00BE30E7">
        <w:t xml:space="preserve">. </w:t>
      </w:r>
      <w:r w:rsidR="00A958AA">
        <w:t>It</w:t>
      </w:r>
      <w:r w:rsidR="00BE30E7">
        <w:t xml:space="preserve"> </w:t>
      </w:r>
      <w:r w:rsidR="008A2676">
        <w:t>underpins stigma and marginalisation</w:t>
      </w:r>
      <w:r w:rsidR="00A958AA">
        <w:t xml:space="preserve">, </w:t>
      </w:r>
      <w:r w:rsidR="00BE30E7">
        <w:t>increas</w:t>
      </w:r>
      <w:r w:rsidR="00A958AA">
        <w:t>ing</w:t>
      </w:r>
      <w:r w:rsidR="00BE30E7">
        <w:t xml:space="preserve"> the harms from drug use, damag</w:t>
      </w:r>
      <w:r w:rsidR="00A958AA">
        <w:t>ing</w:t>
      </w:r>
      <w:r w:rsidR="00BE30E7">
        <w:t xml:space="preserve"> </w:t>
      </w:r>
      <w:r>
        <w:t xml:space="preserve">the lives of individuals and their families, </w:t>
      </w:r>
      <w:r w:rsidR="00A958AA">
        <w:t xml:space="preserve">and </w:t>
      </w:r>
      <w:r>
        <w:t xml:space="preserve">creating barriers to a healthier Tasmania. </w:t>
      </w:r>
    </w:p>
    <w:p w14:paraId="5A69F3DE" w14:textId="77777777" w:rsidR="00D13C30" w:rsidRDefault="007A2234" w:rsidP="007A2234">
      <w:pPr>
        <w:pStyle w:val="BodyText"/>
        <w:spacing w:after="1080"/>
      </w:pPr>
      <w:r w:rsidRPr="00D447D5">
        <w:rPr>
          <w:noProof/>
        </w:rPr>
        <w:drawing>
          <wp:anchor distT="0" distB="0" distL="114300" distR="114300" simplePos="0" relativeHeight="251969536" behindDoc="0" locked="0" layoutInCell="1" allowOverlap="1" wp14:anchorId="27A3209E" wp14:editId="4CCC5E25">
            <wp:simplePos x="0" y="0"/>
            <wp:positionH relativeFrom="margin">
              <wp:align>left</wp:align>
            </wp:positionH>
            <wp:positionV relativeFrom="paragraph">
              <wp:posOffset>903974</wp:posOffset>
            </wp:positionV>
            <wp:extent cx="6113145" cy="4493895"/>
            <wp:effectExtent l="0" t="0" r="1905" b="1905"/>
            <wp:wrapTopAndBottom/>
            <wp:docPr id="2" name="Picture 2" descr="Break out text box with icons and the following text&#10;The Social Determinants of Health&#10;The social determinants of health as the conditions in which we are born, we grow, and age, and in which we live and work. These determinants are also called upstream factors. They impact upon our health and wellbeing and have been identified as childhood experiences, housing, education, social supports, family income and socioeconomic status, meaningful employment, community and connectedness and access to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16139" cy="4496104"/>
                    </a:xfrm>
                    <a:prstGeom prst="rect">
                      <a:avLst/>
                    </a:prstGeom>
                  </pic:spPr>
                </pic:pic>
              </a:graphicData>
            </a:graphic>
            <wp14:sizeRelH relativeFrom="margin">
              <wp14:pctWidth>0</wp14:pctWidth>
            </wp14:sizeRelH>
            <wp14:sizeRelV relativeFrom="margin">
              <wp14:pctHeight>0</wp14:pctHeight>
            </wp14:sizeRelV>
          </wp:anchor>
        </w:drawing>
      </w:r>
      <w:r w:rsidR="006E30CB">
        <w:t>Criminalisation also compounds rather than improves</w:t>
      </w:r>
      <w:r w:rsidR="00C75548">
        <w:t xml:space="preserve"> the </w:t>
      </w:r>
      <w:r w:rsidR="00C75548" w:rsidRPr="00B8000A">
        <w:rPr>
          <w:b/>
          <w:color w:val="31849B" w:themeColor="accent5" w:themeShade="BF"/>
        </w:rPr>
        <w:t>upstream</w:t>
      </w:r>
      <w:r w:rsidR="00C75548" w:rsidRPr="00B8000A">
        <w:rPr>
          <w:color w:val="31849B" w:themeColor="accent5" w:themeShade="BF"/>
        </w:rPr>
        <w:t xml:space="preserve"> </w:t>
      </w:r>
      <w:r w:rsidR="00C75548">
        <w:t xml:space="preserve">factors, including the </w:t>
      </w:r>
      <w:r w:rsidR="00C75548" w:rsidRPr="00B8000A">
        <w:rPr>
          <w:b/>
          <w:color w:val="31849B" w:themeColor="accent5" w:themeShade="BF"/>
        </w:rPr>
        <w:t>social determinants of health</w:t>
      </w:r>
      <w:r w:rsidR="00C75548">
        <w:t>, that play a major role</w:t>
      </w:r>
      <w:r w:rsidR="006E30CB">
        <w:t xml:space="preserve"> in perpetuating </w:t>
      </w:r>
      <w:r w:rsidR="00BE325E">
        <w:t>the harms from drug use.</w:t>
      </w:r>
    </w:p>
    <w:p w14:paraId="55C2FFE4" w14:textId="77777777" w:rsidR="00D13C30" w:rsidRDefault="00D13C30">
      <w:pPr>
        <w:spacing w:before="0" w:after="0"/>
        <w:rPr>
          <w:szCs w:val="24"/>
        </w:rPr>
      </w:pPr>
      <w:r>
        <w:br w:type="page"/>
      </w:r>
    </w:p>
    <w:p w14:paraId="07E7F05A" w14:textId="2747F55D" w:rsidR="00610EBA" w:rsidRPr="00EC5B15" w:rsidRDefault="00610EBA" w:rsidP="006D1DB3">
      <w:pPr>
        <w:pStyle w:val="Heading2"/>
      </w:pPr>
      <w:bookmarkStart w:id="4" w:name="_Toc136851450"/>
      <w:r w:rsidRPr="00EC5B15">
        <w:t>Harms from drug use</w:t>
      </w:r>
      <w:bookmarkEnd w:id="4"/>
    </w:p>
    <w:p w14:paraId="67FC6DA8" w14:textId="77777777" w:rsidR="00722E00" w:rsidRPr="00080523" w:rsidRDefault="00722E00" w:rsidP="006D1DB3">
      <w:pPr>
        <w:pStyle w:val="BodyText"/>
        <w:spacing w:before="0" w:after="0"/>
        <w:rPr>
          <w:rStyle w:val="Emphasis"/>
          <w:b/>
          <w:bCs/>
          <w:i w:val="0"/>
        </w:rPr>
      </w:pPr>
      <w:r w:rsidRPr="00080523">
        <w:rPr>
          <w:rStyle w:val="Emphasis"/>
          <w:b/>
          <w:i w:val="0"/>
        </w:rPr>
        <w:t>Harms are physical, psychological and social, and the ripples touch everyone.</w:t>
      </w:r>
      <w:r>
        <w:rPr>
          <w:rStyle w:val="Emphasis"/>
          <w:b/>
          <w:i w:val="0"/>
        </w:rPr>
        <w:t xml:space="preserve"> </w:t>
      </w:r>
      <w:r>
        <w:rPr>
          <w:rStyle w:val="Emphasis"/>
          <w:i w:val="0"/>
        </w:rPr>
        <w:t>They are summarised in Table 1.</w:t>
      </w:r>
    </w:p>
    <w:p w14:paraId="5A07B260" w14:textId="77777777" w:rsidR="00E95DAA" w:rsidRPr="007C6AF1" w:rsidRDefault="00E95DAA" w:rsidP="006D1DB3">
      <w:pPr>
        <w:pStyle w:val="Captions"/>
        <w:spacing w:before="120"/>
        <w:rPr>
          <w:rStyle w:val="Emphasis"/>
          <w:b w:val="0"/>
          <w:bCs w:val="0"/>
          <w:iCs w:val="0"/>
        </w:rPr>
      </w:pPr>
      <w:r w:rsidRPr="007C6AF1">
        <w:rPr>
          <w:rStyle w:val="Emphasis"/>
          <w:i/>
          <w:iCs w:val="0"/>
        </w:rPr>
        <w:t xml:space="preserve">Table 1: </w:t>
      </w:r>
      <w:r w:rsidR="005F264C" w:rsidRPr="007C6AF1">
        <w:rPr>
          <w:rStyle w:val="Emphasis"/>
          <w:i/>
          <w:iCs w:val="0"/>
        </w:rPr>
        <w:t>A categorisation of harms from drug use</w:t>
      </w:r>
    </w:p>
    <w:tbl>
      <w:tblPr>
        <w:tblStyle w:val="TableGrid"/>
        <w:tblW w:w="51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 categorisation of harms from drug use"/>
        <w:tblDescription w:val="This table summarises physical, psychological and social harms to  individuals using illicit drugs, their families and friends and the broader community. Physical harms to individuals. &#10;Drug overdose (fatal or non-fatal)&#10;Drug-related comorbidities impacting health, including:&#10;• HIV, Hep C  &#10;• liver damage, cancer &#10;• IV site infections/damage&#10;• accidents and injuries&#10;• impaired cognitive function&#10;Physical harms to family and friends &#10;Elevated risk of family violence&#10;Infection.&#10;Physical harms to the community&#10;Unsafe environments due to:&#10;• discarded sharps&#10;• risky or aggressive drug-related behaviours&#10;Personal and property damage due to drug related crime, including road trauma&#10;Psychological harms to individuals. &#10;Drug dependence &#10;Impaired cognitive function&#10;Anxiety and depression associated with: &#10;• drug use &#10;• interactions with the criminal justice system&#10;Stigma and taking on a stigmatised identity&#10;Moral injury from perpetrating acts that transgress deeply held moral beliefs and expectations&#10;Psychological harms to family and friends &#10;Anxiety about the welfare of the drug user&#10;Anxiety about interaction with the criminal justice system&#10;Vicarious stigma &#10;Moral injury from failing to prevent, bearing witness to, or learning about acts that transgress deeply held moral beliefs and expectations&#10;Psychological harms to the community&#10;Moral injury from failing to prevent, bearing witness to, or learning about acts that transgress deeply held moral beliefs and expectations&#10;Social harms to individuals. &#10;Loss of primary relationships (e.g., partner, children, parent)&#10;Criminal convictions, and incarceration&#10;Increased likelihood of future criminal behaviour&#10;Loss of work and economic resources &#10;Insecure housing or homelessness&#10;Stigma and marginalisation from:&#10;• services (e.g., health)&#10;community [6, 7]&#10;Social harms to family and friends &#10;Time lost to and emotional load of attending to drug user’s health &#10;Disrupted or lost primary relationships &#10;Impacts on family cohesion, household income and child development&#10;Insecure housing or homelessness&#10;Vicarious stigma and marginalisation from services (e.g., health and education)&#10;Vicarious stigma and marginalisation from community &#10;Social harms to the community&#10;Economic costs due to:&#10;• disability and death of persons using drugs &#10;• reduced engagement in workforce &#10;• welfare and health care costs&#10;• criminal justice system costs (enforcements, courts, incarceration)&#10;Intergenerational trauma&#10;Intergenerational perpetuation of marginalisation and disadvantage&#10;"/>
      </w:tblPr>
      <w:tblGrid>
        <w:gridCol w:w="1602"/>
        <w:gridCol w:w="2754"/>
        <w:gridCol w:w="2875"/>
        <w:gridCol w:w="2409"/>
      </w:tblGrid>
      <w:tr w:rsidR="00A65F3A" w:rsidRPr="001F5361" w14:paraId="730F487E" w14:textId="77777777" w:rsidTr="00080523">
        <w:tc>
          <w:tcPr>
            <w:tcW w:w="0" w:type="auto"/>
            <w:tcBorders>
              <w:top w:val="single" w:sz="4" w:space="0" w:color="auto"/>
              <w:bottom w:val="single" w:sz="4" w:space="0" w:color="auto"/>
            </w:tcBorders>
            <w:shd w:val="clear" w:color="auto" w:fill="E6E3D9"/>
          </w:tcPr>
          <w:p w14:paraId="7452FFBD" w14:textId="77777777" w:rsidR="00A65F3A" w:rsidRPr="00080523" w:rsidRDefault="00A65F3A" w:rsidP="00080523">
            <w:pPr>
              <w:pStyle w:val="BodyText"/>
              <w:spacing w:before="60" w:after="60"/>
              <w:jc w:val="center"/>
              <w:rPr>
                <w:b/>
                <w:sz w:val="20"/>
                <w:szCs w:val="20"/>
              </w:rPr>
            </w:pPr>
            <w:r w:rsidRPr="00080523">
              <w:rPr>
                <w:b/>
                <w:sz w:val="20"/>
                <w:szCs w:val="20"/>
              </w:rPr>
              <w:t>Harms</w:t>
            </w:r>
          </w:p>
        </w:tc>
        <w:tc>
          <w:tcPr>
            <w:tcW w:w="2754" w:type="dxa"/>
            <w:tcBorders>
              <w:top w:val="single" w:sz="4" w:space="0" w:color="auto"/>
              <w:bottom w:val="single" w:sz="4" w:space="0" w:color="auto"/>
            </w:tcBorders>
            <w:shd w:val="clear" w:color="auto" w:fill="E6E3D9"/>
          </w:tcPr>
          <w:p w14:paraId="2F29E0F5" w14:textId="77777777" w:rsidR="00A65F3A" w:rsidRPr="00080523" w:rsidRDefault="00A65F3A" w:rsidP="00080523">
            <w:pPr>
              <w:pStyle w:val="BodyText"/>
              <w:spacing w:before="60" w:after="60"/>
              <w:jc w:val="center"/>
              <w:rPr>
                <w:b/>
                <w:sz w:val="20"/>
                <w:szCs w:val="20"/>
              </w:rPr>
            </w:pPr>
            <w:r w:rsidRPr="00080523">
              <w:rPr>
                <w:b/>
                <w:sz w:val="20"/>
                <w:szCs w:val="20"/>
              </w:rPr>
              <w:t xml:space="preserve">Individuals </w:t>
            </w:r>
          </w:p>
        </w:tc>
        <w:tc>
          <w:tcPr>
            <w:tcW w:w="2875" w:type="dxa"/>
            <w:tcBorders>
              <w:top w:val="single" w:sz="4" w:space="0" w:color="auto"/>
              <w:bottom w:val="single" w:sz="4" w:space="0" w:color="auto"/>
            </w:tcBorders>
            <w:shd w:val="clear" w:color="auto" w:fill="E6E3D9"/>
          </w:tcPr>
          <w:p w14:paraId="74A7F509" w14:textId="77777777" w:rsidR="00A65F3A" w:rsidRPr="00080523" w:rsidRDefault="00A65F3A" w:rsidP="00080523">
            <w:pPr>
              <w:pStyle w:val="BodyText"/>
              <w:spacing w:before="60" w:after="60"/>
              <w:jc w:val="center"/>
              <w:rPr>
                <w:b/>
                <w:sz w:val="20"/>
                <w:szCs w:val="20"/>
              </w:rPr>
            </w:pPr>
            <w:r w:rsidRPr="00080523">
              <w:rPr>
                <w:b/>
                <w:sz w:val="20"/>
                <w:szCs w:val="20"/>
              </w:rPr>
              <w:t xml:space="preserve">Families and friends </w:t>
            </w:r>
          </w:p>
        </w:tc>
        <w:tc>
          <w:tcPr>
            <w:tcW w:w="2409" w:type="dxa"/>
            <w:tcBorders>
              <w:top w:val="single" w:sz="4" w:space="0" w:color="auto"/>
              <w:bottom w:val="single" w:sz="4" w:space="0" w:color="auto"/>
            </w:tcBorders>
            <w:shd w:val="clear" w:color="auto" w:fill="E6E3D9"/>
          </w:tcPr>
          <w:p w14:paraId="6A7058E5" w14:textId="77777777" w:rsidR="00A65F3A" w:rsidRPr="00080523" w:rsidRDefault="00A65F3A" w:rsidP="00080523">
            <w:pPr>
              <w:pStyle w:val="BodyText"/>
              <w:spacing w:before="60" w:after="60"/>
              <w:jc w:val="center"/>
              <w:rPr>
                <w:b/>
                <w:sz w:val="20"/>
                <w:szCs w:val="20"/>
              </w:rPr>
            </w:pPr>
            <w:r w:rsidRPr="00080523">
              <w:rPr>
                <w:b/>
                <w:sz w:val="20"/>
                <w:szCs w:val="20"/>
              </w:rPr>
              <w:t>The community</w:t>
            </w:r>
          </w:p>
        </w:tc>
      </w:tr>
      <w:tr w:rsidR="007A2A7B" w:rsidRPr="00B8000A" w14:paraId="3277D3A9" w14:textId="77777777" w:rsidTr="007A2A7B">
        <w:trPr>
          <w:trHeight w:val="2287"/>
        </w:trPr>
        <w:tc>
          <w:tcPr>
            <w:tcW w:w="1601" w:type="dxa"/>
            <w:tcBorders>
              <w:top w:val="single" w:sz="4" w:space="0" w:color="auto"/>
              <w:bottom w:val="single" w:sz="4" w:space="0" w:color="auto"/>
            </w:tcBorders>
            <w:shd w:val="clear" w:color="auto" w:fill="auto"/>
          </w:tcPr>
          <w:p w14:paraId="2C5CFAEB" w14:textId="77777777" w:rsidR="00A65F3A" w:rsidRPr="007C641A" w:rsidRDefault="00A65F3A" w:rsidP="00080523">
            <w:pPr>
              <w:pStyle w:val="TitleinText"/>
              <w:spacing w:before="60" w:after="60"/>
            </w:pPr>
            <w:r w:rsidRPr="007C641A">
              <w:t>Physical</w:t>
            </w:r>
          </w:p>
          <w:p w14:paraId="0612C7A4" w14:textId="77777777" w:rsidR="00A65F3A" w:rsidRPr="007C641A" w:rsidRDefault="00A65F3A" w:rsidP="00080523">
            <w:pPr>
              <w:pStyle w:val="TitleinText"/>
              <w:spacing w:before="60" w:after="60"/>
            </w:pPr>
          </w:p>
          <w:p w14:paraId="19818FE2" w14:textId="77777777" w:rsidR="00A65F3A" w:rsidRPr="007C641A" w:rsidRDefault="00A65F3A" w:rsidP="00080523">
            <w:pPr>
              <w:pStyle w:val="TitleinText"/>
              <w:spacing w:before="60" w:after="60"/>
            </w:pPr>
          </w:p>
        </w:tc>
        <w:tc>
          <w:tcPr>
            <w:tcW w:w="2754" w:type="dxa"/>
            <w:tcBorders>
              <w:top w:val="single" w:sz="4" w:space="0" w:color="auto"/>
              <w:bottom w:val="single" w:sz="4" w:space="0" w:color="auto"/>
            </w:tcBorders>
          </w:tcPr>
          <w:p w14:paraId="1A799883" w14:textId="77777777" w:rsidR="00A65F3A" w:rsidRPr="007C641A" w:rsidRDefault="00A65F3A" w:rsidP="00080523">
            <w:pPr>
              <w:pStyle w:val="BodyText"/>
              <w:spacing w:before="60" w:after="60"/>
              <w:rPr>
                <w:sz w:val="20"/>
                <w:szCs w:val="20"/>
              </w:rPr>
            </w:pPr>
            <w:bookmarkStart w:id="5" w:name="_Hlk133836984"/>
            <w:r w:rsidRPr="007C641A">
              <w:rPr>
                <w:sz w:val="20"/>
                <w:szCs w:val="20"/>
              </w:rPr>
              <w:t>Drug overdose (fatal or non-fatal)</w:t>
            </w:r>
          </w:p>
          <w:p w14:paraId="45DC9109" w14:textId="77777777" w:rsidR="00A65F3A" w:rsidRPr="007C641A" w:rsidRDefault="00A65F3A" w:rsidP="00080523">
            <w:pPr>
              <w:pStyle w:val="BodyText"/>
              <w:spacing w:before="60" w:after="60"/>
              <w:contextualSpacing/>
              <w:rPr>
                <w:sz w:val="20"/>
                <w:szCs w:val="20"/>
              </w:rPr>
            </w:pPr>
            <w:r w:rsidRPr="007C641A">
              <w:rPr>
                <w:sz w:val="20"/>
                <w:szCs w:val="20"/>
              </w:rPr>
              <w:t xml:space="preserve">Drug-related </w:t>
            </w:r>
            <w:r w:rsidRPr="00080523">
              <w:rPr>
                <w:b/>
                <w:color w:val="31849B" w:themeColor="accent5" w:themeShade="BF"/>
                <w:sz w:val="20"/>
                <w:szCs w:val="20"/>
              </w:rPr>
              <w:t>comorbidities</w:t>
            </w:r>
            <w:r w:rsidRPr="00080523">
              <w:rPr>
                <w:color w:val="31849B" w:themeColor="accent5" w:themeShade="BF"/>
                <w:sz w:val="20"/>
                <w:szCs w:val="20"/>
              </w:rPr>
              <w:t xml:space="preserve"> </w:t>
            </w:r>
            <w:r w:rsidRPr="007C641A">
              <w:rPr>
                <w:sz w:val="20"/>
                <w:szCs w:val="20"/>
              </w:rPr>
              <w:t>impacting health, including</w:t>
            </w:r>
            <w:r>
              <w:rPr>
                <w:sz w:val="20"/>
                <w:szCs w:val="20"/>
              </w:rPr>
              <w:t>:</w:t>
            </w:r>
          </w:p>
          <w:p w14:paraId="39B4EFFE" w14:textId="56FD9D63" w:rsidR="00A65F3A" w:rsidRDefault="00A65F3A" w:rsidP="00080523">
            <w:pPr>
              <w:pStyle w:val="BodyText"/>
              <w:numPr>
                <w:ilvl w:val="0"/>
                <w:numId w:val="30"/>
              </w:numPr>
              <w:spacing w:before="60" w:after="60"/>
              <w:contextualSpacing/>
              <w:rPr>
                <w:sz w:val="20"/>
                <w:szCs w:val="20"/>
              </w:rPr>
            </w:pPr>
            <w:r w:rsidRPr="00E765D0">
              <w:rPr>
                <w:sz w:val="20"/>
                <w:szCs w:val="20"/>
              </w:rPr>
              <w:t>HIV, Hep C</w:t>
            </w:r>
            <w:r w:rsidR="00F603E6">
              <w:rPr>
                <w:sz w:val="20"/>
                <w:szCs w:val="20"/>
              </w:rPr>
              <w:t xml:space="preserve"> </w:t>
            </w:r>
          </w:p>
          <w:p w14:paraId="6D67C86D" w14:textId="77777777" w:rsidR="00A65F3A" w:rsidRPr="00E765D0" w:rsidRDefault="00A65F3A" w:rsidP="00080523">
            <w:pPr>
              <w:pStyle w:val="BodyText"/>
              <w:numPr>
                <w:ilvl w:val="0"/>
                <w:numId w:val="30"/>
              </w:numPr>
              <w:spacing w:before="60" w:after="60"/>
              <w:contextualSpacing/>
              <w:rPr>
                <w:sz w:val="20"/>
                <w:szCs w:val="20"/>
              </w:rPr>
            </w:pPr>
            <w:r w:rsidRPr="00E765D0">
              <w:rPr>
                <w:sz w:val="20"/>
                <w:szCs w:val="20"/>
              </w:rPr>
              <w:t>liver damage</w:t>
            </w:r>
            <w:r>
              <w:rPr>
                <w:sz w:val="20"/>
                <w:szCs w:val="20"/>
              </w:rPr>
              <w:t xml:space="preserve">, </w:t>
            </w:r>
            <w:r w:rsidRPr="00E765D0">
              <w:rPr>
                <w:sz w:val="20"/>
                <w:szCs w:val="20"/>
              </w:rPr>
              <w:t xml:space="preserve">cancer </w:t>
            </w:r>
          </w:p>
          <w:p w14:paraId="4180DFAE" w14:textId="77777777" w:rsidR="00A65F3A" w:rsidRPr="007C641A" w:rsidRDefault="00A65F3A" w:rsidP="00080523">
            <w:pPr>
              <w:pStyle w:val="BodyText"/>
              <w:numPr>
                <w:ilvl w:val="0"/>
                <w:numId w:val="30"/>
              </w:numPr>
              <w:spacing w:before="60" w:after="60"/>
              <w:contextualSpacing/>
              <w:rPr>
                <w:sz w:val="20"/>
                <w:szCs w:val="20"/>
              </w:rPr>
            </w:pPr>
            <w:r w:rsidRPr="007C641A">
              <w:rPr>
                <w:sz w:val="20"/>
                <w:szCs w:val="20"/>
              </w:rPr>
              <w:t>IV site infections</w:t>
            </w:r>
            <w:r>
              <w:rPr>
                <w:sz w:val="20"/>
                <w:szCs w:val="20"/>
              </w:rPr>
              <w:t>/</w:t>
            </w:r>
            <w:r w:rsidRPr="007C641A">
              <w:rPr>
                <w:sz w:val="20"/>
                <w:szCs w:val="20"/>
              </w:rPr>
              <w:t>damage</w:t>
            </w:r>
          </w:p>
          <w:p w14:paraId="0811E736" w14:textId="7E8B912A" w:rsidR="00A65F3A" w:rsidRPr="007C641A" w:rsidRDefault="007716A4" w:rsidP="00080523">
            <w:pPr>
              <w:pStyle w:val="BodyText"/>
              <w:numPr>
                <w:ilvl w:val="0"/>
                <w:numId w:val="30"/>
              </w:numPr>
              <w:spacing w:before="60" w:after="60"/>
              <w:contextualSpacing/>
              <w:rPr>
                <w:sz w:val="20"/>
                <w:szCs w:val="20"/>
              </w:rPr>
            </w:pPr>
            <w:r>
              <w:rPr>
                <w:sz w:val="20"/>
                <w:szCs w:val="20"/>
              </w:rPr>
              <w:t>a</w:t>
            </w:r>
            <w:r w:rsidR="00A65F3A" w:rsidRPr="007C641A">
              <w:rPr>
                <w:sz w:val="20"/>
                <w:szCs w:val="20"/>
              </w:rPr>
              <w:t>ccidents and injuries</w:t>
            </w:r>
          </w:p>
          <w:p w14:paraId="31DFC3A8" w14:textId="4B4CF05E" w:rsidR="00A65F3A" w:rsidRPr="00087252" w:rsidRDefault="007716A4" w:rsidP="00080523">
            <w:pPr>
              <w:pStyle w:val="BodyText"/>
              <w:numPr>
                <w:ilvl w:val="0"/>
                <w:numId w:val="30"/>
              </w:numPr>
              <w:spacing w:before="60" w:after="60"/>
              <w:contextualSpacing/>
              <w:rPr>
                <w:sz w:val="20"/>
                <w:szCs w:val="20"/>
              </w:rPr>
            </w:pPr>
            <w:r>
              <w:rPr>
                <w:sz w:val="20"/>
                <w:szCs w:val="20"/>
              </w:rPr>
              <w:t>i</w:t>
            </w:r>
            <w:r w:rsidR="00A65F3A" w:rsidRPr="007C641A">
              <w:rPr>
                <w:sz w:val="20"/>
                <w:szCs w:val="20"/>
              </w:rPr>
              <w:t>mpaired cognitive function</w:t>
            </w:r>
            <w:bookmarkEnd w:id="5"/>
          </w:p>
        </w:tc>
        <w:tc>
          <w:tcPr>
            <w:tcW w:w="2875" w:type="dxa"/>
            <w:tcBorders>
              <w:top w:val="single" w:sz="4" w:space="0" w:color="auto"/>
              <w:bottom w:val="single" w:sz="4" w:space="0" w:color="auto"/>
            </w:tcBorders>
          </w:tcPr>
          <w:p w14:paraId="7061D0FB" w14:textId="77777777" w:rsidR="00A65F3A" w:rsidRDefault="00A65F3A" w:rsidP="00080523">
            <w:pPr>
              <w:pStyle w:val="BodyText"/>
              <w:spacing w:before="60" w:after="60"/>
              <w:rPr>
                <w:sz w:val="20"/>
                <w:szCs w:val="20"/>
              </w:rPr>
            </w:pPr>
            <w:bookmarkStart w:id="6" w:name="_Hlk133837032"/>
            <w:r>
              <w:rPr>
                <w:sz w:val="20"/>
                <w:szCs w:val="20"/>
              </w:rPr>
              <w:t>Elevated risk of</w:t>
            </w:r>
            <w:r w:rsidRPr="007C641A">
              <w:rPr>
                <w:sz w:val="20"/>
                <w:szCs w:val="20"/>
              </w:rPr>
              <w:t xml:space="preserve"> family violence</w:t>
            </w:r>
          </w:p>
          <w:p w14:paraId="739B1BED" w14:textId="77777777" w:rsidR="00A65F3A" w:rsidRDefault="00A65F3A" w:rsidP="00080523">
            <w:pPr>
              <w:pStyle w:val="BodyText"/>
              <w:spacing w:before="60" w:after="60"/>
              <w:rPr>
                <w:sz w:val="20"/>
                <w:szCs w:val="20"/>
              </w:rPr>
            </w:pPr>
            <w:r w:rsidRPr="007C641A">
              <w:rPr>
                <w:sz w:val="20"/>
                <w:szCs w:val="20"/>
              </w:rPr>
              <w:t>Infection</w:t>
            </w:r>
          </w:p>
          <w:bookmarkEnd w:id="6"/>
          <w:p w14:paraId="208B3EEC" w14:textId="77777777" w:rsidR="00A65F3A" w:rsidRPr="007C641A" w:rsidRDefault="00A65F3A" w:rsidP="00080523">
            <w:pPr>
              <w:pStyle w:val="BodyText"/>
              <w:spacing w:before="60" w:after="60"/>
              <w:rPr>
                <w:sz w:val="20"/>
                <w:szCs w:val="20"/>
              </w:rPr>
            </w:pPr>
            <w:r w:rsidRPr="007C641A">
              <w:rPr>
                <w:sz w:val="20"/>
                <w:szCs w:val="20"/>
              </w:rPr>
              <w:t xml:space="preserve"> </w:t>
            </w:r>
          </w:p>
          <w:p w14:paraId="18F9A5E6" w14:textId="77777777" w:rsidR="00A65F3A" w:rsidRPr="007C641A" w:rsidRDefault="00A65F3A" w:rsidP="00080523">
            <w:pPr>
              <w:pStyle w:val="BodyText"/>
              <w:spacing w:before="60" w:after="60"/>
              <w:rPr>
                <w:sz w:val="20"/>
                <w:szCs w:val="20"/>
              </w:rPr>
            </w:pPr>
          </w:p>
        </w:tc>
        <w:tc>
          <w:tcPr>
            <w:tcW w:w="2409" w:type="dxa"/>
            <w:tcBorders>
              <w:top w:val="single" w:sz="4" w:space="0" w:color="auto"/>
              <w:bottom w:val="single" w:sz="4" w:space="0" w:color="auto"/>
            </w:tcBorders>
          </w:tcPr>
          <w:p w14:paraId="3C5E2AF1" w14:textId="77777777" w:rsidR="00A65F3A" w:rsidRPr="007C641A" w:rsidRDefault="00A65F3A" w:rsidP="00080523">
            <w:pPr>
              <w:pStyle w:val="BodyText"/>
              <w:spacing w:before="60" w:after="60"/>
              <w:contextualSpacing/>
              <w:rPr>
                <w:sz w:val="20"/>
                <w:szCs w:val="20"/>
              </w:rPr>
            </w:pPr>
            <w:r w:rsidRPr="007C641A">
              <w:rPr>
                <w:sz w:val="20"/>
                <w:szCs w:val="20"/>
              </w:rPr>
              <w:t>Unsafe environments due to:</w:t>
            </w:r>
          </w:p>
          <w:p w14:paraId="03A236D9" w14:textId="77777777" w:rsidR="00A65F3A" w:rsidRPr="007C641A" w:rsidRDefault="00A65F3A" w:rsidP="00080523">
            <w:pPr>
              <w:pStyle w:val="BodyText"/>
              <w:numPr>
                <w:ilvl w:val="0"/>
                <w:numId w:val="29"/>
              </w:numPr>
              <w:spacing w:before="60" w:after="60"/>
              <w:contextualSpacing/>
              <w:rPr>
                <w:sz w:val="20"/>
                <w:szCs w:val="20"/>
              </w:rPr>
            </w:pPr>
            <w:r w:rsidRPr="007C641A">
              <w:rPr>
                <w:sz w:val="20"/>
                <w:szCs w:val="20"/>
              </w:rPr>
              <w:t>discarded sharps</w:t>
            </w:r>
          </w:p>
          <w:p w14:paraId="011EC767" w14:textId="77777777" w:rsidR="00A65F3A" w:rsidRPr="00087252" w:rsidRDefault="00A65F3A" w:rsidP="00080523">
            <w:pPr>
              <w:pStyle w:val="BodyText"/>
              <w:numPr>
                <w:ilvl w:val="0"/>
                <w:numId w:val="29"/>
              </w:numPr>
              <w:spacing w:before="60" w:after="60"/>
              <w:contextualSpacing/>
              <w:rPr>
                <w:sz w:val="20"/>
                <w:szCs w:val="20"/>
              </w:rPr>
            </w:pPr>
            <w:r w:rsidRPr="007C641A">
              <w:rPr>
                <w:sz w:val="20"/>
                <w:szCs w:val="20"/>
              </w:rPr>
              <w:t>risky or aggressive drug-related behaviours</w:t>
            </w:r>
          </w:p>
          <w:p w14:paraId="14D4601C" w14:textId="77777777" w:rsidR="00A65F3A" w:rsidRPr="007C641A" w:rsidRDefault="00A65F3A" w:rsidP="00080523">
            <w:pPr>
              <w:pStyle w:val="BodyText"/>
              <w:spacing w:before="60" w:after="60"/>
              <w:rPr>
                <w:sz w:val="20"/>
                <w:szCs w:val="20"/>
              </w:rPr>
            </w:pPr>
            <w:r w:rsidRPr="007C641A">
              <w:rPr>
                <w:sz w:val="20"/>
                <w:szCs w:val="20"/>
              </w:rPr>
              <w:t>Personal and property damage due to drug</w:t>
            </w:r>
            <w:r w:rsidRPr="007C641A">
              <w:rPr>
                <w:sz w:val="20"/>
                <w:szCs w:val="20"/>
              </w:rPr>
              <w:noBreakHyphen/>
              <w:t>related crime</w:t>
            </w:r>
            <w:r w:rsidR="004A7A3A">
              <w:rPr>
                <w:sz w:val="20"/>
                <w:szCs w:val="20"/>
              </w:rPr>
              <w:t>, including road trauma</w:t>
            </w:r>
          </w:p>
        </w:tc>
      </w:tr>
      <w:tr w:rsidR="007A2A7B" w:rsidRPr="00B8000A" w14:paraId="7215333A" w14:textId="77777777" w:rsidTr="007A2A7B">
        <w:trPr>
          <w:trHeight w:val="2250"/>
        </w:trPr>
        <w:tc>
          <w:tcPr>
            <w:tcW w:w="1601" w:type="dxa"/>
            <w:tcBorders>
              <w:top w:val="single" w:sz="4" w:space="0" w:color="auto"/>
              <w:bottom w:val="single" w:sz="4" w:space="0" w:color="auto"/>
            </w:tcBorders>
            <w:shd w:val="clear" w:color="auto" w:fill="auto"/>
          </w:tcPr>
          <w:p w14:paraId="39FFD64B" w14:textId="77777777" w:rsidR="00A65F3A" w:rsidRPr="007C641A" w:rsidRDefault="00A65F3A" w:rsidP="00080523">
            <w:pPr>
              <w:pStyle w:val="TitleinText"/>
              <w:spacing w:before="60" w:after="60"/>
            </w:pPr>
            <w:r w:rsidRPr="007C641A">
              <w:t>Psychological</w:t>
            </w:r>
          </w:p>
          <w:p w14:paraId="26CCDFEA" w14:textId="77777777" w:rsidR="00A65F3A" w:rsidRPr="007C641A" w:rsidRDefault="00A65F3A" w:rsidP="00080523">
            <w:pPr>
              <w:pStyle w:val="TitleinText"/>
              <w:spacing w:before="60" w:after="60"/>
            </w:pPr>
          </w:p>
        </w:tc>
        <w:tc>
          <w:tcPr>
            <w:tcW w:w="2754" w:type="dxa"/>
            <w:tcBorders>
              <w:top w:val="single" w:sz="4" w:space="0" w:color="auto"/>
              <w:bottom w:val="single" w:sz="4" w:space="0" w:color="auto"/>
            </w:tcBorders>
          </w:tcPr>
          <w:p w14:paraId="1CB6DBF1" w14:textId="77777777" w:rsidR="00A65F3A" w:rsidRPr="007C641A" w:rsidRDefault="00A65F3A" w:rsidP="00080523">
            <w:pPr>
              <w:pStyle w:val="BodyText"/>
              <w:spacing w:before="60" w:after="60"/>
              <w:rPr>
                <w:sz w:val="20"/>
                <w:szCs w:val="20"/>
              </w:rPr>
            </w:pPr>
            <w:r w:rsidRPr="007C641A">
              <w:rPr>
                <w:sz w:val="20"/>
                <w:szCs w:val="20"/>
              </w:rPr>
              <w:t xml:space="preserve">Drug dependence </w:t>
            </w:r>
          </w:p>
          <w:p w14:paraId="2E206E6A" w14:textId="77777777" w:rsidR="00A65F3A" w:rsidRPr="007C641A" w:rsidRDefault="00A65F3A" w:rsidP="00080523">
            <w:pPr>
              <w:pStyle w:val="BodyText"/>
              <w:spacing w:before="60" w:after="60"/>
              <w:rPr>
                <w:sz w:val="20"/>
                <w:szCs w:val="20"/>
              </w:rPr>
            </w:pPr>
            <w:r w:rsidRPr="007C641A">
              <w:rPr>
                <w:sz w:val="20"/>
                <w:szCs w:val="20"/>
              </w:rPr>
              <w:t>Impaired cognitive function</w:t>
            </w:r>
          </w:p>
          <w:p w14:paraId="2D38A563" w14:textId="77777777" w:rsidR="00A65F3A" w:rsidRDefault="00A65F3A" w:rsidP="00080523">
            <w:pPr>
              <w:pStyle w:val="BodyText"/>
              <w:spacing w:before="60" w:after="60"/>
              <w:rPr>
                <w:sz w:val="20"/>
                <w:szCs w:val="20"/>
              </w:rPr>
            </w:pPr>
            <w:r w:rsidRPr="007C641A">
              <w:rPr>
                <w:sz w:val="20"/>
                <w:szCs w:val="20"/>
              </w:rPr>
              <w:t>Anxiety and depression</w:t>
            </w:r>
            <w:r>
              <w:rPr>
                <w:sz w:val="20"/>
                <w:szCs w:val="20"/>
              </w:rPr>
              <w:t xml:space="preserve"> associated with: </w:t>
            </w:r>
          </w:p>
          <w:p w14:paraId="712D8860" w14:textId="77777777" w:rsidR="00A65F3A" w:rsidRDefault="00A65F3A" w:rsidP="00080523">
            <w:pPr>
              <w:pStyle w:val="BodyText"/>
              <w:numPr>
                <w:ilvl w:val="0"/>
                <w:numId w:val="54"/>
              </w:numPr>
              <w:spacing w:before="60" w:after="60"/>
              <w:rPr>
                <w:sz w:val="20"/>
                <w:szCs w:val="20"/>
              </w:rPr>
            </w:pPr>
            <w:r>
              <w:rPr>
                <w:sz w:val="20"/>
                <w:szCs w:val="20"/>
              </w:rPr>
              <w:t xml:space="preserve">drug use </w:t>
            </w:r>
          </w:p>
          <w:p w14:paraId="7AD5BAAA" w14:textId="77777777" w:rsidR="00A65F3A" w:rsidRPr="007C641A" w:rsidRDefault="00A65F3A" w:rsidP="00080523">
            <w:pPr>
              <w:pStyle w:val="BodyText"/>
              <w:numPr>
                <w:ilvl w:val="0"/>
                <w:numId w:val="54"/>
              </w:numPr>
              <w:spacing w:before="60" w:after="60"/>
              <w:rPr>
                <w:sz w:val="20"/>
                <w:szCs w:val="20"/>
              </w:rPr>
            </w:pPr>
            <w:r>
              <w:rPr>
                <w:sz w:val="20"/>
                <w:szCs w:val="20"/>
              </w:rPr>
              <w:t>interactions with the criminal justice system</w:t>
            </w:r>
          </w:p>
          <w:p w14:paraId="74670C42" w14:textId="77777777" w:rsidR="00A65F3A" w:rsidRDefault="00A65F3A" w:rsidP="00080523">
            <w:pPr>
              <w:pStyle w:val="BodyText"/>
              <w:spacing w:before="60" w:after="60"/>
              <w:rPr>
                <w:sz w:val="20"/>
                <w:szCs w:val="20"/>
              </w:rPr>
            </w:pPr>
            <w:r w:rsidRPr="00080523">
              <w:rPr>
                <w:b/>
                <w:color w:val="31849B" w:themeColor="accent5" w:themeShade="BF"/>
                <w:sz w:val="20"/>
                <w:szCs w:val="20"/>
              </w:rPr>
              <w:t>Stigma</w:t>
            </w:r>
            <w:r w:rsidRPr="00080523">
              <w:rPr>
                <w:color w:val="31849B" w:themeColor="accent5" w:themeShade="BF"/>
                <w:sz w:val="20"/>
                <w:szCs w:val="20"/>
              </w:rPr>
              <w:t xml:space="preserve"> </w:t>
            </w:r>
            <w:r w:rsidRPr="007C641A">
              <w:rPr>
                <w:sz w:val="20"/>
                <w:szCs w:val="20"/>
              </w:rPr>
              <w:t>and taking on a stigmatised identity</w:t>
            </w:r>
          </w:p>
          <w:p w14:paraId="304E2D99" w14:textId="77777777" w:rsidR="00A65F3A" w:rsidRPr="007C641A" w:rsidRDefault="00A65F3A" w:rsidP="00080523">
            <w:pPr>
              <w:pStyle w:val="BodyText"/>
              <w:spacing w:before="60" w:after="60"/>
              <w:rPr>
                <w:sz w:val="20"/>
                <w:szCs w:val="20"/>
              </w:rPr>
            </w:pPr>
            <w:r w:rsidRPr="00080523">
              <w:rPr>
                <w:b/>
                <w:color w:val="31849B" w:themeColor="accent5" w:themeShade="BF"/>
                <w:sz w:val="20"/>
                <w:szCs w:val="20"/>
              </w:rPr>
              <w:t>Moral injury</w:t>
            </w:r>
            <w:r w:rsidRPr="00080523">
              <w:rPr>
                <w:color w:val="31849B" w:themeColor="accent5" w:themeShade="BF"/>
                <w:sz w:val="20"/>
                <w:szCs w:val="20"/>
              </w:rPr>
              <w:t xml:space="preserve"> </w:t>
            </w:r>
            <w:r w:rsidRPr="007C641A">
              <w:rPr>
                <w:sz w:val="20"/>
                <w:szCs w:val="20"/>
              </w:rPr>
              <w:t>from perpetrating acts that transgress deeply held moral beliefs and expectations</w:t>
            </w:r>
          </w:p>
        </w:tc>
        <w:tc>
          <w:tcPr>
            <w:tcW w:w="2875" w:type="dxa"/>
            <w:tcBorders>
              <w:top w:val="single" w:sz="4" w:space="0" w:color="auto"/>
              <w:bottom w:val="single" w:sz="4" w:space="0" w:color="auto"/>
            </w:tcBorders>
          </w:tcPr>
          <w:p w14:paraId="42381688" w14:textId="77777777" w:rsidR="00A65F3A" w:rsidRPr="007C641A" w:rsidRDefault="00A65F3A" w:rsidP="00080523">
            <w:pPr>
              <w:pStyle w:val="BodyText"/>
              <w:spacing w:before="60" w:after="60"/>
              <w:rPr>
                <w:sz w:val="20"/>
                <w:szCs w:val="20"/>
              </w:rPr>
            </w:pPr>
            <w:r w:rsidRPr="007C641A">
              <w:rPr>
                <w:sz w:val="20"/>
                <w:szCs w:val="20"/>
              </w:rPr>
              <w:t>Anxiety about the welfare of the drug user</w:t>
            </w:r>
          </w:p>
          <w:p w14:paraId="7CC531F9" w14:textId="77777777" w:rsidR="00A65F3A" w:rsidRDefault="00A65F3A" w:rsidP="00080523">
            <w:pPr>
              <w:pStyle w:val="BodyText"/>
              <w:spacing w:before="60" w:after="60"/>
              <w:rPr>
                <w:sz w:val="20"/>
                <w:szCs w:val="20"/>
              </w:rPr>
            </w:pPr>
            <w:r w:rsidRPr="007C641A">
              <w:rPr>
                <w:sz w:val="20"/>
                <w:szCs w:val="20"/>
              </w:rPr>
              <w:t>Anxiety about interaction with the criminal justice system</w:t>
            </w:r>
          </w:p>
          <w:p w14:paraId="341B241B" w14:textId="77777777" w:rsidR="00A65F3A" w:rsidRPr="00080523" w:rsidRDefault="00A65F3A" w:rsidP="00080523">
            <w:pPr>
              <w:pStyle w:val="BodyText"/>
              <w:spacing w:before="60" w:after="60"/>
              <w:rPr>
                <w:b/>
                <w:color w:val="31849B" w:themeColor="accent5" w:themeShade="BF"/>
                <w:sz w:val="20"/>
                <w:szCs w:val="20"/>
              </w:rPr>
            </w:pPr>
            <w:r w:rsidRPr="00080523">
              <w:rPr>
                <w:b/>
                <w:color w:val="31849B" w:themeColor="accent5" w:themeShade="BF"/>
                <w:sz w:val="20"/>
                <w:szCs w:val="20"/>
              </w:rPr>
              <w:t xml:space="preserve">Vicarious stigma </w:t>
            </w:r>
          </w:p>
          <w:p w14:paraId="1044E306" w14:textId="77777777" w:rsidR="00A65F3A" w:rsidRPr="007C641A" w:rsidRDefault="00A65F3A" w:rsidP="00080523">
            <w:pPr>
              <w:pStyle w:val="BodyText"/>
              <w:spacing w:before="60" w:after="60"/>
              <w:rPr>
                <w:sz w:val="20"/>
                <w:szCs w:val="20"/>
              </w:rPr>
            </w:pPr>
            <w:r w:rsidRPr="007C641A">
              <w:rPr>
                <w:sz w:val="20"/>
                <w:szCs w:val="20"/>
              </w:rPr>
              <w:t>Moral injury from failing to prevent, bearing witness to, or learning about acts that transgress deeply held moral beliefs and expectations</w:t>
            </w:r>
          </w:p>
        </w:tc>
        <w:tc>
          <w:tcPr>
            <w:tcW w:w="2409" w:type="dxa"/>
            <w:tcBorders>
              <w:top w:val="single" w:sz="4" w:space="0" w:color="auto"/>
              <w:bottom w:val="single" w:sz="4" w:space="0" w:color="auto"/>
            </w:tcBorders>
          </w:tcPr>
          <w:p w14:paraId="3DC60E09" w14:textId="77777777" w:rsidR="00A65F3A" w:rsidRPr="007C641A" w:rsidRDefault="00A65F3A" w:rsidP="00080523">
            <w:pPr>
              <w:pStyle w:val="BodyText"/>
              <w:spacing w:before="60" w:after="60"/>
              <w:rPr>
                <w:sz w:val="20"/>
                <w:szCs w:val="20"/>
              </w:rPr>
            </w:pPr>
            <w:r w:rsidRPr="007C641A">
              <w:rPr>
                <w:sz w:val="20"/>
                <w:szCs w:val="20"/>
              </w:rPr>
              <w:t>Moral injury from failing to prevent, bearing witness to, or learning about acts that transgress deeply held moral beliefs and expectations</w:t>
            </w:r>
          </w:p>
        </w:tc>
      </w:tr>
      <w:tr w:rsidR="007A2A7B" w:rsidRPr="00B8000A" w14:paraId="4D9780CE" w14:textId="77777777" w:rsidTr="007A2A7B">
        <w:trPr>
          <w:trHeight w:val="1550"/>
        </w:trPr>
        <w:tc>
          <w:tcPr>
            <w:tcW w:w="1601" w:type="dxa"/>
            <w:tcBorders>
              <w:top w:val="single" w:sz="4" w:space="0" w:color="auto"/>
              <w:bottom w:val="single" w:sz="4" w:space="0" w:color="auto"/>
            </w:tcBorders>
            <w:shd w:val="clear" w:color="auto" w:fill="auto"/>
          </w:tcPr>
          <w:p w14:paraId="325B2E9C" w14:textId="77777777" w:rsidR="00A65F3A" w:rsidRPr="007C641A" w:rsidRDefault="00A65F3A" w:rsidP="00080523">
            <w:pPr>
              <w:pStyle w:val="TitleinText"/>
              <w:spacing w:before="60" w:after="60"/>
            </w:pPr>
            <w:r w:rsidRPr="007C641A">
              <w:t>Social</w:t>
            </w:r>
            <w:r>
              <w:t xml:space="preserve"> </w:t>
            </w:r>
          </w:p>
        </w:tc>
        <w:tc>
          <w:tcPr>
            <w:tcW w:w="2754" w:type="dxa"/>
            <w:tcBorders>
              <w:top w:val="single" w:sz="4" w:space="0" w:color="auto"/>
              <w:bottom w:val="single" w:sz="4" w:space="0" w:color="auto"/>
            </w:tcBorders>
          </w:tcPr>
          <w:p w14:paraId="6F17D7EF" w14:textId="77777777" w:rsidR="00A65F3A" w:rsidRPr="007C641A" w:rsidRDefault="00A65F3A" w:rsidP="00080523">
            <w:pPr>
              <w:pStyle w:val="BodyText"/>
              <w:spacing w:before="60" w:after="60"/>
              <w:rPr>
                <w:sz w:val="20"/>
                <w:szCs w:val="20"/>
              </w:rPr>
            </w:pPr>
            <w:r w:rsidRPr="007C641A">
              <w:rPr>
                <w:sz w:val="20"/>
                <w:szCs w:val="20"/>
              </w:rPr>
              <w:t>Loss of primary relationships (e.g., partner, children</w:t>
            </w:r>
            <w:r>
              <w:rPr>
                <w:sz w:val="20"/>
                <w:szCs w:val="20"/>
              </w:rPr>
              <w:t>, parent</w:t>
            </w:r>
            <w:r w:rsidRPr="007C641A">
              <w:rPr>
                <w:sz w:val="20"/>
                <w:szCs w:val="20"/>
              </w:rPr>
              <w:t>)</w:t>
            </w:r>
          </w:p>
          <w:p w14:paraId="00C3CDAF" w14:textId="77777777" w:rsidR="00A65F3A" w:rsidRPr="007C641A" w:rsidRDefault="00A65F3A" w:rsidP="00080523">
            <w:pPr>
              <w:pStyle w:val="BodyText"/>
              <w:spacing w:before="60" w:after="60"/>
              <w:rPr>
                <w:sz w:val="20"/>
                <w:szCs w:val="20"/>
              </w:rPr>
            </w:pPr>
            <w:r w:rsidRPr="007C641A">
              <w:rPr>
                <w:sz w:val="20"/>
                <w:szCs w:val="20"/>
              </w:rPr>
              <w:t>Criminal convictions, and incarceration</w:t>
            </w:r>
          </w:p>
          <w:p w14:paraId="72B66EBD" w14:textId="77777777" w:rsidR="00A65F3A" w:rsidRPr="007C641A" w:rsidRDefault="00A65F3A" w:rsidP="00080523">
            <w:pPr>
              <w:pStyle w:val="BodyText"/>
              <w:spacing w:before="60" w:after="60"/>
              <w:rPr>
                <w:sz w:val="20"/>
                <w:szCs w:val="20"/>
              </w:rPr>
            </w:pPr>
            <w:r w:rsidRPr="007C641A">
              <w:rPr>
                <w:sz w:val="20"/>
                <w:szCs w:val="20"/>
              </w:rPr>
              <w:t>Increased likelihood of future criminal behaviour</w:t>
            </w:r>
          </w:p>
          <w:p w14:paraId="5BC34364" w14:textId="77777777" w:rsidR="00A65F3A" w:rsidRPr="007C641A" w:rsidRDefault="00A65F3A" w:rsidP="00080523">
            <w:pPr>
              <w:pStyle w:val="BodyText"/>
              <w:spacing w:before="60" w:after="60"/>
              <w:rPr>
                <w:sz w:val="20"/>
                <w:szCs w:val="20"/>
              </w:rPr>
            </w:pPr>
            <w:r w:rsidRPr="007C641A">
              <w:rPr>
                <w:sz w:val="20"/>
                <w:szCs w:val="20"/>
              </w:rPr>
              <w:t xml:space="preserve">Loss of work and economic resources </w:t>
            </w:r>
          </w:p>
          <w:p w14:paraId="6CFD4CEF" w14:textId="77777777" w:rsidR="00A65F3A" w:rsidRPr="007C641A" w:rsidRDefault="00A65F3A" w:rsidP="00080523">
            <w:pPr>
              <w:pStyle w:val="BodyText"/>
              <w:spacing w:before="60" w:after="60"/>
              <w:rPr>
                <w:sz w:val="20"/>
                <w:szCs w:val="20"/>
              </w:rPr>
            </w:pPr>
            <w:r w:rsidRPr="007C641A">
              <w:rPr>
                <w:sz w:val="20"/>
                <w:szCs w:val="20"/>
              </w:rPr>
              <w:t>Insecure housing or homelessness</w:t>
            </w:r>
          </w:p>
          <w:p w14:paraId="4C7D6575" w14:textId="77777777" w:rsidR="00A65F3A" w:rsidRDefault="00A65F3A" w:rsidP="00080523">
            <w:pPr>
              <w:pStyle w:val="BodyText"/>
              <w:spacing w:before="60" w:after="60"/>
              <w:contextualSpacing/>
              <w:rPr>
                <w:sz w:val="20"/>
                <w:szCs w:val="20"/>
              </w:rPr>
            </w:pPr>
            <w:r w:rsidRPr="007C641A">
              <w:rPr>
                <w:sz w:val="20"/>
                <w:szCs w:val="20"/>
              </w:rPr>
              <w:t xml:space="preserve">Stigma and </w:t>
            </w:r>
            <w:r w:rsidRPr="00080523">
              <w:rPr>
                <w:b/>
                <w:color w:val="31849B" w:themeColor="accent5" w:themeShade="BF"/>
                <w:sz w:val="20"/>
                <w:szCs w:val="20"/>
              </w:rPr>
              <w:t>marginalisation</w:t>
            </w:r>
            <w:r w:rsidRPr="00080523">
              <w:rPr>
                <w:color w:val="31849B" w:themeColor="accent5" w:themeShade="BF"/>
                <w:sz w:val="20"/>
                <w:szCs w:val="20"/>
              </w:rPr>
              <w:t xml:space="preserve"> </w:t>
            </w:r>
            <w:r>
              <w:rPr>
                <w:sz w:val="20"/>
                <w:szCs w:val="20"/>
              </w:rPr>
              <w:t>from:</w:t>
            </w:r>
          </w:p>
          <w:p w14:paraId="01AA246E" w14:textId="77777777" w:rsidR="00A65F3A" w:rsidRDefault="00A65F3A" w:rsidP="00080523">
            <w:pPr>
              <w:pStyle w:val="BodyText"/>
              <w:numPr>
                <w:ilvl w:val="0"/>
                <w:numId w:val="31"/>
              </w:numPr>
              <w:spacing w:before="60" w:after="60"/>
              <w:ind w:left="357" w:hanging="357"/>
              <w:contextualSpacing/>
              <w:rPr>
                <w:sz w:val="20"/>
                <w:szCs w:val="20"/>
              </w:rPr>
            </w:pPr>
            <w:r w:rsidRPr="007C641A">
              <w:rPr>
                <w:sz w:val="20"/>
                <w:szCs w:val="20"/>
              </w:rPr>
              <w:t>services (e.g., health)</w:t>
            </w:r>
          </w:p>
          <w:p w14:paraId="77444B27" w14:textId="6147611F" w:rsidR="00A65F3A" w:rsidRPr="00E765D0" w:rsidRDefault="00A65F3A" w:rsidP="00080523">
            <w:pPr>
              <w:pStyle w:val="BodyText"/>
              <w:numPr>
                <w:ilvl w:val="0"/>
                <w:numId w:val="31"/>
              </w:numPr>
              <w:spacing w:before="60" w:after="60"/>
              <w:ind w:left="357" w:hanging="357"/>
              <w:contextualSpacing/>
              <w:rPr>
                <w:sz w:val="20"/>
                <w:szCs w:val="20"/>
              </w:rPr>
            </w:pPr>
            <w:r w:rsidRPr="00E765D0">
              <w:rPr>
                <w:sz w:val="20"/>
                <w:szCs w:val="20"/>
              </w:rPr>
              <w:t xml:space="preserve">community </w:t>
            </w:r>
            <w:r w:rsidRPr="00E765D0">
              <w:rPr>
                <w:sz w:val="20"/>
                <w:szCs w:val="20"/>
              </w:rPr>
              <w:fldChar w:fldCharType="begin"/>
            </w:r>
            <w:r w:rsidR="00956746">
              <w:rPr>
                <w:sz w:val="20"/>
                <w:szCs w:val="20"/>
              </w:rPr>
              <w:instrText xml:space="preserve"> ADDIN EN.CITE &lt;EndNote&gt;&lt;Cite&gt;&lt;Author&gt;Room&lt;/Author&gt;&lt;Year&gt;2005&lt;/Year&gt;&lt;RecNum&gt;33&lt;/RecNum&gt;&lt;DisplayText&gt;[6, 7]&lt;/DisplayText&gt;&lt;record&gt;&lt;rec-number&gt;33&lt;/rec-number&gt;&lt;foreign-keys&gt;&lt;key app="EN" db-id="5fz2fzfzg2w2x4efdz3xprvlzezfdv2spstv" timestamp="1676612207"&gt;33&lt;/key&gt;&lt;/foreign-keys&gt;&lt;ref-type name="Journal Article"&gt;17&lt;/ref-type&gt;&lt;contributors&gt;&lt;authors&gt;&lt;author&gt;Room, Robin&lt;/author&gt;&lt;/authors&gt;&lt;/contributors&gt;&lt;titles&gt;&lt;title&gt;Stigma, social inequality and alcohol and drug use&lt;/title&gt;&lt;secondary-title&gt;Drug and Alcohol Review&lt;/secondary-title&gt;&lt;/titles&gt;&lt;periodical&gt;&lt;full-title&gt;Drug and Alcohol Review&lt;/full-title&gt;&lt;/periodical&gt;&lt;pages&gt;143-155&lt;/pages&gt;&lt;volume&gt;24&lt;/volume&gt;&lt;keywords&gt;&lt;keyword&gt;stigma, marginalization, social inequality, alcohol problems, drug problems, social control, moralization&lt;/keyword&gt;&lt;/keywords&gt;&lt;dates&gt;&lt;year&gt;2005&lt;/year&gt;&lt;/dates&gt;&lt;urls&gt;&lt;/urls&gt;&lt;electronic-resource-num&gt; 10.1080/09595230500102434&lt;/electronic-resource-num&gt;&lt;/record&gt;&lt;/Cite&gt;&lt;Cite&gt;&lt;Author&gt;Sutherland&lt;/Author&gt;&lt;Year&gt;2023&lt;/Year&gt;&lt;RecNum&gt;124&lt;/RecNum&gt;&lt;record&gt;&lt;rec-number&gt;124&lt;/rec-number&gt;&lt;foreign-keys&gt;&lt;key app="EN" db-id="5fz2fzfzg2w2x4efdz3xprvlzezfdv2spstv" timestamp="1678838501"&gt;124&lt;/key&gt;&lt;/foreign-keys&gt;&lt;ref-type name="Journal Article"&gt;17&lt;/ref-type&gt;&lt;contributors&gt;&lt;authors&gt;&lt;author&gt;Sutherland, Rachel&lt;/author&gt;&lt;author&gt;King, Cate&lt;/author&gt;&lt;author&gt;Karlsson, Antonia&lt;/author&gt;&lt;author&gt;Treloar, Carla&lt;/author&gt;&lt;author&gt;Broady, Timothy&lt;/author&gt;&lt;author&gt;Chandrasena, Udesha&lt;/author&gt;&lt;author&gt;Salom, Caroline&lt;/author&gt;&lt;author&gt;Peacock, Amy&lt;/author&gt;&lt;/authors&gt;&lt;/contributors&gt;&lt;titles&gt;&lt;title&gt;Experiences of stigma while visiting healthcare services among people who use drugs in Australia, 2022&lt;/title&gt;&lt;secondary-title&gt;Drug Trends Bulletin Series&lt;/secondary-title&gt;&lt;/titles&gt;&lt;periodical&gt;&lt;full-title&gt;Drug Trends Bulletin Series&lt;/full-title&gt;&lt;/periodical&gt;&lt;dates&gt;&lt;year&gt;2023&lt;/year&gt;&lt;/dates&gt;&lt;urls&gt;&lt;/urls&gt;&lt;electronic-resource-num&gt;10.26190/rwpw-wc68&lt;/electronic-resource-num&gt;&lt;/record&gt;&lt;/Cite&gt;&lt;/EndNote&gt;</w:instrText>
            </w:r>
            <w:r w:rsidRPr="00E765D0">
              <w:rPr>
                <w:sz w:val="20"/>
                <w:szCs w:val="20"/>
              </w:rPr>
              <w:fldChar w:fldCharType="separate"/>
            </w:r>
            <w:r w:rsidR="00956746">
              <w:rPr>
                <w:noProof/>
                <w:sz w:val="20"/>
                <w:szCs w:val="20"/>
              </w:rPr>
              <w:t>[6, 7]</w:t>
            </w:r>
            <w:r w:rsidRPr="00E765D0">
              <w:rPr>
                <w:sz w:val="20"/>
                <w:szCs w:val="20"/>
              </w:rPr>
              <w:fldChar w:fldCharType="end"/>
            </w:r>
          </w:p>
        </w:tc>
        <w:tc>
          <w:tcPr>
            <w:tcW w:w="2875" w:type="dxa"/>
            <w:tcBorders>
              <w:top w:val="single" w:sz="4" w:space="0" w:color="auto"/>
              <w:bottom w:val="single" w:sz="4" w:space="0" w:color="auto"/>
            </w:tcBorders>
          </w:tcPr>
          <w:p w14:paraId="1204040B" w14:textId="77777777" w:rsidR="00A65F3A" w:rsidRDefault="00A65F3A" w:rsidP="00080523">
            <w:pPr>
              <w:pStyle w:val="BodyText"/>
              <w:spacing w:before="60" w:after="60"/>
              <w:rPr>
                <w:sz w:val="20"/>
                <w:szCs w:val="20"/>
              </w:rPr>
            </w:pPr>
            <w:r w:rsidRPr="007C641A">
              <w:rPr>
                <w:sz w:val="20"/>
                <w:szCs w:val="20"/>
              </w:rPr>
              <w:t xml:space="preserve">Time lost </w:t>
            </w:r>
            <w:r>
              <w:rPr>
                <w:sz w:val="20"/>
                <w:szCs w:val="20"/>
              </w:rPr>
              <w:t>to and emotional load of</w:t>
            </w:r>
            <w:r w:rsidRPr="007C641A">
              <w:rPr>
                <w:sz w:val="20"/>
                <w:szCs w:val="20"/>
              </w:rPr>
              <w:t xml:space="preserve"> attending to drug user’s health </w:t>
            </w:r>
          </w:p>
          <w:p w14:paraId="3F1BD62A" w14:textId="77777777" w:rsidR="00A65F3A" w:rsidRDefault="00A65F3A" w:rsidP="00080523">
            <w:pPr>
              <w:pStyle w:val="BodyText"/>
              <w:spacing w:before="60" w:after="60"/>
              <w:rPr>
                <w:sz w:val="20"/>
                <w:szCs w:val="20"/>
              </w:rPr>
            </w:pPr>
            <w:r w:rsidRPr="007C641A">
              <w:rPr>
                <w:sz w:val="20"/>
                <w:szCs w:val="20"/>
              </w:rPr>
              <w:t xml:space="preserve">Disrupted or lost primary relationships </w:t>
            </w:r>
          </w:p>
          <w:p w14:paraId="29F3DDA1" w14:textId="77777777" w:rsidR="00A65F3A" w:rsidRPr="007C641A" w:rsidRDefault="00A65F3A" w:rsidP="00080523">
            <w:pPr>
              <w:pStyle w:val="BodyText"/>
              <w:spacing w:before="60" w:after="60"/>
              <w:rPr>
                <w:sz w:val="20"/>
                <w:szCs w:val="20"/>
              </w:rPr>
            </w:pPr>
            <w:r w:rsidRPr="007C641A">
              <w:rPr>
                <w:sz w:val="20"/>
                <w:szCs w:val="20"/>
              </w:rPr>
              <w:t xml:space="preserve">Impacts </w:t>
            </w:r>
            <w:r>
              <w:rPr>
                <w:sz w:val="20"/>
                <w:szCs w:val="20"/>
              </w:rPr>
              <w:t>on family cohesion, household income and child development</w:t>
            </w:r>
          </w:p>
          <w:p w14:paraId="0B8A3133" w14:textId="77777777" w:rsidR="00A65F3A" w:rsidRPr="007C641A" w:rsidRDefault="00A65F3A" w:rsidP="00080523">
            <w:pPr>
              <w:pStyle w:val="BodyText"/>
              <w:spacing w:before="60" w:after="60"/>
              <w:rPr>
                <w:sz w:val="20"/>
                <w:szCs w:val="20"/>
              </w:rPr>
            </w:pPr>
            <w:r w:rsidRPr="007C641A">
              <w:rPr>
                <w:sz w:val="20"/>
                <w:szCs w:val="20"/>
              </w:rPr>
              <w:t>Insecure housing or homelessness</w:t>
            </w:r>
          </w:p>
          <w:p w14:paraId="4F8E1E7C" w14:textId="77777777" w:rsidR="00A65F3A" w:rsidRPr="007C641A" w:rsidRDefault="00A65F3A" w:rsidP="00080523">
            <w:pPr>
              <w:pStyle w:val="BodyText"/>
              <w:spacing w:before="60" w:after="60"/>
              <w:rPr>
                <w:sz w:val="20"/>
                <w:szCs w:val="20"/>
              </w:rPr>
            </w:pPr>
            <w:r w:rsidRPr="007C641A">
              <w:rPr>
                <w:sz w:val="20"/>
                <w:szCs w:val="20"/>
              </w:rPr>
              <w:t>Vicarious stigma and marginalisation from services (e.g., health and education)</w:t>
            </w:r>
          </w:p>
          <w:p w14:paraId="1A34544A" w14:textId="77777777" w:rsidR="00A65F3A" w:rsidRPr="007C641A" w:rsidRDefault="00A65F3A" w:rsidP="00080523">
            <w:pPr>
              <w:pStyle w:val="BodyText"/>
              <w:spacing w:before="60" w:after="60"/>
              <w:rPr>
                <w:sz w:val="20"/>
                <w:szCs w:val="20"/>
              </w:rPr>
            </w:pPr>
            <w:r w:rsidRPr="007C641A">
              <w:rPr>
                <w:sz w:val="20"/>
                <w:szCs w:val="20"/>
              </w:rPr>
              <w:t xml:space="preserve">Vicarious stigma and marginalisation from community </w:t>
            </w:r>
          </w:p>
        </w:tc>
        <w:tc>
          <w:tcPr>
            <w:tcW w:w="2409" w:type="dxa"/>
            <w:tcBorders>
              <w:top w:val="single" w:sz="4" w:space="0" w:color="auto"/>
              <w:bottom w:val="single" w:sz="4" w:space="0" w:color="auto"/>
            </w:tcBorders>
          </w:tcPr>
          <w:p w14:paraId="64925B2B" w14:textId="77777777" w:rsidR="00A65F3A" w:rsidRPr="007C641A" w:rsidRDefault="00A65F3A" w:rsidP="00080523">
            <w:pPr>
              <w:pStyle w:val="BodyText"/>
              <w:spacing w:before="60" w:after="60"/>
              <w:rPr>
                <w:sz w:val="20"/>
                <w:szCs w:val="20"/>
              </w:rPr>
            </w:pPr>
            <w:r w:rsidRPr="007C641A">
              <w:rPr>
                <w:sz w:val="20"/>
                <w:szCs w:val="20"/>
              </w:rPr>
              <w:t>Economic costs due to:</w:t>
            </w:r>
          </w:p>
          <w:p w14:paraId="5DC07AFA" w14:textId="77777777" w:rsidR="00A65F3A" w:rsidRPr="007C641A" w:rsidRDefault="007716A4" w:rsidP="00080523">
            <w:pPr>
              <w:pStyle w:val="TableParagraph"/>
              <w:numPr>
                <w:ilvl w:val="0"/>
                <w:numId w:val="50"/>
              </w:numPr>
              <w:spacing w:before="60" w:after="60"/>
            </w:pPr>
            <w:r>
              <w:t>d</w:t>
            </w:r>
            <w:r w:rsidR="00A65F3A" w:rsidRPr="007C641A">
              <w:t xml:space="preserve">isability and death of persons using drugs </w:t>
            </w:r>
          </w:p>
          <w:p w14:paraId="3C3ABA6A" w14:textId="77777777" w:rsidR="00A65F3A" w:rsidRPr="007C641A" w:rsidRDefault="007716A4" w:rsidP="00080523">
            <w:pPr>
              <w:pStyle w:val="TableParagraph"/>
              <w:numPr>
                <w:ilvl w:val="0"/>
                <w:numId w:val="50"/>
              </w:numPr>
              <w:spacing w:before="60" w:after="60"/>
            </w:pPr>
            <w:r>
              <w:t>r</w:t>
            </w:r>
            <w:r w:rsidR="00A65F3A" w:rsidRPr="007C641A">
              <w:t xml:space="preserve">educed engagement in workforce </w:t>
            </w:r>
          </w:p>
          <w:p w14:paraId="340E3612" w14:textId="77777777" w:rsidR="00A65F3A" w:rsidRPr="007C641A" w:rsidRDefault="007716A4" w:rsidP="00080523">
            <w:pPr>
              <w:pStyle w:val="TableParagraph"/>
              <w:numPr>
                <w:ilvl w:val="0"/>
                <w:numId w:val="50"/>
              </w:numPr>
              <w:spacing w:before="60" w:after="60"/>
            </w:pPr>
            <w:r>
              <w:t>welfare and h</w:t>
            </w:r>
            <w:r w:rsidR="00A65F3A" w:rsidRPr="007C641A">
              <w:t>ealth care costs</w:t>
            </w:r>
          </w:p>
          <w:p w14:paraId="203D27E8" w14:textId="77777777" w:rsidR="00A65F3A" w:rsidRPr="007C641A" w:rsidRDefault="007716A4" w:rsidP="00080523">
            <w:pPr>
              <w:pStyle w:val="TableParagraph"/>
              <w:numPr>
                <w:ilvl w:val="0"/>
                <w:numId w:val="50"/>
              </w:numPr>
              <w:spacing w:before="60" w:after="60"/>
            </w:pPr>
            <w:r>
              <w:t>c</w:t>
            </w:r>
            <w:r w:rsidR="00A65F3A" w:rsidRPr="007C641A">
              <w:t xml:space="preserve">riminal justice system costs </w:t>
            </w:r>
            <w:r w:rsidR="00A65F3A">
              <w:t>(enforcements, courts, incarceration)</w:t>
            </w:r>
          </w:p>
          <w:p w14:paraId="6530C12D" w14:textId="77777777" w:rsidR="00A65F3A" w:rsidRPr="00080523" w:rsidRDefault="00A65F3A" w:rsidP="00080523">
            <w:pPr>
              <w:pStyle w:val="BodyText"/>
              <w:spacing w:before="60" w:after="60"/>
              <w:rPr>
                <w:b/>
                <w:color w:val="31849B" w:themeColor="accent5" w:themeShade="BF"/>
                <w:sz w:val="20"/>
                <w:szCs w:val="20"/>
              </w:rPr>
            </w:pPr>
            <w:r w:rsidRPr="00080523">
              <w:rPr>
                <w:b/>
                <w:color w:val="31849B" w:themeColor="accent5" w:themeShade="BF"/>
                <w:sz w:val="20"/>
                <w:szCs w:val="20"/>
              </w:rPr>
              <w:t>Intergenerational trauma</w:t>
            </w:r>
          </w:p>
          <w:p w14:paraId="1A6FC9A5" w14:textId="77777777" w:rsidR="00A65F3A" w:rsidRPr="007C641A" w:rsidRDefault="00A65F3A" w:rsidP="00080523">
            <w:pPr>
              <w:pStyle w:val="BodyText"/>
              <w:spacing w:before="60" w:after="60"/>
              <w:rPr>
                <w:sz w:val="20"/>
                <w:szCs w:val="20"/>
              </w:rPr>
            </w:pPr>
            <w:r w:rsidRPr="007C641A">
              <w:rPr>
                <w:sz w:val="20"/>
                <w:szCs w:val="20"/>
              </w:rPr>
              <w:t xml:space="preserve">Intergenerational perpetuation of </w:t>
            </w:r>
            <w:r>
              <w:rPr>
                <w:sz w:val="20"/>
                <w:szCs w:val="20"/>
              </w:rPr>
              <w:t>marginalisation and</w:t>
            </w:r>
            <w:r w:rsidRPr="007C641A">
              <w:rPr>
                <w:sz w:val="20"/>
                <w:szCs w:val="20"/>
              </w:rPr>
              <w:t xml:space="preserve"> disadvantage</w:t>
            </w:r>
          </w:p>
        </w:tc>
      </w:tr>
    </w:tbl>
    <w:p w14:paraId="48352BB6" w14:textId="004DE3C8" w:rsidR="000A5C71" w:rsidRPr="00146A5B" w:rsidRDefault="0087523C" w:rsidP="00080523">
      <w:pPr>
        <w:pStyle w:val="BodyText"/>
        <w:jc w:val="right"/>
        <w:rPr>
          <w:i/>
          <w:sz w:val="22"/>
          <w:szCs w:val="22"/>
        </w:rPr>
      </w:pPr>
      <w:r w:rsidRPr="00146A5B">
        <w:rPr>
          <w:i/>
          <w:sz w:val="22"/>
          <w:szCs w:val="22"/>
        </w:rPr>
        <w:t xml:space="preserve">Adapted from </w:t>
      </w:r>
      <w:r w:rsidR="00F8289D" w:rsidRPr="00146A5B">
        <w:rPr>
          <w:i/>
          <w:sz w:val="22"/>
          <w:szCs w:val="22"/>
        </w:rPr>
        <w:t>Bon</w:t>
      </w:r>
      <w:r w:rsidR="0003265A" w:rsidRPr="00146A5B">
        <w:rPr>
          <w:i/>
          <w:sz w:val="22"/>
          <w:szCs w:val="22"/>
        </w:rPr>
        <w:t>n</w:t>
      </w:r>
      <w:r w:rsidR="00F8289D" w:rsidRPr="00146A5B">
        <w:rPr>
          <w:i/>
          <w:sz w:val="22"/>
          <w:szCs w:val="22"/>
        </w:rPr>
        <w:t>et</w:t>
      </w:r>
      <w:r w:rsidR="00720E4F" w:rsidRPr="00146A5B">
        <w:rPr>
          <w:i/>
          <w:sz w:val="22"/>
          <w:szCs w:val="22"/>
        </w:rPr>
        <w:t xml:space="preserve"> et al.</w:t>
      </w:r>
      <w:r w:rsidR="0003265A" w:rsidRPr="00146A5B">
        <w:rPr>
          <w:i/>
          <w:sz w:val="22"/>
          <w:szCs w:val="22"/>
        </w:rPr>
        <w:t xml:space="preserve"> </w:t>
      </w:r>
      <w:r w:rsidR="0003265A" w:rsidRPr="00146A5B">
        <w:rPr>
          <w:i/>
          <w:sz w:val="22"/>
          <w:szCs w:val="22"/>
        </w:rPr>
        <w:fldChar w:fldCharType="begin"/>
      </w:r>
      <w:r w:rsidR="00956746" w:rsidRPr="00146A5B">
        <w:rPr>
          <w:i/>
          <w:sz w:val="22"/>
          <w:szCs w:val="22"/>
        </w:rPr>
        <w:instrText xml:space="preserve"> ADDIN EN.CITE &lt;EndNote&gt;&lt;Cite ExcludeAuth="1"&gt;&lt;Author&gt;Bonnet&lt;/Author&gt;&lt;Year&gt;2020&lt;/Year&gt;&lt;RecNum&gt;19&lt;/RecNum&gt;&lt;DisplayText&gt;[8]&lt;/DisplayText&gt;&lt;record&gt;&lt;rec-number&gt;19&lt;/rec-number&gt;&lt;foreign-keys&gt;&lt;key app="EN" db-id="5fz2fzfzg2w2x4efdz3xprvlzezfdv2spstv" timestamp="1676597274"&gt;19&lt;/key&gt;&lt;/foreign-keys&gt;&lt;ref-type name="Journal Article"&gt;17&lt;/ref-type&gt;&lt;contributors&gt;&lt;authors&gt;&lt;author&gt;Bonnet, Udo&lt;/author&gt;&lt;author&gt;Specka, Michael&lt;/author&gt;&lt;author&gt;Soyka, Michael&lt;/author&gt;&lt;author&gt;Alberti, Thomas&lt;/author&gt;&lt;author&gt;Bender, Stefan&lt;/author&gt;&lt;author&gt;Grigoleit, Torsten&lt;/author&gt;&lt;author&gt;Hermle, Leopold&lt;/author&gt;&lt;author&gt;Hilger, Jörg&lt;/author&gt;&lt;author&gt;Hillemacher, Thomas&lt;/author&gt;&lt;author&gt;Kuhlmann, Thomas&lt;/author&gt;&lt;author&gt;Kuhn, Jens&lt;/author&gt;&lt;author&gt;Luckhaus, Christian&lt;/author&gt;&lt;author&gt;Lüdecke, Christel&lt;/author&gt;&lt;author&gt;Reimer, Jens&lt;/author&gt;&lt;author&gt;Schneider, Udo&lt;/author&gt;&lt;author&gt;Schroeder, Welf&lt;/author&gt;&lt;author&gt;Stuppe, Markus&lt;/author&gt;&lt;author&gt;Wiesbeck, Gerhard A.&lt;/author&gt;&lt;author&gt;Wodarz, Norbert&lt;/author&gt;&lt;author&gt;McAnally, Heath&lt;/author&gt;&lt;author&gt;Scherbaum, Norbert&lt;/author&gt;&lt;/authors&gt;&lt;/contributors&gt;&lt;titles&gt;&lt;title&gt;Ranking the harm of psychoactive drugs including prescription analgesics to users and others – A perspective of German addiction medicine experts&lt;/title&gt;&lt;secondary-title&gt;Frontiers in Psychiatry&lt;/secondary-title&gt;&lt;/titles&gt;&lt;periodical&gt;&lt;full-title&gt;Frontiers in Psychiatry&lt;/full-title&gt;&lt;/periodical&gt;&lt;volume&gt;11&lt;/volume&gt;&lt;dates&gt;&lt;year&gt;2020&lt;/year&gt;&lt;/dates&gt;&lt;isbn&gt;1664-0640&lt;/isbn&gt;&lt;urls&gt;&lt;/urls&gt;&lt;electronic-resource-num&gt;10.3389/fpsyt.2020.592199&lt;/electronic-resource-num&gt;&lt;/record&gt;&lt;/Cite&gt;&lt;/EndNote&gt;</w:instrText>
      </w:r>
      <w:r w:rsidR="0003265A" w:rsidRPr="00146A5B">
        <w:rPr>
          <w:i/>
          <w:sz w:val="22"/>
          <w:szCs w:val="22"/>
        </w:rPr>
        <w:fldChar w:fldCharType="separate"/>
      </w:r>
      <w:r w:rsidR="00956746" w:rsidRPr="00146A5B">
        <w:rPr>
          <w:i/>
          <w:noProof/>
          <w:sz w:val="22"/>
          <w:szCs w:val="22"/>
        </w:rPr>
        <w:t>[8]</w:t>
      </w:r>
      <w:r w:rsidR="0003265A" w:rsidRPr="00146A5B">
        <w:rPr>
          <w:i/>
          <w:sz w:val="22"/>
          <w:szCs w:val="22"/>
        </w:rPr>
        <w:fldChar w:fldCharType="end"/>
      </w:r>
      <w:r w:rsidR="00DD7543" w:rsidRPr="00146A5B">
        <w:rPr>
          <w:i/>
          <w:sz w:val="22"/>
          <w:szCs w:val="22"/>
        </w:rPr>
        <w:t>.</w:t>
      </w:r>
      <w:r w:rsidR="004A7A3A" w:rsidRPr="00146A5B">
        <w:rPr>
          <w:i/>
          <w:sz w:val="22"/>
          <w:szCs w:val="22"/>
        </w:rPr>
        <w:t xml:space="preserve"> </w:t>
      </w:r>
    </w:p>
    <w:p w14:paraId="3ADACCE5" w14:textId="572B518C" w:rsidR="007050BD" w:rsidRDefault="004A7A3A" w:rsidP="002B281E">
      <w:pPr>
        <w:pStyle w:val="BodyText"/>
      </w:pPr>
      <w:r>
        <w:t xml:space="preserve">Australia’s National Drug Strategy </w:t>
      </w:r>
      <w:r>
        <w:fldChar w:fldCharType="begin"/>
      </w:r>
      <w:r w:rsidR="00956746">
        <w:instrText xml:space="preserve"> ADDIN EN.CITE &lt;EndNote&gt;&lt;Cite&gt;&lt;Author&gt;Department of Health&lt;/Author&gt;&lt;Year&gt;2017&lt;/Year&gt;&lt;RecNum&gt;67&lt;/RecNum&gt;&lt;DisplayText&gt;[9]&lt;/DisplayText&gt;&lt;record&gt;&lt;rec-number&gt;67&lt;/rec-number&gt;&lt;foreign-keys&gt;&lt;key app="EN" db-id="5fz2fzfzg2w2x4efdz3xprvlzezfdv2spstv" timestamp="1678334557"&gt;67&lt;/key&gt;&lt;/foreign-keys&gt;&lt;ref-type name="Report"&gt;27&lt;/ref-type&gt;&lt;contributors&gt;&lt;authors&gt;&lt;author&gt;Department of Health,&lt;/author&gt;&lt;/authors&gt;&lt;/contributors&gt;&lt;titles&gt;&lt;title&gt;National Drug Strategy 2017-2026&lt;/title&gt;&lt;/titles&gt;&lt;dates&gt;&lt;year&gt;2017&lt;/year&gt;&lt;/dates&gt;&lt;pub-location&gt;Canberra, ACT&lt;/pub-location&gt;&lt;publisher&gt;Department of Health, Commonwealth of Australia&lt;/publisher&gt;&lt;urls&gt;&lt;/urls&gt;&lt;/record&gt;&lt;/Cite&gt;&lt;/EndNote&gt;</w:instrText>
      </w:r>
      <w:r>
        <w:fldChar w:fldCharType="separate"/>
      </w:r>
      <w:r w:rsidR="00956746">
        <w:rPr>
          <w:noProof/>
        </w:rPr>
        <w:t>[9]</w:t>
      </w:r>
      <w:r>
        <w:fldChar w:fldCharType="end"/>
      </w:r>
      <w:r>
        <w:t xml:space="preserve"> </w:t>
      </w:r>
      <w:r w:rsidR="00722E00">
        <w:t>categorises a similar set of harms a</w:t>
      </w:r>
      <w:r>
        <w:t xml:space="preserve">s health, social and economic harms (see Table </w:t>
      </w:r>
      <w:r w:rsidR="00515F2E">
        <w:t>2</w:t>
      </w:r>
      <w:r>
        <w:t>).</w:t>
      </w:r>
      <w:r w:rsidR="00F603E6">
        <w:t xml:space="preserve"> </w:t>
      </w:r>
    </w:p>
    <w:p w14:paraId="76F3369E" w14:textId="77777777" w:rsidR="004C6F05" w:rsidRDefault="0096144E" w:rsidP="006D1DB3">
      <w:pPr>
        <w:pStyle w:val="Heading2"/>
      </w:pPr>
      <w:bookmarkStart w:id="7" w:name="_Toc136851451"/>
      <w:r>
        <w:t>The</w:t>
      </w:r>
      <w:r w:rsidR="004C6F05">
        <w:t xml:space="preserve"> current approach is not meeting Tasmanians' need</w:t>
      </w:r>
      <w:r>
        <w:t>s</w:t>
      </w:r>
      <w:bookmarkEnd w:id="7"/>
    </w:p>
    <w:p w14:paraId="6B834BE6" w14:textId="77777777" w:rsidR="00304A96" w:rsidRPr="00080523" w:rsidRDefault="00304A96" w:rsidP="00080523">
      <w:pPr>
        <w:pStyle w:val="IntenseQuote"/>
        <w:rPr>
          <w:rStyle w:val="IntenseEmphasis"/>
          <w:color w:val="4F81BD" w:themeColor="accent1"/>
        </w:rPr>
      </w:pPr>
      <w:r w:rsidRPr="00080523">
        <w:rPr>
          <w:rStyle w:val="IntenseEmphasis"/>
          <w:i/>
          <w:iCs/>
          <w:color w:val="4F81BD" w:themeColor="accent1"/>
        </w:rPr>
        <w:t xml:space="preserve">“You can get treatment, and maybe control your use, but </w:t>
      </w:r>
      <w:r w:rsidR="00D67710" w:rsidRPr="00080523">
        <w:rPr>
          <w:rStyle w:val="IntenseEmphasis"/>
          <w:i/>
          <w:iCs/>
          <w:color w:val="4F81BD" w:themeColor="accent1"/>
        </w:rPr>
        <w:t>the conviction you get at 17 stays with you forever”</w:t>
      </w:r>
    </w:p>
    <w:p w14:paraId="2703A42D" w14:textId="6CE5BA93" w:rsidR="00B070CC" w:rsidRDefault="0005736D" w:rsidP="00660570">
      <w:pPr>
        <w:pStyle w:val="BodyText"/>
        <w:widowControl/>
      </w:pPr>
      <w:r>
        <w:t xml:space="preserve">Tasmania has </w:t>
      </w:r>
      <w:r w:rsidR="00463B03">
        <w:t>several</w:t>
      </w:r>
      <w:r>
        <w:t xml:space="preserve"> harm-minimisation measures in place, including</w:t>
      </w:r>
      <w:r w:rsidR="00484778">
        <w:t xml:space="preserve"> Alcohol and Other Drug services,</w:t>
      </w:r>
      <w:r>
        <w:t xml:space="preserve"> the </w:t>
      </w:r>
      <w:r w:rsidRPr="001F5361">
        <w:rPr>
          <w:b/>
          <w:color w:val="31849B" w:themeColor="accent5" w:themeShade="BF"/>
        </w:rPr>
        <w:t>Needle and Syringe Program</w:t>
      </w:r>
      <w:r w:rsidRPr="001F5361">
        <w:rPr>
          <w:color w:val="31849B" w:themeColor="accent5" w:themeShade="BF"/>
        </w:rPr>
        <w:t xml:space="preserve"> </w:t>
      </w:r>
      <w:r>
        <w:t xml:space="preserve">and </w:t>
      </w:r>
      <w:r w:rsidRPr="001F5361">
        <w:rPr>
          <w:b/>
          <w:color w:val="31849B" w:themeColor="accent5" w:themeShade="BF"/>
        </w:rPr>
        <w:t>naloxone</w:t>
      </w:r>
      <w:r w:rsidRPr="001F5361">
        <w:rPr>
          <w:color w:val="31849B" w:themeColor="accent5" w:themeShade="BF"/>
        </w:rPr>
        <w:t xml:space="preserve"> </w:t>
      </w:r>
      <w:r>
        <w:t xml:space="preserve">kits. These measures </w:t>
      </w:r>
      <w:r w:rsidR="001F07A8">
        <w:t>help</w:t>
      </w:r>
      <w:r w:rsidR="00660570">
        <w:t xml:space="preserve"> to reduce co-morbidities among injecting drug users, and better manage overdoses</w:t>
      </w:r>
      <w:r w:rsidR="002C2C2D">
        <w:t xml:space="preserve"> </w:t>
      </w:r>
      <w:r w:rsidR="00A63955">
        <w:fldChar w:fldCharType="begin"/>
      </w:r>
      <w:r w:rsidR="00956746">
        <w:instrText xml:space="preserve"> ADDIN EN.CITE &lt;EndNote&gt;&lt;Cite&gt;&lt;Author&gt;Bruno&lt;/Author&gt;&lt;Year&gt;2022&lt;/Year&gt;&lt;RecNum&gt;24&lt;/RecNum&gt;&lt;DisplayText&gt;[10]&lt;/DisplayText&gt;&lt;record&gt;&lt;rec-number&gt;24&lt;/rec-number&gt;&lt;foreign-keys&gt;&lt;key app="EN" db-id="5fz2fzfzg2w2x4efdz3xprvlzezfdv2spstv" timestamp="1676606417"&gt;24&lt;/key&gt;&lt;/foreign-keys&gt;&lt;ref-type name="Report"&gt;27&lt;/ref-type&gt;&lt;contributors&gt;&lt;authors&gt;&lt;author&gt;Bruno, Raimondo&lt;/author&gt;&lt;author&gt;Wilson, Yalei&lt;/author&gt;&lt;author&gt;Greaves, Robyn&lt;/author&gt;&lt;author&gt;Briggs, Myf&lt;/author&gt;&lt;/authors&gt;&lt;/contributors&gt;&lt;titles&gt;&lt;title&gt;Access to naloxone in Tasmania, 2014-2022&lt;/title&gt;&lt;/titles&gt;&lt;dates&gt;&lt;year&gt;2022&lt;/year&gt;&lt;/dates&gt;&lt;pub-location&gt;Sydney, NSW&lt;/pub-location&gt;&lt;publisher&gt;National Drug and Alcohol Research Centre (NDARC), UNSW Sydney&lt;/publisher&gt;&lt;urls&gt;&lt;/urls&gt;&lt;/record&gt;&lt;/Cite&gt;&lt;/EndNote&gt;</w:instrText>
      </w:r>
      <w:r w:rsidR="00A63955">
        <w:fldChar w:fldCharType="separate"/>
      </w:r>
      <w:r w:rsidR="00956746">
        <w:rPr>
          <w:noProof/>
        </w:rPr>
        <w:t>[10]</w:t>
      </w:r>
      <w:r w:rsidR="00A63955">
        <w:fldChar w:fldCharType="end"/>
      </w:r>
      <w:r w:rsidR="00660570">
        <w:t xml:space="preserve">. However, they </w:t>
      </w:r>
      <w:r w:rsidR="001F07A8">
        <w:t>do</w:t>
      </w:r>
      <w:r w:rsidR="00660570">
        <w:t xml:space="preserve"> not address </w:t>
      </w:r>
      <w:r w:rsidR="002C2C2D" w:rsidRPr="00B8000A">
        <w:rPr>
          <w:b/>
          <w:color w:val="31849B" w:themeColor="accent5" w:themeShade="BF"/>
        </w:rPr>
        <w:t>upstream</w:t>
      </w:r>
      <w:r w:rsidR="00660570" w:rsidRPr="00B8000A">
        <w:rPr>
          <w:color w:val="31849B" w:themeColor="accent5" w:themeShade="BF"/>
        </w:rPr>
        <w:t xml:space="preserve"> </w:t>
      </w:r>
      <w:r w:rsidR="00660570">
        <w:t xml:space="preserve">risk factors for </w:t>
      </w:r>
      <w:r w:rsidR="00660570" w:rsidRPr="00476A80">
        <w:rPr>
          <w:b/>
          <w:bCs/>
          <w:color w:val="31849B" w:themeColor="accent5" w:themeShade="BF"/>
        </w:rPr>
        <w:t xml:space="preserve">drug use </w:t>
      </w:r>
      <w:r w:rsidR="002C2C2D" w:rsidRPr="00476A80">
        <w:rPr>
          <w:b/>
          <w:bCs/>
          <w:color w:val="31849B" w:themeColor="accent5" w:themeShade="BF"/>
        </w:rPr>
        <w:t>disorders</w:t>
      </w:r>
      <w:r w:rsidR="00476A80">
        <w:t xml:space="preserve"> </w:t>
      </w:r>
      <w:r w:rsidR="00476A80" w:rsidRPr="00476A80">
        <w:rPr>
          <w:b/>
          <w:bCs/>
          <w:color w:val="31849B" w:themeColor="accent5" w:themeShade="BF"/>
        </w:rPr>
        <w:t>(DUD)</w:t>
      </w:r>
      <w:r w:rsidR="002C2C2D">
        <w:t xml:space="preserve"> </w:t>
      </w:r>
      <w:r w:rsidR="00660570">
        <w:t>or enabl</w:t>
      </w:r>
      <w:r w:rsidR="001F07A8">
        <w:t>e</w:t>
      </w:r>
      <w:r w:rsidR="00660570">
        <w:t xml:space="preserve"> people to access preventive treatment. </w:t>
      </w:r>
      <w:r w:rsidR="00463B03">
        <w:t xml:space="preserve">Where stigma or poverty are present, </w:t>
      </w:r>
      <w:r w:rsidR="00660570">
        <w:t>a court</w:t>
      </w:r>
      <w:r w:rsidR="003226B1">
        <w:t>-</w:t>
      </w:r>
      <w:r w:rsidR="00660570">
        <w:t xml:space="preserve">mandated order for drug treatment may be the </w:t>
      </w:r>
      <w:r w:rsidR="00462C98">
        <w:t>only</w:t>
      </w:r>
      <w:r w:rsidR="00660570">
        <w:t xml:space="preserve"> opportunity to </w:t>
      </w:r>
      <w:r w:rsidR="00CE24A7">
        <w:t>access</w:t>
      </w:r>
      <w:r w:rsidR="00660570">
        <w:t xml:space="preserve"> help. </w:t>
      </w:r>
    </w:p>
    <w:p w14:paraId="0636902F" w14:textId="77777777" w:rsidR="00301FE9" w:rsidRDefault="00301FE9" w:rsidP="007E536B">
      <w:pPr>
        <w:pStyle w:val="Heading3"/>
      </w:pPr>
      <w:bookmarkStart w:id="8" w:name="_Toc136851452"/>
      <w:r>
        <w:t>Treatment and supports are under pressure</w:t>
      </w:r>
      <w:bookmarkEnd w:id="8"/>
    </w:p>
    <w:p w14:paraId="764614FE" w14:textId="44338779" w:rsidR="0074347C" w:rsidRDefault="00660570" w:rsidP="0074347C">
      <w:r>
        <w:t xml:space="preserve">In </w:t>
      </w:r>
      <w:r w:rsidR="00B47143">
        <w:t>a healthy Tasmania,</w:t>
      </w:r>
      <w:r>
        <w:t xml:space="preserve"> all those seeking </w:t>
      </w:r>
      <w:r w:rsidR="00B47143">
        <w:t>assistance to prevent</w:t>
      </w:r>
      <w:r w:rsidR="00515F2E">
        <w:t xml:space="preserve"> or treat</w:t>
      </w:r>
      <w:r>
        <w:t xml:space="preserve"> a drug use disorder would have </w:t>
      </w:r>
      <w:r w:rsidR="00467015">
        <w:t xml:space="preserve">safe </w:t>
      </w:r>
      <w:r>
        <w:t>access to appropriate services</w:t>
      </w:r>
      <w:r w:rsidR="002C2C2D">
        <w:t>: mental health services, general practitioners</w:t>
      </w:r>
      <w:r w:rsidR="003226B1">
        <w:t xml:space="preserve"> and</w:t>
      </w:r>
      <w:r w:rsidR="002C2C2D">
        <w:t xml:space="preserve"> drug treatment programs</w:t>
      </w:r>
      <w:r>
        <w:t xml:space="preserve">. </w:t>
      </w:r>
      <w:r w:rsidR="00B47143">
        <w:t>M</w:t>
      </w:r>
      <w:r w:rsidR="00467015">
        <w:t>ental health, general practice and drug treatment services ar</w:t>
      </w:r>
      <w:r w:rsidR="00B47143">
        <w:t>e</w:t>
      </w:r>
      <w:r w:rsidR="00467015">
        <w:t xml:space="preserve"> at </w:t>
      </w:r>
      <w:r w:rsidR="00B47143">
        <w:t xml:space="preserve">or near </w:t>
      </w:r>
      <w:r w:rsidR="00467015">
        <w:t xml:space="preserve">capacity, bulk-billed options are rare, and people who use drugs (especially intravenous drugs) are often excluded </w:t>
      </w:r>
      <w:r w:rsidR="00A5709E">
        <w:fldChar w:fldCharType="begin"/>
      </w:r>
      <w:r w:rsidR="00956746">
        <w:instrText xml:space="preserve"> ADDIN EN.CITE &lt;EndNote&gt;&lt;Cite&gt;&lt;Author&gt;Mental Health Alcohol and Drug Directorate&lt;/Author&gt;&lt;Year&gt;2020&lt;/Year&gt;&lt;RecNum&gt;152&lt;/RecNum&gt;&lt;DisplayText&gt;[11, 12]&lt;/DisplayText&gt;&lt;record&gt;&lt;rec-number&gt;152&lt;/rec-number&gt;&lt;foreign-keys&gt;&lt;key app="EN" db-id="5fz2fzfzg2w2x4efdz3xprvlzezfdv2spstv" timestamp="1679522386"&gt;152&lt;/key&gt;&lt;/foreign-keys&gt;&lt;ref-type name="Book"&gt;6&lt;/ref-type&gt;&lt;contributors&gt;&lt;authors&gt;&lt;author&gt;Mental Health Alcohol and Drug Directorate,&lt;/author&gt;&lt;/authors&gt;&lt;/contributors&gt;&lt;titles&gt;&lt;title&gt;Reform Agenda for the Alcohol and Other Drugs Sector in Tasmania&lt;/title&gt;&lt;/titles&gt;&lt;dates&gt;&lt;year&gt;2020&lt;/year&gt;&lt;/dates&gt;&lt;pub-location&gt;Hobart, TAS&lt;/pub-location&gt;&lt;publisher&gt;Mental Health, Alcohol and Drug Directorate, Department of Health, Government of Tasmania&lt;/publisher&gt;&lt;urls&gt;&lt;/urls&gt;&lt;/record&gt;&lt;/Cite&gt;&lt;Cite&gt;&lt;Author&gt;Fraser&lt;/Author&gt;&lt;Year&gt;2020&lt;/Year&gt;&lt;RecNum&gt;153&lt;/RecNum&gt;&lt;record&gt;&lt;rec-number&gt;153&lt;/rec-number&gt;&lt;foreign-keys&gt;&lt;key app="EN" db-id="5fz2fzfzg2w2x4efdz3xprvlzezfdv2spstv" timestamp="1679522517"&gt;153&lt;/key&gt;&lt;/foreign-keys&gt;&lt;ref-type name="Journal Article"&gt;17&lt;/ref-type&gt;&lt;contributors&gt;&lt;authors&gt;&lt;author&gt;Fraser, Suzanne&lt;/author&gt;&lt;author&gt;Moore, David&lt;/author&gt;&lt;author&gt;Farrugia, Adrian&lt;/author&gt;&lt;author&gt;Edwards, Michael&lt;/author&gt;&lt;author&gt;Madden, Annie&lt;/author&gt;&lt;/authors&gt;&lt;/contributors&gt;&lt;titles&gt;&lt;title&gt;Exclusion and hospitality: The subtle dynamics of stigma in healthcare access for people emerging from alcohol and other drug treatment&lt;/title&gt;&lt;secondary-title&gt;Sociology of Health &amp;amp; Illness&lt;/secondary-title&gt;&lt;/titles&gt;&lt;periodical&gt;&lt;full-title&gt;Sociology of Health &amp;amp; Illness&lt;/full-title&gt;&lt;/periodical&gt;&lt;pages&gt;1801-1820&lt;/pages&gt;&lt;volume&gt;42&lt;/volume&gt;&lt;number&gt;8&lt;/number&gt;&lt;section&gt;1801&lt;/section&gt;&lt;dates&gt;&lt;year&gt;2020&lt;/year&gt;&lt;/dates&gt;&lt;isbn&gt;0141-9889&amp;#xD;1467-9566&lt;/isbn&gt;&lt;urls&gt;&lt;/urls&gt;&lt;electronic-resource-num&gt;10.1111/1467-9566.13180&lt;/electronic-resource-num&gt;&lt;/record&gt;&lt;/Cite&gt;&lt;/EndNote&gt;</w:instrText>
      </w:r>
      <w:r w:rsidR="00A5709E">
        <w:fldChar w:fldCharType="separate"/>
      </w:r>
      <w:r w:rsidR="00956746">
        <w:rPr>
          <w:noProof/>
        </w:rPr>
        <w:t>[11, 12]</w:t>
      </w:r>
      <w:r w:rsidR="00A5709E">
        <w:fldChar w:fldCharType="end"/>
      </w:r>
      <w:r w:rsidR="00467015">
        <w:t xml:space="preserve">. In addition, while Aboriginal health services provide culturally appropriate care and support, this is not necessarily the case in the mainstream. </w:t>
      </w:r>
      <w:r w:rsidR="002C2C2D">
        <w:t>Even where services and supports are available, there is evidence of stigmatising interactions</w:t>
      </w:r>
      <w:r w:rsidR="0074347C">
        <w:t xml:space="preserve"> and </w:t>
      </w:r>
      <w:r w:rsidR="0074347C" w:rsidRPr="00D03482">
        <w:rPr>
          <w:b/>
          <w:bCs/>
          <w:color w:val="31849B" w:themeColor="accent5" w:themeShade="BF"/>
        </w:rPr>
        <w:t>discrimination</w:t>
      </w:r>
      <w:r w:rsidR="0074347C" w:rsidRPr="00D03482">
        <w:rPr>
          <w:color w:val="31849B" w:themeColor="accent5" w:themeShade="BF"/>
        </w:rPr>
        <w:t xml:space="preserve"> </w:t>
      </w:r>
      <w:r w:rsidR="0074347C" w:rsidRPr="0074347C">
        <w:fldChar w:fldCharType="begin">
          <w:fldData xml:space="preserve">PEVuZE5vdGU+PENpdGU+PEF1dGhvcj5QYXJsaWFtZW50IG9mIEF1c3RyYWxpYTwvQXV0aG9yPjxZ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</w:fldData>
        </w:fldChar>
      </w:r>
      <w:r w:rsidR="00956746">
        <w:instrText xml:space="preserve"> ADDIN EN.CITE </w:instrText>
      </w:r>
      <w:r w:rsidR="00956746">
        <w:fldChar w:fldCharType="begin">
          <w:fldData xml:space="preserve">PEVuZE5vdGU+PENpdGU+PEF1dGhvcj5QYXJsaWFtZW50IG9mIEF1c3RyYWxpYTwvQXV0aG9yPjxZ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</w:fldData>
        </w:fldChar>
      </w:r>
      <w:r w:rsidR="00956746">
        <w:instrText xml:space="preserve"> ADDIN EN.CITE.DATA </w:instrText>
      </w:r>
      <w:r w:rsidR="00956746">
        <w:fldChar w:fldCharType="end"/>
      </w:r>
      <w:r w:rsidR="0074347C" w:rsidRPr="0074347C">
        <w:fldChar w:fldCharType="separate"/>
      </w:r>
      <w:r w:rsidR="00956746">
        <w:rPr>
          <w:noProof/>
        </w:rPr>
        <w:t>[e.g., 13, 14, 15]</w:t>
      </w:r>
      <w:r w:rsidR="0074347C" w:rsidRPr="0074347C">
        <w:fldChar w:fldCharType="end"/>
      </w:r>
      <w:r w:rsidR="0074347C">
        <w:t xml:space="preserve"> creating “additional barriers to accessing social and medical support, financial stability, housing, and employment and thereby compound the risk factors for progression” </w:t>
      </w:r>
      <w:r w:rsidR="0074347C">
        <w:fldChar w:fldCharType="begin"/>
      </w:r>
      <w:r w:rsidR="00956746">
        <w:instrText xml:space="preserve"> ADDIN EN.CITE &lt;EndNote&gt;&lt;Cite&gt;&lt;Author&gt;Park&lt;/Author&gt;&lt;Year&gt;2020&lt;/Year&gt;&lt;RecNum&gt;83&lt;/RecNum&gt;&lt;Pages&gt;709&lt;/Pages&gt;&lt;DisplayText&gt;[16]&lt;/DisplayText&gt;&lt;record&gt;&lt;rec-number&gt;83&lt;/rec-number&gt;&lt;foreign-keys&gt;&lt;key app="EN" db-id="5fz2fzfzg2w2x4efdz3xprvlzezfdv2spstv" timestamp="1678338994"&gt;83&lt;/key&gt;&lt;/foreign-keys&gt;&lt;ref-type name="Journal Article"&gt;17&lt;/ref-type&gt;&lt;contributors&gt;&lt;authors&gt;&lt;author&gt;Park, Ju Nyeong&lt;/author&gt;&lt;author&gt;Rouhani, Saba&lt;/author&gt;&lt;author&gt;Beletsky, L. E. O.&lt;/author&gt;&lt;author&gt;Vincent, Louise&lt;/author&gt;&lt;author&gt;Saloner, Brendan&lt;/author&gt;&lt;author&gt;Sherman, Susan G.&lt;/author&gt;&lt;/authors&gt;&lt;/contributors&gt;&lt;titles&gt;&lt;title&gt;Situating the continuum of overdose risk in the social determinants of health: A new conceptual framework&lt;/title&gt;&lt;secondary-title&gt;The Milbank Quarterly&lt;/secondary-title&gt;&lt;/titles&gt;&lt;periodical&gt;&lt;full-title&gt;The Milbank Quarterly&lt;/full-title&gt;&lt;/periodical&gt;&lt;pages&gt;700-746&lt;/pages&gt;&lt;volume&gt;98&lt;/volume&gt;&lt;number&gt;3&lt;/number&gt;&lt;section&gt;700&lt;/section&gt;&lt;dates&gt;&lt;year&gt;2020&lt;/year&gt;&lt;/dates&gt;&lt;isbn&gt;0887-378X&amp;#xD;1468-0009&lt;/isbn&gt;&lt;urls&gt;&lt;/urls&gt;&lt;electronic-resource-num&gt;10.1111/1468-0009.12470&lt;/electronic-resource-num&gt;&lt;/record&gt;&lt;/Cite&gt;&lt;/EndNote&gt;</w:instrText>
      </w:r>
      <w:r w:rsidR="0074347C">
        <w:fldChar w:fldCharType="separate"/>
      </w:r>
      <w:r w:rsidR="00956746">
        <w:rPr>
          <w:noProof/>
        </w:rPr>
        <w:t>[16]</w:t>
      </w:r>
      <w:r w:rsidR="0074347C">
        <w:fldChar w:fldCharType="end"/>
      </w:r>
      <w:r w:rsidR="0074347C">
        <w:t xml:space="preserve">. </w:t>
      </w:r>
    </w:p>
    <w:p w14:paraId="79A03DC5" w14:textId="77777777" w:rsidR="00C83033" w:rsidRPr="008C7D2D" w:rsidRDefault="00C83033" w:rsidP="00C83033">
      <w:pPr>
        <w:pStyle w:val="IntenseQuote"/>
        <w:rPr>
          <w:rStyle w:val="IntenseEmphasis"/>
          <w:color w:val="4F81BD" w:themeColor="accent1"/>
        </w:rPr>
      </w:pPr>
      <w:r w:rsidRPr="008C7D2D">
        <w:rPr>
          <w:rStyle w:val="IntenseEmphasis"/>
          <w:i/>
          <w:iCs/>
          <w:color w:val="4F81BD" w:themeColor="accent1"/>
        </w:rPr>
        <w:t>“This is a small town—everyone knows that you’ve been getting methadone, or been to the clinic”</w:t>
      </w:r>
    </w:p>
    <w:p w14:paraId="136EA52E" w14:textId="77777777" w:rsidR="00C83033" w:rsidRDefault="00C83033" w:rsidP="007E536B">
      <w:pPr>
        <w:pStyle w:val="Heading3"/>
      </w:pPr>
      <w:bookmarkStart w:id="9" w:name="_Toc136851453"/>
      <w:r>
        <w:t>… and they don’t always feel safe</w:t>
      </w:r>
      <w:bookmarkEnd w:id="9"/>
    </w:p>
    <w:p w14:paraId="16C39DDF" w14:textId="2EC286C7" w:rsidR="003E0130" w:rsidRDefault="00C83033">
      <w:pPr>
        <w:pStyle w:val="BodyText"/>
      </w:pPr>
      <w:r>
        <w:t>The stigma attached to drug use and f</w:t>
      </w:r>
      <w:r w:rsidRPr="0005736D">
        <w:t>ear of the consequences of a drug conviction means that people who might have sought help do not do so</w:t>
      </w:r>
      <w:r>
        <w:t xml:space="preserve"> </w:t>
      </w:r>
      <w:r>
        <w:fldChar w:fldCharType="begin"/>
      </w:r>
      <w:r w:rsidR="00956746">
        <w:instrText xml:space="preserve"> ADDIN EN.CITE &lt;EndNote&gt;&lt;Cite&gt;&lt;Author&gt;Sutherland&lt;/Author&gt;&lt;Year&gt;2023&lt;/Year&gt;&lt;RecNum&gt;124&lt;/RecNum&gt;&lt;DisplayText&gt;[7]&lt;/DisplayText&gt;&lt;record&gt;&lt;rec-number&gt;124&lt;/rec-number&gt;&lt;foreign-keys&gt;&lt;key app="EN" db-id="5fz2fzfzg2w2x4efdz3xprvlzezfdv2spstv" timestamp="1678838501"&gt;124&lt;/key&gt;&lt;/foreign-keys&gt;&lt;ref-type name="Journal Article"&gt;17&lt;/ref-type&gt;&lt;contributors&gt;&lt;authors&gt;&lt;author&gt;Sutherland, Rachel&lt;/author&gt;&lt;author&gt;King, Cate&lt;/author&gt;&lt;author&gt;Karlsson, Antonia&lt;/author&gt;&lt;author&gt;Treloar, Carla&lt;/author&gt;&lt;author&gt;Broady, Timothy&lt;/author&gt;&lt;author&gt;Chandrasena, Udesha&lt;/author&gt;&lt;author&gt;Salom, Caroline&lt;/author&gt;&lt;author&gt;Peacock, Amy&lt;/author&gt;&lt;/authors&gt;&lt;/contributors&gt;&lt;titles&gt;&lt;title&gt;Experiences of stigma while visiting healthcare services among people who use drugs in Australia, 2022&lt;/title&gt;&lt;secondary-title&gt;Drug Trends Bulletin Series&lt;/secondary-title&gt;&lt;/titles&gt;&lt;periodical&gt;&lt;full-title&gt;Drug Trends Bulletin Series&lt;/full-title&gt;&lt;/periodical&gt;&lt;dates&gt;&lt;year&gt;2023&lt;/year&gt;&lt;/dates&gt;&lt;urls&gt;&lt;/urls&gt;&lt;electronic-resource-num&gt;10.26190/rwpw-wc68&lt;/electronic-resource-num&gt;&lt;/record&gt;&lt;/Cite&gt;&lt;/EndNote&gt;</w:instrText>
      </w:r>
      <w:r>
        <w:fldChar w:fldCharType="separate"/>
      </w:r>
      <w:r w:rsidR="00956746">
        <w:rPr>
          <w:noProof/>
        </w:rPr>
        <w:t>[7]</w:t>
      </w:r>
      <w:r>
        <w:fldChar w:fldCharType="end"/>
      </w:r>
      <w:r w:rsidRPr="0005736D">
        <w:t>. As a result, we are not effectively preventing the development of drug use disorders.</w:t>
      </w:r>
      <w:r>
        <w:t xml:space="preserve"> Stigma is increased by drug convictions. </w:t>
      </w:r>
    </w:p>
    <w:p w14:paraId="698C246A" w14:textId="0E042F17" w:rsidR="003E0130" w:rsidRPr="008C7D2D" w:rsidRDefault="003E0130" w:rsidP="003E0130">
      <w:pPr>
        <w:pStyle w:val="IntenseQuote"/>
        <w:rPr>
          <w:i w:val="0"/>
        </w:rPr>
      </w:pPr>
      <w:r>
        <w:t>“</w:t>
      </w:r>
      <w:r w:rsidRPr="00D4464B">
        <w:t>[We</w:t>
      </w:r>
      <w:r>
        <w:t>’ve</w:t>
      </w:r>
      <w:r w:rsidRPr="00D4464B">
        <w:t xml:space="preserve">] seen the look on people’s faces. When we took B [to health services] for example … she looks like a drug addict. </w:t>
      </w:r>
      <w:r>
        <w:t>…</w:t>
      </w:r>
      <w:r w:rsidRPr="00D4464B">
        <w:t xml:space="preserve"> And the doctors and the nurses </w:t>
      </w:r>
      <w:r>
        <w:t>[have]</w:t>
      </w:r>
      <w:r w:rsidRPr="00D4464B">
        <w:t xml:space="preserve"> an involuntary look of ‘Oh my God’</w:t>
      </w:r>
      <w:r>
        <w:t>…</w:t>
      </w:r>
      <w:r w:rsidRPr="00D4464B">
        <w:t xml:space="preserve"> And I understand where that’s coming from, but if I see it, do they see it?</w:t>
      </w:r>
      <w:r w:rsidR="003226B1">
        <w:t xml:space="preserve"> </w:t>
      </w:r>
      <w:r w:rsidRPr="00D4464B">
        <w:t xml:space="preserve">— Absolutely. They see that they’re being judged immediately. And that’s why so many </w:t>
      </w:r>
      <w:r>
        <w:t>[of our community]</w:t>
      </w:r>
      <w:r w:rsidRPr="00D4464B">
        <w:t xml:space="preserve"> have trust issues around </w:t>
      </w:r>
      <w:r>
        <w:t>…</w:t>
      </w:r>
      <w:r w:rsidRPr="00D4464B">
        <w:t xml:space="preserve"> entering buildings where they need to try and access hea</w:t>
      </w:r>
      <w:r w:rsidRPr="007C6AF1">
        <w:t>lth … ”</w:t>
      </w:r>
      <w:r w:rsidR="00F603E6">
        <w:t xml:space="preserve"> </w:t>
      </w:r>
      <w:r w:rsidRPr="002B141E">
        <w:rPr>
          <w:i w:val="0"/>
        </w:rPr>
        <w:fldChar w:fldCharType="begin"/>
      </w:r>
      <w:r w:rsidR="00956746">
        <w:rPr>
          <w:i w:val="0"/>
        </w:rPr>
        <w:instrText xml:space="preserve"> ADDIN EN.CITE &lt;EndNote&gt;&lt;Cite&gt;&lt;Author&gt;Banks&lt;/Author&gt;&lt;Year&gt;2020&lt;/Year&gt;&lt;RecNum&gt;155&lt;/RecNum&gt;&lt;Pages&gt;40&lt;/Pages&gt;&lt;DisplayText&gt;[1]&lt;/DisplayText&gt;&lt;record&gt;&lt;rec-number&gt;155&lt;/rec-number&gt;&lt;foreign-keys&gt;&lt;key app="EN" db-id="5fz2fzfzg2w2x4efdz3xprvlzezfdv2spstv" timestamp="1679523371"&gt;155&lt;/key&gt;&lt;/foreign-keys&gt;&lt;ref-type name="Book"&gt;6&lt;/ref-type&gt;&lt;contributors&gt;&lt;authors&gt;&lt;author&gt;Banks, Susan&lt;/author&gt;&lt;author&gt;Krabbe, Robin&lt;/author&gt;&lt;author&gt;Vendenberg, Miriam&lt;/author&gt;&lt;author&gt;Murray, Thérèse&lt;/author&gt;&lt;/authors&gt;&lt;/contributors&gt;&lt;titles&gt;&lt;title&gt;Building on local strengths: Launceston&amp;apos;s Northern Suburbs. Full report from the Anticipatory Care Action Learning Project&lt;/title&gt;&lt;/titles&gt;&lt;dates&gt;&lt;year&gt;2020&lt;/year&gt;&lt;/dates&gt;&lt;pub-location&gt;Hobart, TAS&lt;/pub-location&gt;&lt;publisher&gt;University of Tasmania&lt;/publisher&gt;&lt;urls&gt;&lt;/urls&gt;&lt;/record&gt;&lt;/Cite&gt;&lt;/EndNote&gt;</w:instrText>
      </w:r>
      <w:r w:rsidRPr="002B141E">
        <w:rPr>
          <w:i w:val="0"/>
        </w:rPr>
        <w:fldChar w:fldCharType="separate"/>
      </w:r>
      <w:r w:rsidR="00956746">
        <w:rPr>
          <w:i w:val="0"/>
          <w:noProof/>
        </w:rPr>
        <w:t>[1]</w:t>
      </w:r>
      <w:r w:rsidRPr="002B141E">
        <w:rPr>
          <w:i w:val="0"/>
        </w:rPr>
        <w:fldChar w:fldCharType="end"/>
      </w:r>
    </w:p>
    <w:p w14:paraId="34FAF336" w14:textId="30E2F7CA" w:rsidR="00C83033" w:rsidRDefault="008258D3" w:rsidP="00080523">
      <w:pPr>
        <w:pStyle w:val="BodyText"/>
      </w:pPr>
      <w:r w:rsidRPr="00C867F8">
        <w:rPr>
          <w:rFonts w:ascii="AvenirNext LT Pro Regular" w:hAnsi="AvenirNext LT Pro Regular"/>
          <w:noProof/>
        </w:rPr>
        <mc:AlternateContent>
          <mc:Choice Requires="wps">
            <w:drawing>
              <wp:anchor distT="0" distB="0" distL="114300" distR="114300" simplePos="0" relativeHeight="251902976" behindDoc="1" locked="0" layoutInCell="1" allowOverlap="1" wp14:anchorId="13B47593" wp14:editId="14B51221">
                <wp:simplePos x="0" y="0"/>
                <wp:positionH relativeFrom="page">
                  <wp:align>right</wp:align>
                </wp:positionH>
                <wp:positionV relativeFrom="paragraph">
                  <wp:posOffset>-1011068</wp:posOffset>
                </wp:positionV>
                <wp:extent cx="7575550" cy="4253024"/>
                <wp:effectExtent l="0" t="0" r="6350" b="0"/>
                <wp:wrapNone/>
                <wp:docPr id="66" name="Rectangle 66"/>
                <wp:cNvGraphicFramePr/>
                <a:graphic xmlns:a="http://schemas.openxmlformats.org/drawingml/2006/main">
                  <a:graphicData uri="http://schemas.microsoft.com/office/word/2010/wordprocessingShape">
                    <wps:wsp>
                      <wps:cNvSpPr/>
                      <wps:spPr>
                        <a:xfrm>
                          <a:off x="0" y="0"/>
                          <a:ext cx="7575550" cy="4253024"/>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C203B" id="Rectangle 66" o:spid="_x0000_s1026" style="position:absolute;margin-left:545.3pt;margin-top:-79.6pt;width:596.5pt;height:334.9pt;z-index:-251413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" fillcolor="#e6e3d9" stroked="f" strokeweight="2pt">
                <w10:wrap anchorx="page"/>
              </v:rect>
            </w:pict>
          </mc:Fallback>
        </mc:AlternateContent>
      </w:r>
      <w:r w:rsidRPr="00C867F8">
        <w:rPr>
          <w:rFonts w:ascii="AvenirNext LT Pro Regular" w:hAnsi="AvenirNext LT Pro Regular"/>
          <w:noProof/>
        </w:rPr>
        <mc:AlternateContent>
          <mc:Choice Requires="wps">
            <w:drawing>
              <wp:anchor distT="0" distB="0" distL="114300" distR="114300" simplePos="0" relativeHeight="251957248" behindDoc="0" locked="0" layoutInCell="1" allowOverlap="1" wp14:anchorId="5736A5A9" wp14:editId="56389875">
                <wp:simplePos x="0" y="0"/>
                <wp:positionH relativeFrom="margin">
                  <wp:align>left</wp:align>
                </wp:positionH>
                <wp:positionV relativeFrom="paragraph">
                  <wp:posOffset>9525</wp:posOffset>
                </wp:positionV>
                <wp:extent cx="6195060" cy="3529965"/>
                <wp:effectExtent l="0" t="0" r="15240" b="13335"/>
                <wp:wrapTopAndBottom/>
                <wp:docPr id="4" name="docshape3" descr="Case study &#10;Julie&#10;Julie started injecting heroin at the age of 14 and soon became dependent on opioids. She started opioid agonist therapy (OAT) when she was 17. Julie’s OAT use has been intermittent, but she’s currently on methadone.&#10;After injecting for 30 years, Julie has few veins that she can access and she’s begun injecting in her neck. Now, though, she’s developed a lump in her throat where she had tried to inject and worries that she’s accidently ‘blown’ the vein. The throat is a high-risk site for injecting, since the carotid artery is right next to the jugular vein and a major nerve, close to the heart and the brain. Repetitive injecting may lead to deep vein thrombosis (DVT). &#10;The service staff discovered Julie was injecting in the wrong direction and urged her to seek medical attention. Like many illicit drug users, she was very hesitant to seek medical assistance for an injecting injury. She had experienced stigma in the healthcare system before and feared being “kicked off” methadone and “forced onto” buprenorphine, which comes with multiple side effects like anxiety and dizziness, headache and constipation or diarrhoea and vomiting.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195260" cy="3530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D81D9" w14:textId="77777777" w:rsidR="005A3B94" w:rsidRPr="002B141E" w:rsidRDefault="005A3B94" w:rsidP="00956746">
                            <w:pPr>
                              <w:spacing w:before="100" w:beforeAutospacing="1" w:after="0"/>
                              <w:rPr>
                                <w:rStyle w:val="Strong"/>
                                <w:bdr w:val="none" w:sz="0" w:space="0" w:color="auto" w:frame="1"/>
                              </w:rPr>
                            </w:pPr>
                            <w:r>
                              <w:rPr>
                                <w:rFonts w:cstheme="minorHAnsi"/>
                                <w:b/>
                              </w:rPr>
                              <w:t>Julie</w:t>
                            </w:r>
                          </w:p>
                          <w:p w14:paraId="61AB4EDA" w14:textId="77777777" w:rsidR="005A3B94" w:rsidRPr="002B141E" w:rsidRDefault="005A3B94" w:rsidP="00956746">
                            <w:pPr>
                              <w:spacing w:after="100" w:afterAutospacing="1"/>
                              <w:rPr>
                                <w:rStyle w:val="Strong"/>
                                <w:rFonts w:cstheme="minorHAnsi"/>
                                <w:b w:val="0"/>
                                <w:bdr w:val="none" w:sz="0" w:space="0" w:color="auto" w:frame="1"/>
                              </w:rPr>
                            </w:pPr>
                            <w:r>
                              <w:rPr>
                                <w:rStyle w:val="Strong"/>
                                <w:rFonts w:cstheme="minorHAnsi"/>
                                <w:b w:val="0"/>
                                <w:bdr w:val="none" w:sz="0" w:space="0" w:color="auto" w:frame="1"/>
                              </w:rPr>
                              <w:t>Julie</w:t>
                            </w:r>
                            <w:r w:rsidRPr="002B141E">
                              <w:rPr>
                                <w:rStyle w:val="Strong"/>
                                <w:rFonts w:cstheme="minorHAnsi"/>
                                <w:b w:val="0"/>
                                <w:bdr w:val="none" w:sz="0" w:space="0" w:color="auto" w:frame="1"/>
                              </w:rPr>
                              <w:t xml:space="preserve"> started injecting heroin at the age of 14 and soon became dependent on opioids. </w:t>
                            </w:r>
                            <w:r>
                              <w:rPr>
                                <w:rStyle w:val="Strong"/>
                                <w:rFonts w:cstheme="minorHAnsi"/>
                                <w:b w:val="0"/>
                                <w:bdr w:val="none" w:sz="0" w:space="0" w:color="auto" w:frame="1"/>
                              </w:rPr>
                              <w:t>Sh</w:t>
                            </w:r>
                            <w:r w:rsidRPr="002B141E">
                              <w:rPr>
                                <w:rStyle w:val="Strong"/>
                                <w:rFonts w:cstheme="minorHAnsi"/>
                                <w:b w:val="0"/>
                                <w:bdr w:val="none" w:sz="0" w:space="0" w:color="auto" w:frame="1"/>
                              </w:rPr>
                              <w:t xml:space="preserve">e started opioid agonist therapy (OAT) when </w:t>
                            </w:r>
                            <w:r>
                              <w:rPr>
                                <w:rStyle w:val="Strong"/>
                                <w:rFonts w:cstheme="minorHAnsi"/>
                                <w:b w:val="0"/>
                                <w:bdr w:val="none" w:sz="0" w:space="0" w:color="auto" w:frame="1"/>
                              </w:rPr>
                              <w:t>s</w:t>
                            </w:r>
                            <w:r w:rsidRPr="002B141E">
                              <w:rPr>
                                <w:rStyle w:val="Strong"/>
                                <w:rFonts w:cstheme="minorHAnsi"/>
                                <w:b w:val="0"/>
                                <w:bdr w:val="none" w:sz="0" w:space="0" w:color="auto" w:frame="1"/>
                              </w:rPr>
                              <w:t xml:space="preserve">he was 17. </w:t>
                            </w:r>
                            <w:r>
                              <w:rPr>
                                <w:rStyle w:val="Strong"/>
                                <w:rFonts w:cstheme="minorHAnsi"/>
                                <w:b w:val="0"/>
                                <w:bdr w:val="none" w:sz="0" w:space="0" w:color="auto" w:frame="1"/>
                              </w:rPr>
                              <w:t>Julie’s</w:t>
                            </w:r>
                            <w:r w:rsidRPr="002B141E">
                              <w:rPr>
                                <w:rStyle w:val="Strong"/>
                                <w:rFonts w:cstheme="minorHAnsi"/>
                                <w:b w:val="0"/>
                                <w:bdr w:val="none" w:sz="0" w:space="0" w:color="auto" w:frame="1"/>
                              </w:rPr>
                              <w:t xml:space="preserve"> OAT use has been intermittent, but </w:t>
                            </w:r>
                            <w:r>
                              <w:rPr>
                                <w:rStyle w:val="Strong"/>
                                <w:rFonts w:cstheme="minorHAnsi"/>
                                <w:b w:val="0"/>
                                <w:bdr w:val="none" w:sz="0" w:space="0" w:color="auto" w:frame="1"/>
                              </w:rPr>
                              <w:t>s</w:t>
                            </w:r>
                            <w:r w:rsidRPr="002B141E">
                              <w:rPr>
                                <w:rStyle w:val="Strong"/>
                                <w:rFonts w:cstheme="minorHAnsi"/>
                                <w:b w:val="0"/>
                                <w:bdr w:val="none" w:sz="0" w:space="0" w:color="auto" w:frame="1"/>
                              </w:rPr>
                              <w:t>he’s currently on methadone.</w:t>
                            </w:r>
                          </w:p>
                          <w:p w14:paraId="03FCE60E" w14:textId="7A7710EC" w:rsidR="005A3B94" w:rsidRPr="00787961" w:rsidRDefault="005A3B94" w:rsidP="00956746">
                            <w:pPr>
                              <w:spacing w:before="100" w:beforeAutospacing="1" w:after="100" w:afterAutospacing="1"/>
                              <w:rPr>
                                <w:rFonts w:cstheme="minorHAnsi"/>
                              </w:rPr>
                            </w:pPr>
                            <w:r w:rsidRPr="002B141E">
                              <w:rPr>
                                <w:rStyle w:val="Strong"/>
                                <w:rFonts w:cstheme="minorHAnsi"/>
                                <w:b w:val="0"/>
                                <w:bdr w:val="none" w:sz="0" w:space="0" w:color="auto" w:frame="1"/>
                              </w:rPr>
                              <w:t>After injecting for 30 years</w:t>
                            </w:r>
                            <w:r>
                              <w:rPr>
                                <w:rStyle w:val="Strong"/>
                                <w:rFonts w:cstheme="minorHAnsi"/>
                                <w:b w:val="0"/>
                                <w:bdr w:val="none" w:sz="0" w:space="0" w:color="auto" w:frame="1"/>
                              </w:rPr>
                              <w:t>,</w:t>
                            </w:r>
                            <w:r w:rsidRPr="002B141E">
                              <w:rPr>
                                <w:rStyle w:val="Strong"/>
                                <w:rFonts w:cstheme="minorHAnsi"/>
                                <w:b w:val="0"/>
                                <w:bdr w:val="none" w:sz="0" w:space="0" w:color="auto" w:frame="1"/>
                              </w:rPr>
                              <w:t xml:space="preserve"> </w:t>
                            </w:r>
                            <w:r>
                              <w:rPr>
                                <w:rStyle w:val="Strong"/>
                                <w:rFonts w:cstheme="minorHAnsi"/>
                                <w:b w:val="0"/>
                                <w:bdr w:val="none" w:sz="0" w:space="0" w:color="auto" w:frame="1"/>
                              </w:rPr>
                              <w:t xml:space="preserve">Julie </w:t>
                            </w:r>
                            <w:r w:rsidRPr="002B141E">
                              <w:rPr>
                                <w:rStyle w:val="Strong"/>
                                <w:rFonts w:cstheme="minorHAnsi"/>
                                <w:b w:val="0"/>
                                <w:bdr w:val="none" w:sz="0" w:space="0" w:color="auto" w:frame="1"/>
                              </w:rPr>
                              <w:t xml:space="preserve">has </w:t>
                            </w:r>
                            <w:r>
                              <w:rPr>
                                <w:rStyle w:val="Strong"/>
                                <w:rFonts w:cstheme="minorHAnsi"/>
                                <w:b w:val="0"/>
                                <w:bdr w:val="none" w:sz="0" w:space="0" w:color="auto" w:frame="1"/>
                              </w:rPr>
                              <w:t>few</w:t>
                            </w:r>
                            <w:r w:rsidRPr="002B141E">
                              <w:rPr>
                                <w:rStyle w:val="Strong"/>
                                <w:rFonts w:cstheme="minorHAnsi"/>
                                <w:b w:val="0"/>
                                <w:bdr w:val="none" w:sz="0" w:space="0" w:color="auto" w:frame="1"/>
                              </w:rPr>
                              <w:t xml:space="preserve"> veins that </w:t>
                            </w:r>
                            <w:r>
                              <w:rPr>
                                <w:rStyle w:val="Strong"/>
                                <w:rFonts w:cstheme="minorHAnsi"/>
                                <w:b w:val="0"/>
                                <w:bdr w:val="none" w:sz="0" w:space="0" w:color="auto" w:frame="1"/>
                              </w:rPr>
                              <w:t>s</w:t>
                            </w:r>
                            <w:r w:rsidRPr="002B141E">
                              <w:rPr>
                                <w:rStyle w:val="Strong"/>
                                <w:rFonts w:cstheme="minorHAnsi"/>
                                <w:b w:val="0"/>
                                <w:bdr w:val="none" w:sz="0" w:space="0" w:color="auto" w:frame="1"/>
                              </w:rPr>
                              <w:t xml:space="preserve">he can access and </w:t>
                            </w:r>
                            <w:r>
                              <w:rPr>
                                <w:rStyle w:val="Strong"/>
                                <w:rFonts w:cstheme="minorHAnsi"/>
                                <w:b w:val="0"/>
                                <w:bdr w:val="none" w:sz="0" w:space="0" w:color="auto" w:frame="1"/>
                              </w:rPr>
                              <w:t>s</w:t>
                            </w:r>
                            <w:r w:rsidRPr="002B141E">
                              <w:rPr>
                                <w:rStyle w:val="Strong"/>
                                <w:rFonts w:cstheme="minorHAnsi"/>
                                <w:b w:val="0"/>
                                <w:bdr w:val="none" w:sz="0" w:space="0" w:color="auto" w:frame="1"/>
                              </w:rPr>
                              <w:t xml:space="preserve">he’s begun injecting in </w:t>
                            </w:r>
                            <w:r>
                              <w:rPr>
                                <w:rStyle w:val="Strong"/>
                                <w:rFonts w:cstheme="minorHAnsi"/>
                                <w:b w:val="0"/>
                                <w:bdr w:val="none" w:sz="0" w:space="0" w:color="auto" w:frame="1"/>
                              </w:rPr>
                              <w:t>her</w:t>
                            </w:r>
                            <w:r w:rsidRPr="002B141E">
                              <w:rPr>
                                <w:rStyle w:val="Strong"/>
                                <w:rFonts w:cstheme="minorHAnsi"/>
                                <w:b w:val="0"/>
                                <w:bdr w:val="none" w:sz="0" w:space="0" w:color="auto" w:frame="1"/>
                              </w:rPr>
                              <w:t xml:space="preserve"> neck. Now, though, </w:t>
                            </w:r>
                            <w:r>
                              <w:rPr>
                                <w:rStyle w:val="Strong"/>
                                <w:rFonts w:cstheme="minorHAnsi"/>
                                <w:b w:val="0"/>
                                <w:bdr w:val="none" w:sz="0" w:space="0" w:color="auto" w:frame="1"/>
                              </w:rPr>
                              <w:t>s</w:t>
                            </w:r>
                            <w:r w:rsidRPr="002B141E">
                              <w:rPr>
                                <w:rStyle w:val="Strong"/>
                                <w:rFonts w:cstheme="minorHAnsi"/>
                                <w:b w:val="0"/>
                                <w:bdr w:val="none" w:sz="0" w:space="0" w:color="auto" w:frame="1"/>
                              </w:rPr>
                              <w:t>he’s developed</w:t>
                            </w:r>
                            <w:r w:rsidRPr="00787961">
                              <w:rPr>
                                <w:rStyle w:val="Strong"/>
                                <w:rFonts w:cstheme="minorHAnsi"/>
                                <w:bdr w:val="none" w:sz="0" w:space="0" w:color="auto" w:frame="1"/>
                              </w:rPr>
                              <w:t xml:space="preserve"> </w:t>
                            </w:r>
                            <w:r w:rsidRPr="00787961">
                              <w:rPr>
                                <w:rFonts w:cstheme="minorHAnsi"/>
                              </w:rPr>
                              <w:t xml:space="preserve">a lump in </w:t>
                            </w:r>
                            <w:r>
                              <w:rPr>
                                <w:rFonts w:cstheme="minorHAnsi"/>
                              </w:rPr>
                              <w:t>her</w:t>
                            </w:r>
                            <w:r w:rsidRPr="00787961">
                              <w:rPr>
                                <w:rFonts w:cstheme="minorHAnsi"/>
                              </w:rPr>
                              <w:t xml:space="preserve"> throat where </w:t>
                            </w:r>
                            <w:r>
                              <w:rPr>
                                <w:rFonts w:cstheme="minorHAnsi"/>
                              </w:rPr>
                              <w:t>s</w:t>
                            </w:r>
                            <w:r w:rsidRPr="00787961">
                              <w:rPr>
                                <w:rFonts w:cstheme="minorHAnsi"/>
                              </w:rPr>
                              <w:t>he ha</w:t>
                            </w:r>
                            <w:r>
                              <w:rPr>
                                <w:rFonts w:cstheme="minorHAnsi"/>
                              </w:rPr>
                              <w:t>s</w:t>
                            </w:r>
                            <w:r w:rsidRPr="00787961">
                              <w:rPr>
                                <w:rFonts w:cstheme="minorHAnsi"/>
                              </w:rPr>
                              <w:t xml:space="preserve"> tried to inject and worries that </w:t>
                            </w:r>
                            <w:r>
                              <w:rPr>
                                <w:rFonts w:cstheme="minorHAnsi"/>
                              </w:rPr>
                              <w:t>s</w:t>
                            </w:r>
                            <w:r w:rsidRPr="00787961">
                              <w:rPr>
                                <w:rFonts w:cstheme="minorHAnsi"/>
                              </w:rPr>
                              <w:t xml:space="preserve">he’s accidently ‘blown’ the vein. The throat is a high-risk site for injecting, since the </w:t>
                            </w:r>
                            <w:r>
                              <w:rPr>
                                <w:rFonts w:cstheme="minorHAnsi"/>
                              </w:rPr>
                              <w:t>carotid artery</w:t>
                            </w:r>
                            <w:r w:rsidRPr="00787961">
                              <w:rPr>
                                <w:rFonts w:cstheme="minorHAnsi"/>
                              </w:rPr>
                              <w:t xml:space="preserve"> is right next to the jugular </w:t>
                            </w:r>
                            <w:r>
                              <w:rPr>
                                <w:rFonts w:cstheme="minorHAnsi"/>
                              </w:rPr>
                              <w:t>vein</w:t>
                            </w:r>
                            <w:r w:rsidRPr="00787961">
                              <w:rPr>
                                <w:rFonts w:cstheme="minorHAnsi"/>
                              </w:rPr>
                              <w:t xml:space="preserve"> and a major nerve, close to the heart and the brain. Repetitive injecting may lead to deep vein thrombosis (DVT). </w:t>
                            </w:r>
                          </w:p>
                          <w:p w14:paraId="181246EF" w14:textId="77777777" w:rsidR="005A3B94" w:rsidRDefault="005A3B94" w:rsidP="00956746">
                            <w:pPr>
                              <w:pStyle w:val="BodyText"/>
                              <w:spacing w:before="100" w:beforeAutospacing="1" w:after="100" w:afterAutospacing="1"/>
                            </w:pPr>
                            <w:r w:rsidRPr="00787961">
                              <w:t xml:space="preserve">The service staff discovered </w:t>
                            </w:r>
                            <w:r>
                              <w:t xml:space="preserve">Julie </w:t>
                            </w:r>
                            <w:r w:rsidRPr="00787961">
                              <w:t>was injecting in the wrong direction</w:t>
                            </w:r>
                            <w:r>
                              <w:t xml:space="preserve"> and </w:t>
                            </w:r>
                            <w:r w:rsidRPr="00787961">
                              <w:t xml:space="preserve">urged </w:t>
                            </w:r>
                            <w:r>
                              <w:t>her</w:t>
                            </w:r>
                            <w:r w:rsidRPr="00787961">
                              <w:t xml:space="preserve"> to seek medical attention. </w:t>
                            </w:r>
                            <w:r>
                              <w:t>Like</w:t>
                            </w:r>
                            <w:r w:rsidRPr="00787961">
                              <w:t xml:space="preserve"> many illicit drug users, </w:t>
                            </w:r>
                            <w:r>
                              <w:t>she</w:t>
                            </w:r>
                            <w:r w:rsidRPr="00787961">
                              <w:t xml:space="preserve"> was </w:t>
                            </w:r>
                            <w:r>
                              <w:t>very</w:t>
                            </w:r>
                            <w:r w:rsidRPr="00787961">
                              <w:t xml:space="preserve"> hesitant to seek medical assistance for an injecting injury. </w:t>
                            </w:r>
                            <w:r>
                              <w:t>Sh</w:t>
                            </w:r>
                            <w:r w:rsidRPr="00787961">
                              <w:t xml:space="preserve">e had </w:t>
                            </w:r>
                            <w:r>
                              <w:t>experienced</w:t>
                            </w:r>
                            <w:r w:rsidRPr="00787961">
                              <w:t xml:space="preserve"> stigma in the healthcare system </w:t>
                            </w:r>
                            <w:r>
                              <w:t xml:space="preserve">before </w:t>
                            </w:r>
                            <w:r w:rsidRPr="00787961">
                              <w:t>and feared be</w:t>
                            </w:r>
                            <w:r>
                              <w:t>ing</w:t>
                            </w:r>
                            <w:r w:rsidRPr="00787961">
                              <w:t xml:space="preserve"> “kicked off” </w:t>
                            </w:r>
                            <w:r>
                              <w:t>m</w:t>
                            </w:r>
                            <w:r w:rsidRPr="00787961">
                              <w:t xml:space="preserve">ethadone and “forced onto” </w:t>
                            </w:r>
                            <w:r>
                              <w:t>b</w:t>
                            </w:r>
                            <w:r w:rsidRPr="00787961">
                              <w:t xml:space="preserve">uprenorphine, which comes with multiple side effects like anxiety and dizziness, headache and constipation or diarrhoea and vomiting. </w:t>
                            </w:r>
                          </w:p>
                          <w:p w14:paraId="05841C22" w14:textId="622908A5" w:rsidR="005A3B94" w:rsidRPr="006F73D8" w:rsidRDefault="005A3B94" w:rsidP="00956746">
                            <w:pPr>
                              <w:pStyle w:val="TableParagraph"/>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6A5A9" id="_x0000_s1029" type="#_x0000_t202" alt="Case study &#10;Julie&#10;Julie started injecting heroin at the age of 14 and soon became dependent on opioids. She started opioid agonist therapy (OAT) when she was 17. Julie’s OAT use has been intermittent, but she’s currently on methadone.&#10;After injecting for 30 years, Julie has few veins that she can access and she’s begun injecting in her neck. Now, though, she’s developed a lump in her throat where she had tried to inject and worries that she’s accidently ‘blown’ the vein. The throat is a high-risk site for injecting, since the carotid artery is right next to the jugular vein and a major nerve, close to the heart and the brain. Repetitive injecting may lead to deep vein thrombosis (DVT). &#10;The service staff discovered Julie was injecting in the wrong direction and urged her to seek medical attention. Like many illicit drug users, she was very hesitant to seek medical assistance for an injecting injury. She had experienced stigma in the healthcare system before and feared being “kicked off” methadone and “forced onto” buprenorphine, which comes with multiple side effects like anxiety and dizziness, headache and constipation or diarrhoea and vomiting. &#10;" style="position:absolute;margin-left:0;margin-top:.75pt;width:487.8pt;height:277.95pt;z-index:25195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" filled="f" stroked="f">
                <o:lock v:ext="edit" aspectratio="t" verticies="t" text="t" shapetype="t"/>
                <v:textbox inset="0,0,0,0">
                  <w:txbxContent>
                    <w:p w14:paraId="5B3D81D9" w14:textId="77777777" w:rsidR="005A3B94" w:rsidRPr="002B141E" w:rsidRDefault="005A3B94" w:rsidP="00956746">
                      <w:pPr>
                        <w:spacing w:before="100" w:beforeAutospacing="1" w:after="0"/>
                        <w:rPr>
                          <w:rStyle w:val="Strong"/>
                          <w:bdr w:val="none" w:sz="0" w:space="0" w:color="auto" w:frame="1"/>
                        </w:rPr>
                      </w:pPr>
                      <w:r>
                        <w:rPr>
                          <w:rFonts w:cstheme="minorHAnsi"/>
                          <w:b/>
                        </w:rPr>
                        <w:t>Julie</w:t>
                      </w:r>
                    </w:p>
                    <w:p w14:paraId="61AB4EDA" w14:textId="77777777" w:rsidR="005A3B94" w:rsidRPr="002B141E" w:rsidRDefault="005A3B94" w:rsidP="00956746">
                      <w:pPr>
                        <w:spacing w:after="100" w:afterAutospacing="1"/>
                        <w:rPr>
                          <w:rStyle w:val="Strong"/>
                          <w:rFonts w:cstheme="minorHAnsi"/>
                          <w:b w:val="0"/>
                          <w:bdr w:val="none" w:sz="0" w:space="0" w:color="auto" w:frame="1"/>
                        </w:rPr>
                      </w:pPr>
                      <w:r>
                        <w:rPr>
                          <w:rStyle w:val="Strong"/>
                          <w:rFonts w:cstheme="minorHAnsi"/>
                          <w:b w:val="0"/>
                          <w:bdr w:val="none" w:sz="0" w:space="0" w:color="auto" w:frame="1"/>
                        </w:rPr>
                        <w:t>Julie</w:t>
                      </w:r>
                      <w:r w:rsidRPr="002B141E">
                        <w:rPr>
                          <w:rStyle w:val="Strong"/>
                          <w:rFonts w:cstheme="minorHAnsi"/>
                          <w:b w:val="0"/>
                          <w:bdr w:val="none" w:sz="0" w:space="0" w:color="auto" w:frame="1"/>
                        </w:rPr>
                        <w:t xml:space="preserve"> started injecting heroin at the age of 14 and soon became dependent on opioids. </w:t>
                      </w:r>
                      <w:r>
                        <w:rPr>
                          <w:rStyle w:val="Strong"/>
                          <w:rFonts w:cstheme="minorHAnsi"/>
                          <w:b w:val="0"/>
                          <w:bdr w:val="none" w:sz="0" w:space="0" w:color="auto" w:frame="1"/>
                        </w:rPr>
                        <w:t>Sh</w:t>
                      </w:r>
                      <w:r w:rsidRPr="002B141E">
                        <w:rPr>
                          <w:rStyle w:val="Strong"/>
                          <w:rFonts w:cstheme="minorHAnsi"/>
                          <w:b w:val="0"/>
                          <w:bdr w:val="none" w:sz="0" w:space="0" w:color="auto" w:frame="1"/>
                        </w:rPr>
                        <w:t xml:space="preserve">e started opioid agonist therapy (OAT) when </w:t>
                      </w:r>
                      <w:r>
                        <w:rPr>
                          <w:rStyle w:val="Strong"/>
                          <w:rFonts w:cstheme="minorHAnsi"/>
                          <w:b w:val="0"/>
                          <w:bdr w:val="none" w:sz="0" w:space="0" w:color="auto" w:frame="1"/>
                        </w:rPr>
                        <w:t>s</w:t>
                      </w:r>
                      <w:r w:rsidRPr="002B141E">
                        <w:rPr>
                          <w:rStyle w:val="Strong"/>
                          <w:rFonts w:cstheme="minorHAnsi"/>
                          <w:b w:val="0"/>
                          <w:bdr w:val="none" w:sz="0" w:space="0" w:color="auto" w:frame="1"/>
                        </w:rPr>
                        <w:t xml:space="preserve">he was 17. </w:t>
                      </w:r>
                      <w:r>
                        <w:rPr>
                          <w:rStyle w:val="Strong"/>
                          <w:rFonts w:cstheme="minorHAnsi"/>
                          <w:b w:val="0"/>
                          <w:bdr w:val="none" w:sz="0" w:space="0" w:color="auto" w:frame="1"/>
                        </w:rPr>
                        <w:t>Julie’s</w:t>
                      </w:r>
                      <w:r w:rsidRPr="002B141E">
                        <w:rPr>
                          <w:rStyle w:val="Strong"/>
                          <w:rFonts w:cstheme="minorHAnsi"/>
                          <w:b w:val="0"/>
                          <w:bdr w:val="none" w:sz="0" w:space="0" w:color="auto" w:frame="1"/>
                        </w:rPr>
                        <w:t xml:space="preserve"> OAT use has been intermittent, but </w:t>
                      </w:r>
                      <w:r>
                        <w:rPr>
                          <w:rStyle w:val="Strong"/>
                          <w:rFonts w:cstheme="minorHAnsi"/>
                          <w:b w:val="0"/>
                          <w:bdr w:val="none" w:sz="0" w:space="0" w:color="auto" w:frame="1"/>
                        </w:rPr>
                        <w:t>s</w:t>
                      </w:r>
                      <w:r w:rsidRPr="002B141E">
                        <w:rPr>
                          <w:rStyle w:val="Strong"/>
                          <w:rFonts w:cstheme="minorHAnsi"/>
                          <w:b w:val="0"/>
                          <w:bdr w:val="none" w:sz="0" w:space="0" w:color="auto" w:frame="1"/>
                        </w:rPr>
                        <w:t>he’s currently on methadone.</w:t>
                      </w:r>
                    </w:p>
                    <w:p w14:paraId="03FCE60E" w14:textId="7A7710EC" w:rsidR="005A3B94" w:rsidRPr="00787961" w:rsidRDefault="005A3B94" w:rsidP="00956746">
                      <w:pPr>
                        <w:spacing w:before="100" w:beforeAutospacing="1" w:after="100" w:afterAutospacing="1"/>
                        <w:rPr>
                          <w:rFonts w:cstheme="minorHAnsi"/>
                        </w:rPr>
                      </w:pPr>
                      <w:r w:rsidRPr="002B141E">
                        <w:rPr>
                          <w:rStyle w:val="Strong"/>
                          <w:rFonts w:cstheme="minorHAnsi"/>
                          <w:b w:val="0"/>
                          <w:bdr w:val="none" w:sz="0" w:space="0" w:color="auto" w:frame="1"/>
                        </w:rPr>
                        <w:t>After injecting for 30 years</w:t>
                      </w:r>
                      <w:r>
                        <w:rPr>
                          <w:rStyle w:val="Strong"/>
                          <w:rFonts w:cstheme="minorHAnsi"/>
                          <w:b w:val="0"/>
                          <w:bdr w:val="none" w:sz="0" w:space="0" w:color="auto" w:frame="1"/>
                        </w:rPr>
                        <w:t>,</w:t>
                      </w:r>
                      <w:r w:rsidRPr="002B141E">
                        <w:rPr>
                          <w:rStyle w:val="Strong"/>
                          <w:rFonts w:cstheme="minorHAnsi"/>
                          <w:b w:val="0"/>
                          <w:bdr w:val="none" w:sz="0" w:space="0" w:color="auto" w:frame="1"/>
                        </w:rPr>
                        <w:t xml:space="preserve"> </w:t>
                      </w:r>
                      <w:r>
                        <w:rPr>
                          <w:rStyle w:val="Strong"/>
                          <w:rFonts w:cstheme="minorHAnsi"/>
                          <w:b w:val="0"/>
                          <w:bdr w:val="none" w:sz="0" w:space="0" w:color="auto" w:frame="1"/>
                        </w:rPr>
                        <w:t xml:space="preserve">Julie </w:t>
                      </w:r>
                      <w:r w:rsidRPr="002B141E">
                        <w:rPr>
                          <w:rStyle w:val="Strong"/>
                          <w:rFonts w:cstheme="minorHAnsi"/>
                          <w:b w:val="0"/>
                          <w:bdr w:val="none" w:sz="0" w:space="0" w:color="auto" w:frame="1"/>
                        </w:rPr>
                        <w:t xml:space="preserve">has </w:t>
                      </w:r>
                      <w:r>
                        <w:rPr>
                          <w:rStyle w:val="Strong"/>
                          <w:rFonts w:cstheme="minorHAnsi"/>
                          <w:b w:val="0"/>
                          <w:bdr w:val="none" w:sz="0" w:space="0" w:color="auto" w:frame="1"/>
                        </w:rPr>
                        <w:t>few</w:t>
                      </w:r>
                      <w:r w:rsidRPr="002B141E">
                        <w:rPr>
                          <w:rStyle w:val="Strong"/>
                          <w:rFonts w:cstheme="minorHAnsi"/>
                          <w:b w:val="0"/>
                          <w:bdr w:val="none" w:sz="0" w:space="0" w:color="auto" w:frame="1"/>
                        </w:rPr>
                        <w:t xml:space="preserve"> veins that </w:t>
                      </w:r>
                      <w:r>
                        <w:rPr>
                          <w:rStyle w:val="Strong"/>
                          <w:rFonts w:cstheme="minorHAnsi"/>
                          <w:b w:val="0"/>
                          <w:bdr w:val="none" w:sz="0" w:space="0" w:color="auto" w:frame="1"/>
                        </w:rPr>
                        <w:t>s</w:t>
                      </w:r>
                      <w:r w:rsidRPr="002B141E">
                        <w:rPr>
                          <w:rStyle w:val="Strong"/>
                          <w:rFonts w:cstheme="minorHAnsi"/>
                          <w:b w:val="0"/>
                          <w:bdr w:val="none" w:sz="0" w:space="0" w:color="auto" w:frame="1"/>
                        </w:rPr>
                        <w:t xml:space="preserve">he can access and </w:t>
                      </w:r>
                      <w:r>
                        <w:rPr>
                          <w:rStyle w:val="Strong"/>
                          <w:rFonts w:cstheme="minorHAnsi"/>
                          <w:b w:val="0"/>
                          <w:bdr w:val="none" w:sz="0" w:space="0" w:color="auto" w:frame="1"/>
                        </w:rPr>
                        <w:t>s</w:t>
                      </w:r>
                      <w:r w:rsidRPr="002B141E">
                        <w:rPr>
                          <w:rStyle w:val="Strong"/>
                          <w:rFonts w:cstheme="minorHAnsi"/>
                          <w:b w:val="0"/>
                          <w:bdr w:val="none" w:sz="0" w:space="0" w:color="auto" w:frame="1"/>
                        </w:rPr>
                        <w:t xml:space="preserve">he’s begun injecting in </w:t>
                      </w:r>
                      <w:r>
                        <w:rPr>
                          <w:rStyle w:val="Strong"/>
                          <w:rFonts w:cstheme="minorHAnsi"/>
                          <w:b w:val="0"/>
                          <w:bdr w:val="none" w:sz="0" w:space="0" w:color="auto" w:frame="1"/>
                        </w:rPr>
                        <w:t>her</w:t>
                      </w:r>
                      <w:r w:rsidRPr="002B141E">
                        <w:rPr>
                          <w:rStyle w:val="Strong"/>
                          <w:rFonts w:cstheme="minorHAnsi"/>
                          <w:b w:val="0"/>
                          <w:bdr w:val="none" w:sz="0" w:space="0" w:color="auto" w:frame="1"/>
                        </w:rPr>
                        <w:t xml:space="preserve"> neck. Now, though, </w:t>
                      </w:r>
                      <w:r>
                        <w:rPr>
                          <w:rStyle w:val="Strong"/>
                          <w:rFonts w:cstheme="minorHAnsi"/>
                          <w:b w:val="0"/>
                          <w:bdr w:val="none" w:sz="0" w:space="0" w:color="auto" w:frame="1"/>
                        </w:rPr>
                        <w:t>s</w:t>
                      </w:r>
                      <w:r w:rsidRPr="002B141E">
                        <w:rPr>
                          <w:rStyle w:val="Strong"/>
                          <w:rFonts w:cstheme="minorHAnsi"/>
                          <w:b w:val="0"/>
                          <w:bdr w:val="none" w:sz="0" w:space="0" w:color="auto" w:frame="1"/>
                        </w:rPr>
                        <w:t>he’s developed</w:t>
                      </w:r>
                      <w:r w:rsidRPr="00787961">
                        <w:rPr>
                          <w:rStyle w:val="Strong"/>
                          <w:rFonts w:cstheme="minorHAnsi"/>
                          <w:bdr w:val="none" w:sz="0" w:space="0" w:color="auto" w:frame="1"/>
                        </w:rPr>
                        <w:t xml:space="preserve"> </w:t>
                      </w:r>
                      <w:r w:rsidRPr="00787961">
                        <w:rPr>
                          <w:rFonts w:cstheme="minorHAnsi"/>
                        </w:rPr>
                        <w:t xml:space="preserve">a lump in </w:t>
                      </w:r>
                      <w:r>
                        <w:rPr>
                          <w:rFonts w:cstheme="minorHAnsi"/>
                        </w:rPr>
                        <w:t>her</w:t>
                      </w:r>
                      <w:r w:rsidRPr="00787961">
                        <w:rPr>
                          <w:rFonts w:cstheme="minorHAnsi"/>
                        </w:rPr>
                        <w:t xml:space="preserve"> throat where </w:t>
                      </w:r>
                      <w:r>
                        <w:rPr>
                          <w:rFonts w:cstheme="minorHAnsi"/>
                        </w:rPr>
                        <w:t>s</w:t>
                      </w:r>
                      <w:r w:rsidRPr="00787961">
                        <w:rPr>
                          <w:rFonts w:cstheme="minorHAnsi"/>
                        </w:rPr>
                        <w:t>he ha</w:t>
                      </w:r>
                      <w:r>
                        <w:rPr>
                          <w:rFonts w:cstheme="minorHAnsi"/>
                        </w:rPr>
                        <w:t>s</w:t>
                      </w:r>
                      <w:r w:rsidRPr="00787961">
                        <w:rPr>
                          <w:rFonts w:cstheme="minorHAnsi"/>
                        </w:rPr>
                        <w:t xml:space="preserve"> tried to inject and worries that </w:t>
                      </w:r>
                      <w:r>
                        <w:rPr>
                          <w:rFonts w:cstheme="minorHAnsi"/>
                        </w:rPr>
                        <w:t>s</w:t>
                      </w:r>
                      <w:r w:rsidRPr="00787961">
                        <w:rPr>
                          <w:rFonts w:cstheme="minorHAnsi"/>
                        </w:rPr>
                        <w:t xml:space="preserve">he’s accidently ‘blown’ the vein. The throat is a high-risk site for injecting, since the </w:t>
                      </w:r>
                      <w:r>
                        <w:rPr>
                          <w:rFonts w:cstheme="minorHAnsi"/>
                        </w:rPr>
                        <w:t>carotid artery</w:t>
                      </w:r>
                      <w:r w:rsidRPr="00787961">
                        <w:rPr>
                          <w:rFonts w:cstheme="minorHAnsi"/>
                        </w:rPr>
                        <w:t xml:space="preserve"> is right next to the jugular </w:t>
                      </w:r>
                      <w:r>
                        <w:rPr>
                          <w:rFonts w:cstheme="minorHAnsi"/>
                        </w:rPr>
                        <w:t>vein</w:t>
                      </w:r>
                      <w:r w:rsidRPr="00787961">
                        <w:rPr>
                          <w:rFonts w:cstheme="minorHAnsi"/>
                        </w:rPr>
                        <w:t xml:space="preserve"> and a major nerve, close to the heart and the brain. Repetitive injecting may lead to deep vein thrombosis (DVT). </w:t>
                      </w:r>
                    </w:p>
                    <w:p w14:paraId="181246EF" w14:textId="77777777" w:rsidR="005A3B94" w:rsidRDefault="005A3B94" w:rsidP="00956746">
                      <w:pPr>
                        <w:pStyle w:val="BodyText"/>
                        <w:spacing w:before="100" w:beforeAutospacing="1" w:after="100" w:afterAutospacing="1"/>
                      </w:pPr>
                      <w:r w:rsidRPr="00787961">
                        <w:t xml:space="preserve">The service staff discovered </w:t>
                      </w:r>
                      <w:r>
                        <w:t xml:space="preserve">Julie </w:t>
                      </w:r>
                      <w:r w:rsidRPr="00787961">
                        <w:t>was injecting in the wrong direction</w:t>
                      </w:r>
                      <w:r>
                        <w:t xml:space="preserve"> and </w:t>
                      </w:r>
                      <w:r w:rsidRPr="00787961">
                        <w:t xml:space="preserve">urged </w:t>
                      </w:r>
                      <w:r>
                        <w:t>her</w:t>
                      </w:r>
                      <w:r w:rsidRPr="00787961">
                        <w:t xml:space="preserve"> to seek medical attention. </w:t>
                      </w:r>
                      <w:r>
                        <w:t>Like</w:t>
                      </w:r>
                      <w:r w:rsidRPr="00787961">
                        <w:t xml:space="preserve"> many illicit drug users, </w:t>
                      </w:r>
                      <w:r>
                        <w:t>she</w:t>
                      </w:r>
                      <w:r w:rsidRPr="00787961">
                        <w:t xml:space="preserve"> was </w:t>
                      </w:r>
                      <w:r>
                        <w:t>very</w:t>
                      </w:r>
                      <w:r w:rsidRPr="00787961">
                        <w:t xml:space="preserve"> hesitant to seek medical assistance for an injecting injury. </w:t>
                      </w:r>
                      <w:r>
                        <w:t>Sh</w:t>
                      </w:r>
                      <w:r w:rsidRPr="00787961">
                        <w:t xml:space="preserve">e had </w:t>
                      </w:r>
                      <w:r>
                        <w:t>experienced</w:t>
                      </w:r>
                      <w:r w:rsidRPr="00787961">
                        <w:t xml:space="preserve"> stigma in the healthcare system </w:t>
                      </w:r>
                      <w:r>
                        <w:t xml:space="preserve">before </w:t>
                      </w:r>
                      <w:r w:rsidRPr="00787961">
                        <w:t>and feared be</w:t>
                      </w:r>
                      <w:r>
                        <w:t>ing</w:t>
                      </w:r>
                      <w:r w:rsidRPr="00787961">
                        <w:t xml:space="preserve"> “kicked off” </w:t>
                      </w:r>
                      <w:r>
                        <w:t>m</w:t>
                      </w:r>
                      <w:r w:rsidRPr="00787961">
                        <w:t xml:space="preserve">ethadone and “forced onto” </w:t>
                      </w:r>
                      <w:r>
                        <w:t>b</w:t>
                      </w:r>
                      <w:r w:rsidRPr="00787961">
                        <w:t xml:space="preserve">uprenorphine, which comes with multiple side effects like anxiety and dizziness, headache and constipation or diarrhoea and vomiting. </w:t>
                      </w:r>
                    </w:p>
                    <w:p w14:paraId="05841C22" w14:textId="622908A5" w:rsidR="005A3B94" w:rsidRPr="006F73D8" w:rsidRDefault="005A3B94" w:rsidP="00956746">
                      <w:pPr>
                        <w:pStyle w:val="TableParagraph"/>
                      </w:pPr>
                    </w:p>
                  </w:txbxContent>
                </v:textbox>
                <w10:wrap type="topAndBottom" anchorx="margin"/>
              </v:shape>
            </w:pict>
          </mc:Fallback>
        </mc:AlternateContent>
      </w:r>
      <w:r w:rsidR="00C83033">
        <w:t xml:space="preserve">People with a drug conviction are often unable to find work, with many organisations and employers using police checks that can result in (illegal) discrimination against potential paid employees and volunteer </w:t>
      </w:r>
      <w:r w:rsidR="00C83033">
        <w:fldChar w:fldCharType="begin">
          <w:fldData xml:space="preserve">PEVuZE5vdGU+PENpdGU+PEF1dGhvcj5QYXJrPC9BdXRob3I+PFllYXI+MjAyMDwvWWVhcj48UmVj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</w:fldData>
        </w:fldChar>
      </w:r>
      <w:r w:rsidR="00956746">
        <w:instrText xml:space="preserve"> ADDIN EN.CITE </w:instrText>
      </w:r>
      <w:r w:rsidR="00956746">
        <w:fldChar w:fldCharType="begin">
          <w:fldData xml:space="preserve">PEVuZE5vdGU+PENpdGU+PEF1dGhvcj5QYXJrPC9BdXRob3I+PFllYXI+MjAyMDwvWWVhcj48UmVj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</w:fldData>
        </w:fldChar>
      </w:r>
      <w:r w:rsidR="00956746">
        <w:instrText xml:space="preserve"> ADDIN EN.CITE.DATA </w:instrText>
      </w:r>
      <w:r w:rsidR="00956746">
        <w:fldChar w:fldCharType="end"/>
      </w:r>
      <w:r w:rsidR="00C83033">
        <w:fldChar w:fldCharType="separate"/>
      </w:r>
      <w:r w:rsidR="00956746">
        <w:rPr>
          <w:noProof/>
        </w:rPr>
        <w:t>[16-18]</w:t>
      </w:r>
      <w:r w:rsidR="00C83033">
        <w:fldChar w:fldCharType="end"/>
      </w:r>
      <w:r w:rsidR="00C83033">
        <w:t xml:space="preserve">. Similarly, drug convictions result in discrimination in the housing market. This is especially damaging </w:t>
      </w:r>
      <w:r w:rsidR="00C17C7C">
        <w:t>where</w:t>
      </w:r>
      <w:r w:rsidR="00C83033">
        <w:t xml:space="preserve"> custody of children </w:t>
      </w:r>
      <w:r w:rsidR="00C17C7C">
        <w:t>might be affected by a lack of</w:t>
      </w:r>
      <w:r w:rsidR="00C83033">
        <w:t xml:space="preserve"> secure and appropriate housing. The present policy exacerbates these factors.</w:t>
      </w:r>
    </w:p>
    <w:p w14:paraId="1A513DB4" w14:textId="059335BC" w:rsidR="005A2DDA" w:rsidRDefault="005A2DDA" w:rsidP="007E536B">
      <w:pPr>
        <w:pStyle w:val="Heading3"/>
      </w:pPr>
      <w:bookmarkStart w:id="10" w:name="_Toc136851454"/>
      <w:r>
        <w:t>Criminal convictions are not preventing future crime</w:t>
      </w:r>
      <w:bookmarkEnd w:id="10"/>
    </w:p>
    <w:p w14:paraId="39B8E920" w14:textId="07E1005B" w:rsidR="00633542" w:rsidRDefault="00543356" w:rsidP="0094706A">
      <w:pPr>
        <w:spacing w:after="0"/>
      </w:pPr>
      <w:r>
        <w:t xml:space="preserve">Drug use disorders, homelessness, poor access to health and psychological care, unemployment </w:t>
      </w:r>
      <w:r w:rsidR="00CE24A7">
        <w:t xml:space="preserve">and </w:t>
      </w:r>
      <w:r>
        <w:t xml:space="preserve">mental illness </w:t>
      </w:r>
      <w:r>
        <w:fldChar w:fldCharType="begin"/>
      </w:r>
      <w:r w:rsidR="00867988">
        <w:instrText xml:space="preserve"> ADDIN EN.CITE &lt;EndNote&gt;&lt;Cite&gt;&lt;Author&gt;Sentencing Advisory Council&lt;/Author&gt;&lt;Year&gt;2017&lt;/Year&gt;&lt;RecNum&gt;128&lt;/RecNum&gt;&lt;DisplayText&gt;[19]&lt;/DisplayText&gt;&lt;record&gt;&lt;rec-number&gt;128&lt;/rec-number&gt;&lt;foreign-keys&gt;&lt;key app="EN" db-id="5fz2fzfzg2w2x4efdz3xprvlzezfdv2spstv" timestamp="1678918411"&gt;128&lt;/key&gt;&lt;/foreign-keys&gt;&lt;ref-type name="Serial"&gt;57&lt;/ref-type&gt;&lt;contributors&gt;&lt;authors&gt;&lt;author&gt;Sentencing Advisory Council,&lt;/author&gt;&lt;/authors&gt;&lt;/contributors&gt;&lt;titles&gt;&lt;title&gt;Mandatory treatment for alcohol and drug affected offenders. Research Paper No. 2&lt;/title&gt;&lt;/titles&gt;&lt;dates&gt;&lt;year&gt;2017&lt;/year&gt;&lt;/dates&gt;&lt;pub-location&gt;Hobart, TAS&lt;/pub-location&gt;&lt;publisher&gt;Department of Justice, State of Tasmania&lt;/publisher&gt;&lt;urls&gt;&lt;/urls&gt;&lt;/record&gt;&lt;/Cite&gt;&lt;/EndNote&gt;</w:instrText>
      </w:r>
      <w:r>
        <w:fldChar w:fldCharType="separate"/>
      </w:r>
      <w:r w:rsidR="00DD5638">
        <w:rPr>
          <w:noProof/>
        </w:rPr>
        <w:t>[19]</w:t>
      </w:r>
      <w:r>
        <w:fldChar w:fldCharType="end"/>
      </w:r>
      <w:r>
        <w:t xml:space="preserve"> are elements in “a cycle of poverty, criminality, incarceration, and recidivism” </w:t>
      </w:r>
      <w:r>
        <w:fldChar w:fldCharType="begin"/>
      </w:r>
      <w:r w:rsidR="00867988">
        <w:instrText xml:space="preserve"> ADDIN EN.CITE &lt;EndNote&gt;&lt;Cite&gt;&lt;Author&gt;Pereira&lt;/Author&gt;&lt;Year&gt;2020&lt;/Year&gt;&lt;RecNum&gt;129&lt;/RecNum&gt;&lt;DisplayText&gt;[20]&lt;/DisplayText&gt;&lt;record&gt;&lt;rec-number&gt;129&lt;/rec-number&gt;&lt;foreign-keys&gt;&lt;key app="EN" db-id="5fz2fzfzg2w2x4efdz3xprvlzezfdv2spstv" timestamp="1678918573"&gt;129&lt;/key&gt;&lt;/foreign-keys&gt;&lt;ref-type name="Journal Article"&gt;17&lt;/ref-type&gt;&lt;contributors&gt;&lt;authors&gt;&lt;author&gt;Pereira, Margaret&lt;/author&gt;&lt;author&gt;Scott, John&lt;/author&gt;&lt;author&gt;Beem, Amanda&lt;/author&gt;&lt;/authors&gt;&lt;/contributors&gt;&lt;titles&gt;&lt;title&gt;Imaginary drug control and the failures of contemporary Australian drug policy&lt;/title&gt;&lt;secondary-title&gt;Contemporary Drug Problems&lt;/secondary-title&gt;&lt;/titles&gt;&lt;periodical&gt;&lt;full-title&gt;Contemporary Drug Problems&lt;/full-title&gt;&lt;/periodical&gt;&lt;pages&gt;29-42&lt;/pages&gt;&lt;volume&gt;47&lt;/volume&gt;&lt;number&gt;1&lt;/number&gt;&lt;section&gt;29&lt;/section&gt;&lt;dates&gt;&lt;year&gt;2020&lt;/year&gt;&lt;/dates&gt;&lt;isbn&gt;0091-4509&amp;#xD;2163-1808&lt;/isbn&gt;&lt;urls&gt;&lt;/urls&gt;&lt;electronic-resource-num&gt;10.1177/0091450920905372&lt;/electronic-resource-num&gt;&lt;/record&gt;&lt;/Cite&gt;&lt;/EndNote&gt;</w:instrText>
      </w:r>
      <w:r>
        <w:fldChar w:fldCharType="separate"/>
      </w:r>
      <w:r w:rsidR="00DD5638">
        <w:rPr>
          <w:noProof/>
        </w:rPr>
        <w:t>[20]</w:t>
      </w:r>
      <w:r>
        <w:fldChar w:fldCharType="end"/>
      </w:r>
      <w:r>
        <w:t xml:space="preserve">. </w:t>
      </w:r>
      <w:r w:rsidR="00AB65BE">
        <w:t>Incarceration do</w:t>
      </w:r>
      <w:r w:rsidR="00B70071">
        <w:t>es</w:t>
      </w:r>
      <w:r w:rsidR="00AB65BE">
        <w:t xml:space="preserve"> not </w:t>
      </w:r>
      <w:r w:rsidR="007932BB">
        <w:t>reduce</w:t>
      </w:r>
      <w:r w:rsidR="00AB65BE">
        <w:t xml:space="preserve"> </w:t>
      </w:r>
      <w:r w:rsidR="001824EA">
        <w:t xml:space="preserve">reoffending or </w:t>
      </w:r>
      <w:r w:rsidR="001824EA" w:rsidRPr="00B8000A">
        <w:rPr>
          <w:b/>
          <w:color w:val="31849B" w:themeColor="accent5" w:themeShade="BF"/>
        </w:rPr>
        <w:t>recidivism</w:t>
      </w:r>
      <w:r w:rsidR="00467015" w:rsidRPr="00B8000A">
        <w:rPr>
          <w:color w:val="31849B" w:themeColor="accent5" w:themeShade="BF"/>
        </w:rPr>
        <w:t xml:space="preserve"> </w:t>
      </w:r>
      <w:r w:rsidR="001824EA">
        <w:fldChar w:fldCharType="begin"/>
      </w:r>
      <w:r w:rsidR="00867988">
        <w:instrText xml:space="preserve"> ADDIN EN.CITE &lt;EndNote&gt;&lt;Cite&gt;&lt;Author&gt;Justice Reform Initiative&lt;/Author&gt;&lt;Year&gt;2021&lt;/Year&gt;&lt;RecNum&gt;44&lt;/RecNum&gt;&lt;DisplayText&gt;[21, 22]&lt;/DisplayText&gt;&lt;record&gt;&lt;rec-number&gt;44&lt;/rec-number&gt;&lt;foreign-keys&gt;&lt;key app="EN" db-id="5fz2fzfzg2w2x4efdz3xprvlzezfdv2spstv" timestamp="1678057407"&gt;44&lt;/key&gt;&lt;/foreign-keys&gt;&lt;ref-type name="Report"&gt;27&lt;/ref-type&gt;&lt;contributors&gt;&lt;authors&gt;&lt;author&gt;Justice Reform Initiative,&lt;/author&gt;&lt;/authors&gt;&lt;/contributors&gt;&lt;titles&gt;&lt;title&gt;Jailing is Failing. State of Incarceration: Tasmania&amp;apos;s broken criminal justice system&lt;/title&gt;&lt;/titles&gt;&lt;dates&gt;&lt;year&gt;2021&lt;/year&gt;&lt;/dates&gt;&lt;pub-location&gt;Hobart, TAS&lt;/pub-location&gt;&lt;publisher&gt;Justice Reform Initiative&lt;/publisher&gt;&lt;urls&gt;&lt;/urls&gt;&lt;/record&gt;&lt;/Cite&gt;&lt;Cite&gt;&lt;Author&gt;Mitchell&lt;/Author&gt;&lt;Year&gt;2017&lt;/Year&gt;&lt;RecNum&gt;146&lt;/RecNum&gt;&lt;record&gt;&lt;rec-number&gt;146&lt;/rec-number&gt;&lt;foreign-keys&gt;&lt;key app="EN" db-id="5fz2fzfzg2w2x4efdz3xprvlzezfdv2spstv" timestamp="1679024016"&gt;146&lt;/key&gt;&lt;/foreign-keys&gt;&lt;ref-type name="Journal Article"&gt;17&lt;/ref-type&gt;&lt;contributors&gt;&lt;authors&gt;&lt;author&gt;Mitchell, Ojmarrh&lt;/author&gt;&lt;author&gt;Cochran, Joshua C.&lt;/author&gt;&lt;author&gt;Mears, Daniel P.&lt;/author&gt;&lt;author&gt;Bales, William D.&lt;/author&gt;&lt;/authors&gt;&lt;/contributors&gt;&lt;titles&gt;&lt;title&gt;The effectiveness of prison for reducing drug offender recidivism: A regression discontinuity analysis&lt;/title&gt;&lt;secondary-title&gt;Journal of Experimental Criminology&lt;/secondary-title&gt;&lt;/titles&gt;&lt;periodical&gt;&lt;full-title&gt;Journal of Experimental Criminology&lt;/full-title&gt;&lt;/periodical&gt;&lt;pages&gt;1-27&lt;/pages&gt;&lt;volume&gt;13&lt;/volume&gt;&lt;number&gt;1&lt;/number&gt;&lt;dates&gt;&lt;year&gt;2017&lt;/year&gt;&lt;/dates&gt;&lt;isbn&gt;1573-3750&amp;#xD;1572-8315&lt;/isbn&gt;&lt;urls&gt;&lt;/urls&gt;&lt;electronic-resource-num&gt;10.1007/s11292-017-9282-6&lt;/electronic-resource-num&gt;&lt;/record&gt;&lt;/Cite&gt;&lt;/EndNote&gt;</w:instrText>
      </w:r>
      <w:r w:rsidR="001824EA">
        <w:fldChar w:fldCharType="separate"/>
      </w:r>
      <w:r w:rsidR="00DD5638">
        <w:rPr>
          <w:noProof/>
        </w:rPr>
        <w:t>[21, 22]</w:t>
      </w:r>
      <w:r w:rsidR="001824EA">
        <w:fldChar w:fldCharType="end"/>
      </w:r>
      <w:r w:rsidR="007932BB">
        <w:t xml:space="preserve">. </w:t>
      </w:r>
      <w:r w:rsidR="001824EA">
        <w:t xml:space="preserve">Indeed, incarceration can increase criminal behaviour </w:t>
      </w:r>
      <w:r w:rsidR="00462C98">
        <w:fldChar w:fldCharType="begin"/>
      </w:r>
      <w:r w:rsidR="00867988">
        <w:instrText xml:space="preserve"> ADDIN EN.CITE &lt;EndNote&gt;&lt;Cite&gt;&lt;Author&gt;Cid&lt;/Author&gt;&lt;Year&gt;2009&lt;/Year&gt;&lt;RecNum&gt;148&lt;/RecNum&gt;&lt;DisplayText&gt;[23]&lt;/DisplayText&gt;&lt;record&gt;&lt;rec-number&gt;148&lt;/rec-number&gt;&lt;foreign-keys&gt;&lt;key app="EN" db-id="5fz2fzfzg2w2x4efdz3xprvlzezfdv2spstv" timestamp="1679024449"&gt;148&lt;/key&gt;&lt;/foreign-keys&gt;&lt;ref-type name="Journal Article"&gt;17&lt;/ref-type&gt;&lt;contributors&gt;&lt;authors&gt;&lt;author&gt;Cid, José&lt;/author&gt;&lt;/authors&gt;&lt;/contributors&gt;&lt;titles&gt;&lt;title&gt;Is imprisonment criminogenic? A comparative study of recidivism rates between prison and suspended prison sanctions&lt;/title&gt;&lt;secondary-title&gt;European Journal of Criminology&lt;/secondary-title&gt;&lt;/titles&gt;&lt;periodical&gt;&lt;full-title&gt;European Journal of Criminology&lt;/full-title&gt;&lt;/periodical&gt;&lt;pages&gt;459-480&lt;/pages&gt;&lt;volume&gt;6&lt;/volume&gt;&lt;number&gt;6&lt;/number&gt;&lt;dates&gt;&lt;year&gt;2009&lt;/year&gt;&lt;/dates&gt;&lt;urls&gt;&lt;/urls&gt;&lt;electronic-resource-num&gt;https://doi.org/10.1177/147737080934&lt;/electronic-resource-num&gt;&lt;/record&gt;&lt;/Cite&gt;&lt;/EndNote&gt;</w:instrText>
      </w:r>
      <w:r w:rsidR="00462C98">
        <w:fldChar w:fldCharType="separate"/>
      </w:r>
      <w:r w:rsidR="00DD5638">
        <w:rPr>
          <w:noProof/>
        </w:rPr>
        <w:t>[23]</w:t>
      </w:r>
      <w:r w:rsidR="00462C98">
        <w:fldChar w:fldCharType="end"/>
      </w:r>
      <w:r w:rsidR="001824EA">
        <w:t xml:space="preserve">. </w:t>
      </w:r>
      <w:r w:rsidR="001D1601">
        <w:t xml:space="preserve">Nationally, up to 84 per cent of convicted intravenous drug users return to prison within two years </w:t>
      </w:r>
      <w:r w:rsidR="008A7631">
        <w:fldChar w:fldCharType="begin"/>
      </w:r>
      <w:r w:rsidR="00867988">
        <w:instrText xml:space="preserve"> ADDIN EN.CITE &lt;EndNote&gt;&lt;Cite&gt;&lt;Author&gt;Kirwan&lt;/Author&gt;&lt;Year&gt;2019&lt;/Year&gt;&lt;RecNum&gt;130&lt;/RecNum&gt;&lt;DisplayText&gt;[24]&lt;/DisplayText&gt;&lt;record&gt;&lt;rec-number&gt;130&lt;/rec-number&gt;&lt;foreign-keys&gt;&lt;key app="EN" db-id="5fz2fzfzg2w2x4efdz3xprvlzezfdv2spstv" timestamp="1678919332"&gt;130&lt;/key&gt;&lt;/foreign-keys&gt;&lt;ref-type name="Journal Article"&gt;17&lt;/ref-type&gt;&lt;contributors&gt;&lt;authors&gt;&lt;author&gt;Kirwan, Amy&lt;/author&gt;&lt;author&gt;Curtis, Michael&lt;/author&gt;&lt;author&gt;Dietze, Paul&lt;/author&gt;&lt;author&gt;Aitken, Campbell&lt;/author&gt;&lt;author&gt;Woods, Emma&lt;/author&gt;&lt;author&gt;Walker, Shelley&lt;/author&gt;&lt;author&gt;Kinner, Stuart&lt;/author&gt;&lt;author&gt;Ogloff, James&lt;/author&gt;&lt;author&gt;Butler, Tony&lt;/author&gt;&lt;author&gt;Stoové, Mark&lt;/author&gt;&lt;/authors&gt;&lt;/contributors&gt;&lt;titles&gt;&lt;title&gt;The Prison and Transition Health (PATH) Cohort Study: Study protocol and baseline characteristics of a cohort of men with a history of injecting drug use leaving prison in Australia&lt;/title&gt;&lt;secondary-title&gt;Journal of Urban Health&lt;/secondary-title&gt;&lt;/titles&gt;&lt;periodical&gt;&lt;full-title&gt;Journal of Urban Health&lt;/full-title&gt;&lt;/periodical&gt;&lt;pages&gt;400-410&lt;/pages&gt;&lt;volume&gt;96&lt;/volume&gt;&lt;number&gt;3&lt;/number&gt;&lt;section&gt;400&lt;/section&gt;&lt;dates&gt;&lt;year&gt;2019&lt;/year&gt;&lt;/dates&gt;&lt;isbn&gt;1099-3460&amp;#xD;1468-2869&lt;/isbn&gt;&lt;urls&gt;&lt;/urls&gt;&lt;electronic-resource-num&gt;10.1007/s11524-019-00353-5&lt;/electronic-resource-num&gt;&lt;/record&gt;&lt;/Cite&gt;&lt;/EndNote&gt;</w:instrText>
      </w:r>
      <w:r w:rsidR="008A7631">
        <w:fldChar w:fldCharType="separate"/>
      </w:r>
      <w:r w:rsidR="00DD5638">
        <w:rPr>
          <w:noProof/>
        </w:rPr>
        <w:t>[24]</w:t>
      </w:r>
      <w:r w:rsidR="008A7631">
        <w:fldChar w:fldCharType="end"/>
      </w:r>
      <w:r w:rsidR="001D1601">
        <w:t xml:space="preserve">, and in </w:t>
      </w:r>
      <w:r w:rsidR="00371F14">
        <w:t xml:space="preserve">Tasmania, around </w:t>
      </w:r>
      <w:r w:rsidR="00AB65BE">
        <w:t xml:space="preserve">60 per cent of </w:t>
      </w:r>
      <w:r w:rsidR="008A7631">
        <w:t xml:space="preserve">all </w:t>
      </w:r>
      <w:r w:rsidR="00AB65BE">
        <w:t>young offenders return to prison within a year of release</w:t>
      </w:r>
      <w:r w:rsidR="001D1601">
        <w:t>.</w:t>
      </w:r>
      <w:r w:rsidR="0093066D">
        <w:t xml:space="preserve"> </w:t>
      </w:r>
    </w:p>
    <w:p w14:paraId="05D43616" w14:textId="77777777" w:rsidR="00016E75" w:rsidRDefault="00016E75" w:rsidP="007E536B">
      <w:pPr>
        <w:pStyle w:val="Heading3"/>
      </w:pPr>
      <w:bookmarkStart w:id="11" w:name="_Toc136851455"/>
      <w:r>
        <w:t>Drug arrests and seizures rise, but use is unaffected</w:t>
      </w:r>
      <w:bookmarkEnd w:id="11"/>
    </w:p>
    <w:p w14:paraId="366C6E12" w14:textId="2301AB69" w:rsidR="00014A2D" w:rsidRPr="00D8312F" w:rsidRDefault="00014A2D" w:rsidP="0094706A">
      <w:pPr>
        <w:pStyle w:val="IntenseQuote"/>
        <w:spacing w:before="240" w:after="120"/>
        <w:ind w:left="862" w:right="862"/>
        <w:rPr>
          <w:lang w:val="en-AU" w:eastAsia="en-AU"/>
        </w:rPr>
      </w:pPr>
      <w:r w:rsidRPr="00080523">
        <w:rPr>
          <w:rStyle w:val="IntenseEmphasis"/>
          <w:i/>
          <w:color w:val="4F81BD" w:themeColor="accent1"/>
          <w:lang w:val="en-US"/>
        </w:rPr>
        <w:t>I remember when I first started [using drugs], when I was 19, I used to look at some of my older friends and think ‘‘I wonder at what age you grow out of it?’’</w:t>
      </w:r>
      <w:r w:rsidRPr="00080523">
        <w:rPr>
          <w:rStyle w:val="IntenseEmphasis"/>
          <w:color w:val="4F81BD" w:themeColor="accent1"/>
          <w:lang w:val="en-US"/>
        </w:rPr>
        <w:t xml:space="preserve"> </w:t>
      </w:r>
      <w:r w:rsidRPr="00080523">
        <w:rPr>
          <w:rStyle w:val="IntenseEmphasis"/>
          <w:color w:val="4F81BD" w:themeColor="accent1"/>
        </w:rPr>
        <w:fldChar w:fldCharType="begin"/>
      </w:r>
      <w:r w:rsidR="00956746">
        <w:rPr>
          <w:rStyle w:val="IntenseEmphasis"/>
          <w:color w:val="4F81BD" w:themeColor="accent1"/>
        </w:rPr>
        <w:instrText xml:space="preserve"> ADDIN EN.CITE &lt;EndNote&gt;&lt;Cite&gt;&lt;Author&gt;Green&lt;/Author&gt;&lt;Year&gt;2016&lt;/Year&gt;&lt;RecNum&gt;140&lt;/RecNum&gt;&lt;Pages&gt;208&lt;/Pages&gt;&lt;DisplayText&gt;[25]&lt;/DisplayText&gt;&lt;record&gt;&lt;rec-number&gt;140&lt;/rec-number&gt;&lt;foreign-keys&gt;&lt;key app="EN" db-id="5fz2fzfzg2w2x4efdz3xprvlzezfdv2spstv" timestamp="1679014252"&gt;140&lt;/key&gt;&lt;/foreign-keys&gt;&lt;ref-type name="Journal Article"&gt;17&lt;/ref-type&gt;&lt;contributors&gt;&lt;authors&gt;&lt;author&gt;Green, Rachael&lt;/author&gt;&lt;/authors&gt;&lt;/contributors&gt;&lt;titles&gt;&lt;title&gt;‘‘I wonder what age you grow out of it?’’: Negotiation of recreational drug use and the transition to adulthood among an Australian ethnographic sample&lt;/title&gt;&lt;secondary-title&gt;Drugs: Education, Prevention and Policy&lt;/secondary-title&gt;&lt;/titles&gt;&lt;periodical&gt;&lt;full-title&gt;Drugs: Education, Prevention and Policy&lt;/full-title&gt;&lt;/periodical&gt;&lt;pages&gt;202-211&lt;/pages&gt;&lt;volume&gt;23&lt;/volume&gt;&lt;number&gt;3&lt;/number&gt;&lt;dates&gt;&lt;year&gt;2016&lt;/year&gt;&lt;/dates&gt;&lt;urls&gt;&lt;/urls&gt;&lt;electronic-resource-num&gt;0.3109/09687637.2015.1128883&lt;/electronic-resource-num&gt;&lt;/record&gt;&lt;/Cite&gt;&lt;/EndNote&gt;</w:instrText>
      </w:r>
      <w:r w:rsidRPr="00080523">
        <w:rPr>
          <w:rStyle w:val="IntenseEmphasis"/>
          <w:color w:val="4F81BD" w:themeColor="accent1"/>
        </w:rPr>
        <w:fldChar w:fldCharType="separate"/>
      </w:r>
      <w:r w:rsidR="00956746">
        <w:rPr>
          <w:rStyle w:val="IntenseEmphasis"/>
          <w:noProof/>
          <w:color w:val="4F81BD" w:themeColor="accent1"/>
        </w:rPr>
        <w:t>[25]</w:t>
      </w:r>
      <w:r w:rsidRPr="00080523">
        <w:rPr>
          <w:rStyle w:val="IntenseEmphasis"/>
          <w:color w:val="4F81BD" w:themeColor="accent1"/>
        </w:rPr>
        <w:fldChar w:fldCharType="end"/>
      </w:r>
    </w:p>
    <w:p w14:paraId="392BAC14" w14:textId="5DD75CE7" w:rsidR="00AD6186" w:rsidRPr="00AD6186" w:rsidRDefault="004617C3" w:rsidP="0094706A">
      <w:pPr>
        <w:pStyle w:val="BodyText"/>
        <w:spacing w:before="0"/>
        <w:rPr>
          <w:rStyle w:val="IntenseEmphasis"/>
        </w:rPr>
      </w:pPr>
      <w:r>
        <w:t xml:space="preserve">The Alcohol, Tobacco and Other Drugs Council </w:t>
      </w:r>
      <w:r w:rsidR="00166B3C">
        <w:fldChar w:fldCharType="begin"/>
      </w:r>
      <w:r w:rsidR="00956746">
        <w:instrText xml:space="preserve"> ADDIN EN.CITE &lt;EndNote&gt;&lt;Cite ExcludeAuth="1"&gt;&lt;Author&gt;Alcohol Tobacco and other Drugs Council Tasmania (ATDC)&lt;/Author&gt;&lt;Year&gt;2022&lt;/Year&gt;&lt;RecNum&gt;23&lt;/RecNum&gt;&lt;DisplayText&gt;[14]&lt;/DisplayText&gt;&lt;record&gt;&lt;rec-number&gt;23&lt;/rec-number&gt;&lt;foreign-keys&gt;&lt;key app="EN" db-id="5fz2fzfzg2w2x4efdz3xprvlzezfdv2spstv" timestamp="1676606117"&gt;23&lt;/key&gt;&lt;/foreign-keys&gt;&lt;ref-type name="Report"&gt;27&lt;/ref-type&gt;&lt;contributors&gt;&lt;authors&gt;&lt;author&gt;Alcohol Tobacco and other Drugs Council Tasmania (ATDC),&lt;/author&gt;&lt;/authors&gt;&lt;/contributors&gt;&lt;titles&gt;&lt;title&gt;Decriminalising personal drug use. Position paper. December 2022&lt;/title&gt;&lt;/titles&gt;&lt;dates&gt;&lt;year&gt;2022&lt;/year&gt;&lt;/dates&gt;&lt;pub-location&gt;Hobart, TAS&lt;/pub-location&gt;&lt;publisher&gt;Alcohol, Tobacco and other Drugs Council Tasmania (ATDC)&lt;/publisher&gt;&lt;urls&gt;&lt;/urls&gt;&lt;/record&gt;&lt;/Cite&gt;&lt;/EndNote&gt;</w:instrText>
      </w:r>
      <w:r w:rsidR="00166B3C">
        <w:fldChar w:fldCharType="separate"/>
      </w:r>
      <w:r w:rsidR="00956746">
        <w:rPr>
          <w:noProof/>
        </w:rPr>
        <w:t>[14]</w:t>
      </w:r>
      <w:r w:rsidR="00166B3C">
        <w:fldChar w:fldCharType="end"/>
      </w:r>
      <w:r w:rsidR="00166B3C">
        <w:t xml:space="preserve"> reports that despite a 91.7 per cent increase in drug seizures over the past decade and an increase in drug arrests </w:t>
      </w:r>
      <w:r w:rsidR="00166B3C">
        <w:fldChar w:fldCharType="begin"/>
      </w:r>
      <w:r w:rsidR="00956746">
        <w:instrText xml:space="preserve"> ADDIN EN.CITE &lt;EndNote&gt;&lt;Cite&gt;&lt;Author&gt;Bartl&lt;/Author&gt;&lt;Year&gt;2022&lt;/Year&gt;&lt;RecNum&gt;25&lt;/RecNum&gt;&lt;DisplayText&gt;[5]&lt;/DisplayText&gt;&lt;record&gt;&lt;rec-number&gt;25&lt;/rec-number&gt;&lt;foreign-keys&gt;&lt;key app="EN" db-id="5fz2fzfzg2w2x4efdz3xprvlzezfdv2spstv" timestamp="1676606833"&gt;25&lt;/key&gt;&lt;/foreign-keys&gt;&lt;ref-type name="Report"&gt;27&lt;/ref-type&gt;&lt;contributors&gt;&lt;authors&gt;&lt;author&gt;Bartl, Benedict&lt;/author&gt;&lt;/authors&gt;&lt;/contributors&gt;&lt;titles&gt;&lt;title&gt;The case for a health focused response to drug use in Tasmania&amp;apos;s legal system&lt;/title&gt;&lt;/titles&gt;&lt;edition&gt;Revised&lt;/edition&gt;&lt;dates&gt;&lt;year&gt;2022&lt;/year&gt;&lt;/dates&gt;&lt;pub-location&gt;Hobart, TAS&lt;/pub-location&gt;&lt;publisher&gt;Community Legal Centres Tasmania&lt;/publisher&gt;&lt;urls&gt;&lt;/urls&gt;&lt;/record&gt;&lt;/Cite&gt;&lt;/EndNote&gt;</w:instrText>
      </w:r>
      <w:r w:rsidR="00166B3C">
        <w:fldChar w:fldCharType="separate"/>
      </w:r>
      <w:r w:rsidR="00956746">
        <w:rPr>
          <w:noProof/>
        </w:rPr>
        <w:t>[5]</w:t>
      </w:r>
      <w:r w:rsidR="00166B3C">
        <w:fldChar w:fldCharType="end"/>
      </w:r>
      <w:r w:rsidR="00166B3C">
        <w:t>, illicit drugs continue to be cheap and easy to access in Tasmania</w:t>
      </w:r>
      <w:r w:rsidR="00D424D4">
        <w:t xml:space="preserve"> </w:t>
      </w:r>
      <w:r w:rsidR="00D424D4">
        <w:fldChar w:fldCharType="begin"/>
      </w:r>
      <w:r w:rsidR="00956746">
        <w:instrText xml:space="preserve"> ADDIN EN.CITE &lt;EndNote&gt;&lt;Cite&gt;&lt;Author&gt;Wilson&lt;/Author&gt;&lt;Year&gt;2022&lt;/Year&gt;&lt;RecNum&gt;16&lt;/RecNum&gt;&lt;DisplayText&gt;[26]&lt;/DisplayText&gt;&lt;record&gt;&lt;rec-number&gt;16&lt;/rec-number&gt;&lt;foreign-keys&gt;&lt;key app="EN" db-id="5fz2fzfzg2w2x4efdz3xprvlzezfdv2spstv" timestamp="1676591734"&gt;16&lt;/key&gt;&lt;/foreign-keys&gt;&lt;ref-type name="Book"&gt;6&lt;/ref-type&gt;&lt;contributors&gt;&lt;authors&gt;&lt;author&gt;Wilson, Yalei&lt;/author&gt;&lt;author&gt;Stone, Andrew&lt;/author&gt;&lt;author&gt;Bruno, Raimondo&lt;/author&gt;&lt;/authors&gt;&lt;/contributors&gt;&lt;titles&gt;&lt;title&gt;Tasmanian Drug Trends 2022: Key findings from the Illicit Drug Reporting System (IDRS) interviews&lt;/title&gt;&lt;/titles&gt;&lt;dates&gt;&lt;year&gt;2022&lt;/year&gt;&lt;/dates&gt;&lt;pub-location&gt;Sydney, NSW&lt;/pub-location&gt;&lt;publisher&gt;National Drug and Alcohol Research Centre, UNSW Sydney&lt;/publisher&gt;&lt;urls&gt;&lt;/urls&gt;&lt;electronic-resource-num&gt;10.26190/119r-jg49&lt;/electronic-resource-num&gt;&lt;/record&gt;&lt;/Cite&gt;&lt;/EndNote&gt;</w:instrText>
      </w:r>
      <w:r w:rsidR="00D424D4">
        <w:fldChar w:fldCharType="separate"/>
      </w:r>
      <w:r w:rsidR="00956746">
        <w:rPr>
          <w:noProof/>
        </w:rPr>
        <w:t>[26]</w:t>
      </w:r>
      <w:r w:rsidR="00D424D4">
        <w:fldChar w:fldCharType="end"/>
      </w:r>
      <w:r w:rsidR="00166B3C">
        <w:t xml:space="preserve">. </w:t>
      </w:r>
      <w:r w:rsidR="001B5FBD">
        <w:t>Long delays in the court processes</w:t>
      </w:r>
      <w:r w:rsidR="004102A6">
        <w:t xml:space="preserve"> </w:t>
      </w:r>
      <w:r w:rsidR="00C5323B">
        <w:fldChar w:fldCharType="begin"/>
      </w:r>
      <w:r w:rsidR="003226B1">
        <w:instrText xml:space="preserve"> ADDIN EN.CITE &lt;EndNote&gt;&lt;Cite&gt;&lt;Author&gt;Australian Bureau of Statistics&lt;/Author&gt;&lt;Year&gt;2023&lt;/Year&gt;&lt;RecNum&gt;55&lt;/RecNum&gt;&lt;Prefix&gt;in Tasmania in 2021–2`, the mean delay was 22 weeks`; &lt;/Prefix&gt;&lt;DisplayText&gt;[in Tasmania in 2021–2, the mean delay was 22 weeks; 27]&lt;/DisplayText&gt;&lt;record&gt;&lt;rec-number&gt;55&lt;/rec-number&gt;&lt;foreign-keys&gt;&lt;key app="EN" db-id="5fz2fzfzg2w2x4efdz3xprvlzezfdv2spstv" timestamp="1678068006"&gt;55&lt;/key&gt;&lt;/foreign-keys&gt;&lt;ref-type name="Electronic Article"&gt;43&lt;/ref-type&gt;&lt;contributors&gt;&lt;authors&gt;&lt;author&gt;Australian Bureau of Statistics,&lt;/author&gt;&lt;/authors&gt;&lt;/contributors&gt;&lt;titles&gt;&lt;title&gt;Criminal courts, Australia&lt;/title&gt;&lt;tertiary-title&gt;abs.gov.au&lt;/tertiary-title&gt;&lt;/titles&gt;&lt;section&gt;3 March 2023&lt;/section&gt;&lt;dates&gt;&lt;year&gt;2023&lt;/year&gt;&lt;pub-dates&gt;&lt;date&gt;6 March 2023&lt;/date&gt;&lt;/pub-dates&gt;&lt;/dates&gt;&lt;pub-location&gt;Canberra, ACT&lt;/pub-location&gt;&lt;publisher&gt;Australian Bureau of Statistics&lt;/publisher&gt;&lt;urls&gt;&lt;related-urls&gt;&lt;url&gt;https://www.abs.gov.au/statistics/people/crime-and-justice/criminal-courts-australia/latest-release&lt;/url&gt;&lt;/related-urls&gt;&lt;/urls&gt;&lt;/record&gt;&lt;/Cite&gt;&lt;/EndNote&gt;</w:instrText>
      </w:r>
      <w:r w:rsidR="00C5323B">
        <w:fldChar w:fldCharType="separate"/>
      </w:r>
      <w:r w:rsidR="003226B1">
        <w:rPr>
          <w:noProof/>
        </w:rPr>
        <w:t>[in Tasmania in 2021–2, the mean delay was 22 weeks; 27]</w:t>
      </w:r>
      <w:r w:rsidR="00C5323B">
        <w:fldChar w:fldCharType="end"/>
      </w:r>
      <w:r w:rsidR="001B5FBD">
        <w:t xml:space="preserve"> and the disruption </w:t>
      </w:r>
      <w:r w:rsidR="0003265A">
        <w:t xml:space="preserve">to work and family </w:t>
      </w:r>
      <w:r w:rsidR="001B5FBD">
        <w:t xml:space="preserve">caused by multiple appearances add to disadvantage. </w:t>
      </w:r>
    </w:p>
    <w:p w14:paraId="407F70C6" w14:textId="1DECF8A5" w:rsidR="007E5233" w:rsidRPr="00080523" w:rsidRDefault="007E5233" w:rsidP="007E5233">
      <w:pPr>
        <w:pStyle w:val="BodyText"/>
        <w:rPr>
          <w:b/>
        </w:rPr>
      </w:pPr>
      <w:r w:rsidRPr="00080523">
        <w:rPr>
          <w:b/>
        </w:rPr>
        <w:t xml:space="preserve">A much larger proportion of Australians has used illicit drugs </w:t>
      </w:r>
      <w:r w:rsidRPr="00080523">
        <w:rPr>
          <w:b/>
        </w:rPr>
        <w:fldChar w:fldCharType="begin"/>
      </w:r>
      <w:r w:rsidR="00956746">
        <w:rPr>
          <w:b/>
        </w:rPr>
        <w:instrText xml:space="preserve"> ADDIN EN.CITE &lt;EndNote&gt;&lt;Cite&gt;&lt;Author&gt;Australian Institute of Health and Welfare&lt;/Author&gt;&lt;Year&gt;2021&lt;/Year&gt;&lt;RecNum&gt;82&lt;/RecNum&gt;&lt;DisplayText&gt;[28]&lt;/DisplayText&gt;&lt;record&gt;&lt;rec-number&gt;82&lt;/rec-number&gt;&lt;foreign-keys&gt;&lt;key app="EN" db-id="5fz2fzfzg2w2x4efdz3xprvlzezfdv2spstv" timestamp="1678330769"&gt;82&lt;/key&gt;&lt;/foreign-keys&gt;&lt;ref-type name="Report"&gt;27&lt;/ref-type&gt;&lt;contributors&gt;&lt;authors&gt;&lt;author&gt;Australian Institute of Health and Welfare,&lt;/author&gt;&lt;/authors&gt;&lt;/contributors&gt;&lt;titles&gt;&lt;title&gt;Australian Burden of Disease Study 2018 – Key findings&lt;/title&gt;&lt;/titles&gt;&lt;dates&gt;&lt;year&gt;2021&lt;/year&gt;&lt;/dates&gt;&lt;pub-location&gt;Canberra, ACT&lt;/pub-location&gt;&lt;publisher&gt;Australian Institute of Health and Welfare&lt;/publisher&gt;&lt;urls&gt;&lt;related-urls&gt;&lt;url&gt;https://www.aihw.gov.au/reports/burden-of-disease/burden-of-disease-study-2018-key-findings/contents/key-findings&lt;/url&gt;&lt;/related-urls&gt;&lt;/urls&gt;&lt;/record&gt;&lt;/Cite&gt;&lt;/EndNote&gt;</w:instrText>
      </w:r>
      <w:r w:rsidRPr="00080523">
        <w:rPr>
          <w:b/>
        </w:rPr>
        <w:fldChar w:fldCharType="separate"/>
      </w:r>
      <w:r w:rsidR="00956746">
        <w:rPr>
          <w:b/>
          <w:noProof/>
        </w:rPr>
        <w:t>[28]</w:t>
      </w:r>
      <w:r w:rsidRPr="00080523">
        <w:rPr>
          <w:b/>
        </w:rPr>
        <w:fldChar w:fldCharType="end"/>
      </w:r>
      <w:r w:rsidRPr="00080523">
        <w:rPr>
          <w:b/>
        </w:rPr>
        <w:t xml:space="preserve"> than might consider themselves law-breakers. </w:t>
      </w:r>
    </w:p>
    <w:p w14:paraId="7416267B" w14:textId="3A88BA3A" w:rsidR="007E5233" w:rsidRPr="00C37940" w:rsidRDefault="007E5233" w:rsidP="00080523">
      <w:pPr>
        <w:pStyle w:val="IntenseQuote"/>
      </w:pPr>
      <w:r w:rsidRPr="00C37940">
        <w:t>Generally, people take drugs socially rather than living the life of a heroin addict or ‘spice zombie’ as presented in the media</w:t>
      </w:r>
      <w:r>
        <w:t xml:space="preserve"> …</w:t>
      </w:r>
      <w:r w:rsidRPr="00C37940">
        <w:t xml:space="preserve"> a large majority of persons who have used drugs do not proceed to develop </w:t>
      </w:r>
      <w:r>
        <w:t xml:space="preserve">[problematic drug use] </w:t>
      </w:r>
      <w:r w:rsidRPr="00C37940">
        <w:t>PDU, regardless of the particular substance used. Rather, most people’s drug use is episodic and transient.</w:t>
      </w:r>
      <w:r>
        <w:t xml:space="preserve"> </w:t>
      </w:r>
      <w:r w:rsidRPr="00080523">
        <w:rPr>
          <w:i w:val="0"/>
        </w:rPr>
        <w:fldChar w:fldCharType="begin"/>
      </w:r>
      <w:r w:rsidR="00956746">
        <w:rPr>
          <w:i w:val="0"/>
        </w:rPr>
        <w:instrText xml:space="preserve"> ADDIN EN.CITE &lt;EndNote&gt;&lt;Cite ExcludeAuth="1"&gt;&lt;Author&gt;Schlag&lt;/Author&gt;&lt;Year&gt;2020&lt;/Year&gt;&lt;RecNum&gt;88&lt;/RecNum&gt;&lt;Pages&gt;6&lt;/Pages&gt;&lt;DisplayText&gt;[29]&lt;/DisplayText&gt;&lt;record&gt;&lt;rec-number&gt;88&lt;/rec-number&gt;&lt;foreign-keys&gt;&lt;key app="EN" db-id="5fz2fzfzg2w2x4efdz3xprvlzezfdv2spstv" timestamp="1678397497"&gt;88&lt;/key&gt;&lt;/foreign-keys&gt;&lt;ref-type name="Journal Article"&gt;17&lt;/ref-type&gt;&lt;contributors&gt;&lt;authors&gt;&lt;author&gt;Schlag, Anne Katrin&lt;/author&gt;&lt;/authors&gt;&lt;/contributors&gt;&lt;titles&gt;&lt;title&gt;Percentages of problem drug use and their implications for policy making: A review of the literature&lt;/title&gt;&lt;secondary-title&gt;Drug Science, Policy and Law&lt;/secondary-title&gt;&lt;/titles&gt;&lt;periodical&gt;&lt;full-title&gt;Drug Science, Policy and Law&lt;/full-title&gt;&lt;/periodical&gt;&lt;pages&gt;1-9&lt;/pages&gt;&lt;volume&gt;6&lt;/volume&gt;&lt;keywords&gt;&lt;keyword&gt;problematic drug use, dependence, addiction, drug policy&lt;/keyword&gt;&lt;/keywords&gt;&lt;dates&gt;&lt;year&gt;2020&lt;/year&gt;&lt;/dates&gt;&lt;urls&gt;&lt;related-urls&gt;&lt;url&gt;https://journals.sagepub.com/doi/abs/10.1177/2050324520904540&lt;/url&gt;&lt;/related-urls&gt;&lt;/urls&gt;&lt;electronic-resource-num&gt;10.1177/2050324520904540&lt;/electronic-resource-num&gt;&lt;/record&gt;&lt;/Cite&gt;&lt;/EndNote&gt;</w:instrText>
      </w:r>
      <w:r w:rsidRPr="00080523">
        <w:rPr>
          <w:i w:val="0"/>
        </w:rPr>
        <w:fldChar w:fldCharType="separate"/>
      </w:r>
      <w:r w:rsidR="00956746">
        <w:rPr>
          <w:i w:val="0"/>
          <w:noProof/>
        </w:rPr>
        <w:t>[29]</w:t>
      </w:r>
      <w:r w:rsidRPr="00080523">
        <w:rPr>
          <w:i w:val="0"/>
        </w:rPr>
        <w:fldChar w:fldCharType="end"/>
      </w:r>
      <w:r>
        <w:t xml:space="preserve"> </w:t>
      </w:r>
    </w:p>
    <w:p w14:paraId="2E24FCBA" w14:textId="5D87379D" w:rsidR="00956746" w:rsidRDefault="00D17389" w:rsidP="00956746">
      <w:pPr>
        <w:pStyle w:val="BodyText"/>
        <w:spacing w:before="100" w:beforeAutospacing="1" w:after="100" w:afterAutospacing="1"/>
      </w:pPr>
      <w:r w:rsidRPr="00777D2F">
        <w:t>F</w:t>
      </w:r>
      <w:r w:rsidR="00166B3C" w:rsidRPr="00777D2F">
        <w:t xml:space="preserve">or </w:t>
      </w:r>
      <w:r w:rsidR="000376A8">
        <w:t>most people,</w:t>
      </w:r>
      <w:r w:rsidR="00166B3C" w:rsidRPr="00777D2F">
        <w:t xml:space="preserve"> </w:t>
      </w:r>
      <w:r w:rsidR="00AD6186" w:rsidRPr="00777D2F">
        <w:t>drugs—including alcohol—are used for social reasons</w:t>
      </w:r>
      <w:r w:rsidR="000376A8">
        <w:t xml:space="preserve"> </w:t>
      </w:r>
      <w:r w:rsidR="00AD6186" w:rsidRPr="00777D2F">
        <w:fldChar w:fldCharType="begin"/>
      </w:r>
      <w:r w:rsidR="00956746">
        <w:instrText xml:space="preserve"> ADDIN EN.CITE &lt;EndNote&gt;&lt;Cite&gt;&lt;Author&gt;Mey&lt;/Author&gt;&lt;Year&gt;2017&lt;/Year&gt;&lt;RecNum&gt;141&lt;/RecNum&gt;&lt;DisplayText&gt;[30]&lt;/DisplayText&gt;&lt;record&gt;&lt;rec-number&gt;141&lt;/rec-number&gt;&lt;foreign-keys&gt;&lt;key app="EN" db-id="5fz2fzfzg2w2x4efdz3xprvlzezfdv2spstv" timestamp="1679014621"&gt;141&lt;/key&gt;&lt;/foreign-keys&gt;&lt;ref-type name="Journal Article"&gt;17&lt;/ref-type&gt;&lt;contributors&gt;&lt;authors&gt;&lt;author&gt;Mey, Amary&lt;/author&gt;&lt;author&gt;Plummer, David&lt;/author&gt;&lt;author&gt;Anoopkumar-Dukie, Shailendra&lt;/author&gt;&lt;author&gt;Domberelli, Amber&lt;/author&gt;&lt;/authors&gt;&lt;/contributors&gt;&lt;titles&gt;&lt;title&gt;What’s the attraction? Social connectedness as a driver of recreational drug use&lt;/title&gt;&lt;secondary-title&gt;Journal of Substance Use&lt;/secondary-title&gt;&lt;/titles&gt;&lt;periodical&gt;&lt;full-title&gt;Journal of Substance Use&lt;/full-title&gt;&lt;/periodical&gt;&lt;pages&gt;327-334&lt;/pages&gt;&lt;volume&gt;23&lt;/volume&gt;&lt;number&gt;3&lt;/number&gt;&lt;section&gt;327&lt;/section&gt;&lt;dates&gt;&lt;year&gt;2017&lt;/year&gt;&lt;/dates&gt;&lt;isbn&gt;1465-9891&amp;#xD;1475-9942&lt;/isbn&gt;&lt;urls&gt;&lt;/urls&gt;&lt;electronic-resource-num&gt;10.1080/14659891.2017.1409816&lt;/electronic-resource-num&gt;&lt;/record&gt;&lt;/Cite&gt;&lt;/EndNote&gt;</w:instrText>
      </w:r>
      <w:r w:rsidR="00AD6186" w:rsidRPr="00777D2F">
        <w:fldChar w:fldCharType="separate"/>
      </w:r>
      <w:r w:rsidR="00956746">
        <w:rPr>
          <w:noProof/>
        </w:rPr>
        <w:t>[30]</w:t>
      </w:r>
      <w:r w:rsidR="00AD6186" w:rsidRPr="00777D2F">
        <w:fldChar w:fldCharType="end"/>
      </w:r>
      <w:r w:rsidR="00AD6186" w:rsidRPr="00777D2F">
        <w:t>. Those who remain</w:t>
      </w:r>
      <w:r w:rsidR="00AD6186" w:rsidRPr="001F1FFC">
        <w:rPr>
          <w:color w:val="FF0000"/>
        </w:rPr>
        <w:t xml:space="preserve"> </w:t>
      </w:r>
      <w:r w:rsidR="00AD6186">
        <w:t xml:space="preserve">safe from interaction with the criminal justice system are protected by the absence of </w:t>
      </w:r>
      <w:r w:rsidR="00025BF6" w:rsidRPr="00F54E86">
        <w:rPr>
          <w:b/>
          <w:bCs/>
          <w:color w:val="31849B" w:themeColor="accent5" w:themeShade="BF"/>
        </w:rPr>
        <w:t>upstream</w:t>
      </w:r>
      <w:r w:rsidR="00025BF6" w:rsidRPr="00F54E86">
        <w:rPr>
          <w:color w:val="31849B" w:themeColor="accent5" w:themeShade="BF"/>
        </w:rPr>
        <w:t xml:space="preserve"> </w:t>
      </w:r>
      <w:r w:rsidR="00166B3C" w:rsidRPr="00080523">
        <w:rPr>
          <w:b/>
          <w:bCs/>
          <w:color w:val="31849B" w:themeColor="accent5" w:themeShade="BF"/>
        </w:rPr>
        <w:t>factors</w:t>
      </w:r>
      <w:r w:rsidR="00166B3C">
        <w:t xml:space="preserve"> that predispose people to developing a drug use disorder. They remain free to participate in and contribute to the healthy life of the community. </w:t>
      </w:r>
      <w:r w:rsidR="003414C6">
        <w:t>If a drug use disorder develops, t</w:t>
      </w:r>
      <w:r w:rsidR="001F1FFC">
        <w:t>hey are also more likely to be able to afford private treatment.</w:t>
      </w:r>
    </w:p>
    <w:p w14:paraId="446F5A8D" w14:textId="6A72B6AA" w:rsidR="0094706A" w:rsidRDefault="0094706A" w:rsidP="007E536B">
      <w:pPr>
        <w:pStyle w:val="Heading3"/>
      </w:pPr>
      <w:bookmarkStart w:id="12" w:name="_Toc136851456"/>
      <w:r>
        <w:t>Problematic drug use is a marker of inequality</w:t>
      </w:r>
      <w:bookmarkEnd w:id="12"/>
    </w:p>
    <w:p w14:paraId="7EF19AC7" w14:textId="4BDC36FF" w:rsidR="0094706A" w:rsidRDefault="0094706A" w:rsidP="00792CD3">
      <w:pPr>
        <w:pStyle w:val="BodyText"/>
        <w:spacing w:before="0" w:after="0"/>
      </w:pPr>
      <w:r>
        <w:t xml:space="preserve">Drug use, the development of drug use disorders, and deaths from drug use disorders are not evenly spread across society. Deaths in particular are much more prevalent among people who have poorer access to the </w:t>
      </w:r>
      <w:r w:rsidRPr="00F54E86">
        <w:rPr>
          <w:b/>
          <w:bCs/>
          <w:color w:val="31849B" w:themeColor="accent5" w:themeShade="BF"/>
        </w:rPr>
        <w:t>social determinants of health</w:t>
      </w:r>
      <w:r>
        <w:t xml:space="preserve">. </w:t>
      </w:r>
    </w:p>
    <w:p w14:paraId="3ED37593" w14:textId="2A13EC73" w:rsidR="00851667" w:rsidRPr="00851667" w:rsidRDefault="00603D80" w:rsidP="00792CD3">
      <w:pPr>
        <w:pStyle w:val="BodyText"/>
        <w:spacing w:after="100" w:afterAutospacing="1"/>
      </w:pPr>
      <w:r w:rsidRPr="00C867F8">
        <w:rPr>
          <w:rFonts w:ascii="AvenirNext LT Pro Regular" w:hAnsi="AvenirNext LT Pro Regular"/>
          <w:noProof/>
        </w:rPr>
        <mc:AlternateContent>
          <mc:Choice Requires="wps">
            <w:drawing>
              <wp:anchor distT="0" distB="0" distL="114300" distR="114300" simplePos="0" relativeHeight="251959296" behindDoc="0" locked="0" layoutInCell="1" allowOverlap="1" wp14:anchorId="52E8A586" wp14:editId="27F1F603">
                <wp:simplePos x="0" y="0"/>
                <wp:positionH relativeFrom="margin">
                  <wp:posOffset>-34925</wp:posOffset>
                </wp:positionH>
                <wp:positionV relativeFrom="paragraph">
                  <wp:posOffset>1538605</wp:posOffset>
                </wp:positionV>
                <wp:extent cx="6155690" cy="4057650"/>
                <wp:effectExtent l="0" t="0" r="16510" b="0"/>
                <wp:wrapTopAndBottom/>
                <wp:docPr id="5" name="docshape3" descr="Case study&#10;Jas&#10;Jas’s life has been shaped by trauma. Her parents used drugs, and had several convictions, resulting in Jas being taken into the Child Safety System. Jas had her first child at 14, while she was under a Child Safety Services Care and Protection Order; the child was taken into permanent care.&#10;A few years ago, Jas was convicted for crimes related to drug use. The prison term did not act as a deterrent. She was facing similar charges when she came into Anglicare’s Kids in Focus program.&#10;Jas has a long-term relationship with Tim and they have three children. Jas and Tim have their ups and downs, but they wanted to be deemed capable of looking after their kids. That meant managing their illicit drug use and gaining some parenting skills, so they worked with Kids in Focus for about 18 months. Their goal was realistic: reduce drug use to enable them to be good enough parents and keep the family together.&#10;Jas and Tim have sometimes found it hard to get the kids to school; eventually Child Safety got involved. Finding that Tim and Jas were using illicit drugs and that the house was not in a safe state for children, Child Safety took the kids into care. At the same time, Jas was also waiting for possession, theft and drug-driving charges to come up in the court system. When they were eventually heard, Jas was jailed, although she maintained access visits to her children. Tim, who had been relying on sharing rental costs of their home with Jas, was unable to cover the rent and became homeles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155690"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4EF49" w14:textId="77777777" w:rsidR="005A3B94" w:rsidRDefault="005A3B94" w:rsidP="00956746">
                            <w:pPr>
                              <w:pStyle w:val="TitleinText"/>
                            </w:pPr>
                          </w:p>
                          <w:p w14:paraId="0CCA8E8E" w14:textId="4361FFF3" w:rsidR="005A3B94" w:rsidRPr="00146A5B" w:rsidRDefault="005A3B94" w:rsidP="00146A5B">
                            <w:pPr>
                              <w:rPr>
                                <w:b/>
                              </w:rPr>
                            </w:pPr>
                            <w:r w:rsidRPr="00146A5B">
                              <w:rPr>
                                <w:b/>
                              </w:rPr>
                              <w:t>Jas</w:t>
                            </w:r>
                          </w:p>
                          <w:p w14:paraId="51CB8A9E" w14:textId="77777777" w:rsidR="005A3B94" w:rsidRDefault="005A3B94" w:rsidP="00956746">
                            <w:pPr>
                              <w:pStyle w:val="BodyText"/>
                            </w:pPr>
                            <w:r>
                              <w:t>Jas’s life has been shaped by trauma. Her parents used drugs, and had several convictions, resulting in Jas being taken into the Child Safety System. Jas had her first child at 14, while she was under a Child Safety Services Care and Protection Order; the child was taken into permanent care.</w:t>
                            </w:r>
                          </w:p>
                          <w:p w14:paraId="0891AF9C" w14:textId="77777777" w:rsidR="005A3B94" w:rsidRDefault="005A3B94" w:rsidP="00956746">
                            <w:pPr>
                              <w:pStyle w:val="BodyText"/>
                            </w:pPr>
                            <w:r>
                              <w:t>A few years ago, Jas was convicted for crimes related to drug use. The prison term did not act as a deterrent. She was facing similar charges when she came into Anglicare’s Kids in Focus program.</w:t>
                            </w:r>
                          </w:p>
                          <w:p w14:paraId="580AAFD7" w14:textId="77777777" w:rsidR="005A3B94" w:rsidRDefault="005A3B94" w:rsidP="00956746">
                            <w:pPr>
                              <w:pStyle w:val="BodyText"/>
                            </w:pPr>
                            <w:r>
                              <w:t>Jas has a long-term relationship with Tim and they have three children. Jas and Tim have their ups and downs, but they wanted to be deemed capable of looking after their kids. That meant managing their illicit drug use and gaining some parenting skills, so they worked with Kids in Focus for about 18 months. Their goal was realistic: reduce drug use to enable them to be good enough parents and keep the family together.</w:t>
                            </w:r>
                          </w:p>
                          <w:p w14:paraId="2D089F7A" w14:textId="77777777" w:rsidR="005A3B94" w:rsidRPr="00EE6299" w:rsidRDefault="005A3B94" w:rsidP="00956746">
                            <w:pPr>
                              <w:pStyle w:val="BodyText"/>
                            </w:pPr>
                            <w:r>
                              <w:t>Jas and Tim have sometimes found it hard to get the kids to school; eventually Child Safety got involved. Finding that Tim and Jas were using illicit drugs and that the house was not in a safe state for children, Child Safety took the kids into care. At the same time, Jas was also waiting for possession, theft and drug-driving charges to come up in the court system. When they were eventually heard, Jas was jailed, although she maintained access visits to her children. Tim, who had been relying on sharing rental costs of their home with Jas, was unable to cover the rent and became homeless.</w:t>
                            </w:r>
                          </w:p>
                          <w:p w14:paraId="3EDAD307" w14:textId="77777777" w:rsidR="005A3B94" w:rsidRPr="006F73D8" w:rsidRDefault="005A3B94" w:rsidP="00956746">
                            <w:pPr>
                              <w:pStyle w:val="TableParagraph"/>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8A586" id="_x0000_s1030" type="#_x0000_t202" alt="Case study&#10;Jas&#10;Jas’s life has been shaped by trauma. Her parents used drugs, and had several convictions, resulting in Jas being taken into the Child Safety System. Jas had her first child at 14, while she was under a Child Safety Services Care and Protection Order; the child was taken into permanent care.&#10;A few years ago, Jas was convicted for crimes related to drug use. The prison term did not act as a deterrent. She was facing similar charges when she came into Anglicare’s Kids in Focus program.&#10;Jas has a long-term relationship with Tim and they have three children. Jas and Tim have their ups and downs, but they wanted to be deemed capable of looking after their kids. That meant managing their illicit drug use and gaining some parenting skills, so they worked with Kids in Focus for about 18 months. Their goal was realistic: reduce drug use to enable them to be good enough parents and keep the family together.&#10;Jas and Tim have sometimes found it hard to get the kids to school; eventually Child Safety got involved. Finding that Tim and Jas were using illicit drugs and that the house was not in a safe state for children, Child Safety took the kids into care. At the same time, Jas was also waiting for possession, theft and drug-driving charges to come up in the court system. When they were eventually heard, Jas was jailed, although she maintained access visits to her children. Tim, who had been relying on sharing rental costs of their home with Jas, was unable to cover the rent and became homeless.&#10;" style="position:absolute;margin-left:-2.75pt;margin-top:121.15pt;width:484.7pt;height:319.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" filled="f" stroked="f">
                <o:lock v:ext="edit" aspectratio="t" verticies="t" text="t" shapetype="t"/>
                <v:textbox inset="0,0,0,0">
                  <w:txbxContent>
                    <w:p w14:paraId="21A4EF49" w14:textId="77777777" w:rsidR="005A3B94" w:rsidRDefault="005A3B94" w:rsidP="00956746">
                      <w:pPr>
                        <w:pStyle w:val="TitleinText"/>
                      </w:pPr>
                    </w:p>
                    <w:p w14:paraId="0CCA8E8E" w14:textId="4361FFF3" w:rsidR="005A3B94" w:rsidRPr="00146A5B" w:rsidRDefault="005A3B94" w:rsidP="00146A5B">
                      <w:pPr>
                        <w:rPr>
                          <w:b/>
                        </w:rPr>
                      </w:pPr>
                      <w:r w:rsidRPr="00146A5B">
                        <w:rPr>
                          <w:b/>
                        </w:rPr>
                        <w:t>Jas</w:t>
                      </w:r>
                    </w:p>
                    <w:p w14:paraId="51CB8A9E" w14:textId="77777777" w:rsidR="005A3B94" w:rsidRDefault="005A3B94" w:rsidP="00956746">
                      <w:pPr>
                        <w:pStyle w:val="BodyText"/>
                      </w:pPr>
                      <w:r>
                        <w:t>Jas’s life has been shaped by trauma. Her parents used drugs, and had several convictions, resulting in Jas being taken into the Child Safety System. Jas had her first child at 14, while she was under a Child Safety Services Care and Protection Order; the child was taken into permanent care.</w:t>
                      </w:r>
                    </w:p>
                    <w:p w14:paraId="0891AF9C" w14:textId="77777777" w:rsidR="005A3B94" w:rsidRDefault="005A3B94" w:rsidP="00956746">
                      <w:pPr>
                        <w:pStyle w:val="BodyText"/>
                      </w:pPr>
                      <w:r>
                        <w:t>A few years ago, Jas was convicted for crimes related to drug use. The prison term did not act as a deterrent. She was facing similar charges when she came into Anglicare’s Kids in Focus program.</w:t>
                      </w:r>
                    </w:p>
                    <w:p w14:paraId="580AAFD7" w14:textId="77777777" w:rsidR="005A3B94" w:rsidRDefault="005A3B94" w:rsidP="00956746">
                      <w:pPr>
                        <w:pStyle w:val="BodyText"/>
                      </w:pPr>
                      <w:r>
                        <w:t>Jas has a long-term relationship with Tim and they have three children. Jas and Tim have their ups and downs, but they wanted to be deemed capable of looking after their kids. That meant managing their illicit drug use and gaining some parenting skills, so they worked with Kids in Focus for about 18 months. Their goal was realistic: reduce drug use to enable them to be good enough parents and keep the family together.</w:t>
                      </w:r>
                    </w:p>
                    <w:p w14:paraId="2D089F7A" w14:textId="77777777" w:rsidR="005A3B94" w:rsidRPr="00EE6299" w:rsidRDefault="005A3B94" w:rsidP="00956746">
                      <w:pPr>
                        <w:pStyle w:val="BodyText"/>
                      </w:pPr>
                      <w:r>
                        <w:t>Jas and Tim have sometimes found it hard to get the kids to school; eventually Child Safety got involved. Finding that Tim and Jas were using illicit drugs and that the house was not in a safe state for children, Child Safety took the kids into care. At the same time, Jas was also waiting for possession, theft and drug-driving charges to come up in the court system. When they were eventually heard, Jas was jailed, although she maintained access visits to her children. Tim, who had been relying on sharing rental costs of their home with Jas, was unable to cover the rent and became homeless.</w:t>
                      </w:r>
                    </w:p>
                    <w:p w14:paraId="3EDAD307" w14:textId="77777777" w:rsidR="005A3B94" w:rsidRPr="006F73D8" w:rsidRDefault="005A3B94" w:rsidP="00956746">
                      <w:pPr>
                        <w:pStyle w:val="TableParagraph"/>
                      </w:pPr>
                    </w:p>
                  </w:txbxContent>
                </v:textbox>
                <w10:wrap type="topAndBottom" anchorx="margin"/>
              </v:shape>
            </w:pict>
          </mc:Fallback>
        </mc:AlternateContent>
      </w:r>
      <w:r w:rsidR="00792CD3" w:rsidRPr="00C867F8">
        <w:rPr>
          <w:rFonts w:ascii="AvenirNext LT Pro Regular" w:hAnsi="AvenirNext LT Pro Regular"/>
          <w:noProof/>
        </w:rPr>
        <mc:AlternateContent>
          <mc:Choice Requires="wps">
            <w:drawing>
              <wp:anchor distT="0" distB="0" distL="114300" distR="114300" simplePos="0" relativeHeight="251905024" behindDoc="1" locked="0" layoutInCell="1" allowOverlap="1" wp14:anchorId="20784A5F" wp14:editId="024B64EA">
                <wp:simplePos x="0" y="0"/>
                <wp:positionH relativeFrom="page">
                  <wp:align>right</wp:align>
                </wp:positionH>
                <wp:positionV relativeFrom="paragraph">
                  <wp:posOffset>1645447</wp:posOffset>
                </wp:positionV>
                <wp:extent cx="7575550" cy="4870022"/>
                <wp:effectExtent l="0" t="0" r="6350" b="6985"/>
                <wp:wrapNone/>
                <wp:docPr id="67" name="Rectangle 67"/>
                <wp:cNvGraphicFramePr/>
                <a:graphic xmlns:a="http://schemas.openxmlformats.org/drawingml/2006/main">
                  <a:graphicData uri="http://schemas.microsoft.com/office/word/2010/wordprocessingShape">
                    <wps:wsp>
                      <wps:cNvSpPr/>
                      <wps:spPr>
                        <a:xfrm>
                          <a:off x="0" y="0"/>
                          <a:ext cx="7575550" cy="4870022"/>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D75EB" id="Rectangle 67" o:spid="_x0000_s1026" style="position:absolute;margin-left:545.3pt;margin-top:129.55pt;width:596.5pt;height:383.45pt;z-index:-251411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" fillcolor="#e6e3d9" stroked="f" strokeweight="2pt">
                <w10:wrap anchorx="page"/>
              </v:rect>
            </w:pict>
          </mc:Fallback>
        </mc:AlternateContent>
      </w:r>
      <w:r w:rsidR="00B542F0" w:rsidRPr="00851667">
        <w:t xml:space="preserve">Being </w:t>
      </w:r>
      <w:r w:rsidR="000376A8" w:rsidRPr="00851667">
        <w:t xml:space="preserve">an </w:t>
      </w:r>
      <w:r w:rsidR="00B542F0" w:rsidRPr="00851667">
        <w:t xml:space="preserve">Aboriginal </w:t>
      </w:r>
      <w:r w:rsidR="000376A8" w:rsidRPr="00851667">
        <w:t xml:space="preserve">person </w:t>
      </w:r>
      <w:r w:rsidR="00B542F0" w:rsidRPr="00851667">
        <w:t xml:space="preserve">reduces access to the social determinants of health, and adds the burden of discrimination </w:t>
      </w:r>
      <w:r w:rsidR="00B542F0" w:rsidRPr="00851667">
        <w:fldChar w:fldCharType="begin">
          <w:fldData xml:space="preserve">PEVuZE5vdGU+PENpdGU+PEF1dGhvcj5UYXNtYW5pYW4gQ291bmNpbCBvZiBTb2NpYWwgU2Vydmlj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</w:fldData>
        </w:fldChar>
      </w:r>
      <w:r w:rsidR="00956746" w:rsidRPr="00851667">
        <w:instrText xml:space="preserve"> ADDIN EN.CITE </w:instrText>
      </w:r>
      <w:r w:rsidR="00956746" w:rsidRPr="00851667">
        <w:fldChar w:fldCharType="begin">
          <w:fldData xml:space="preserve">PEVuZE5vdGU+PENpdGU+PEF1dGhvcj5UYXNtYW5pYW4gQ291bmNpbCBvZiBTb2NpYWwgU2Vydmlj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</w:fldData>
        </w:fldChar>
      </w:r>
      <w:r w:rsidR="00956746" w:rsidRPr="00851667">
        <w:instrText xml:space="preserve"> ADDIN EN.CITE.DATA </w:instrText>
      </w:r>
      <w:r w:rsidR="00956746" w:rsidRPr="00851667">
        <w:fldChar w:fldCharType="end"/>
      </w:r>
      <w:r w:rsidR="00B542F0" w:rsidRPr="00851667">
        <w:fldChar w:fldCharType="separate"/>
      </w:r>
      <w:r w:rsidR="00956746" w:rsidRPr="00851667">
        <w:t>[31-33]</w:t>
      </w:r>
      <w:r w:rsidR="00B542F0" w:rsidRPr="00851667">
        <w:fldChar w:fldCharType="end"/>
      </w:r>
      <w:r w:rsidR="00B542F0" w:rsidRPr="00851667">
        <w:t xml:space="preserve">. </w:t>
      </w:r>
      <w:r w:rsidR="0088328E" w:rsidRPr="00851667">
        <w:t>Tasmanian Aboriginal</w:t>
      </w:r>
      <w:r w:rsidR="00B542F0" w:rsidRPr="00851667">
        <w:t xml:space="preserve"> people are over-represented in Tasmania’s corrections system </w:t>
      </w:r>
      <w:r w:rsidR="00B542F0" w:rsidRPr="00851667">
        <w:fldChar w:fldCharType="begin"/>
      </w:r>
      <w:r w:rsidR="00956746" w:rsidRPr="00851667">
        <w:instrText xml:space="preserve"> ADDIN EN.CITE &lt;EndNote&gt;&lt;Cite&gt;&lt;Author&gt;Tasmanian Aboriginal Legal Service&lt;/Author&gt;&lt;Year&gt;2023&lt;/Year&gt;&lt;RecNum&gt;125&lt;/RecNum&gt;&lt;DisplayText&gt;[34, 35]&lt;/DisplayText&gt;&lt;record&gt;&lt;rec-number&gt;125&lt;/rec-number&gt;&lt;foreign-keys&gt;&lt;key app="EN" db-id="5fz2fzfzg2w2x4efdz3xprvlzezfdv2spstv" timestamp="1678841538"&gt;125&lt;/key&gt;&lt;/foreign-keys&gt;&lt;ref-type name="Book"&gt;6&lt;/ref-type&gt;&lt;contributors&gt;&lt;authors&gt;&lt;author&gt;Tasmanian Aboriginal Legal Service,&lt;/author&gt;&lt;/authors&gt;&lt;/contributors&gt;&lt;titles&gt;&lt;title&gt;TALS Tasmania Aboriginal Legal Service 2022 Annual Report&lt;/title&gt;&lt;/titles&gt;&lt;dates&gt;&lt;year&gt;2023&lt;/year&gt;&lt;/dates&gt;&lt;pub-location&gt;Hobart, TAS&lt;/pub-location&gt;&lt;publisher&gt;TALS&lt;/publisher&gt;&lt;urls&gt;&lt;/urls&gt;&lt;/record&gt;&lt;/Cite&gt;&lt;Cite&gt;&lt;Author&gt;Australian Bureau of Statistics&lt;/Author&gt;&lt;Year&gt;2023&lt;/Year&gt;&lt;RecNum&gt;90&lt;/RecNum&gt;&lt;record&gt;&lt;rec-number&gt;90&lt;/rec-number&gt;&lt;foreign-keys&gt;&lt;key app="EN" db-id="5fz2fzfzg2w2x4efdz3xprvlzezfdv2spstv" timestamp="1678398292"&gt;90&lt;/key&gt;&lt;/foreign-keys&gt;&lt;ref-type name="Electronic Article"&gt;43&lt;/ref-type&gt;&lt;contributors&gt;&lt;authors&gt;&lt;author&gt;Australian Bureau of Statistics,&lt;/author&gt;&lt;/authors&gt;&lt;/contributors&gt;&lt;titles&gt;&lt;title&gt;Prisoners in Australia&lt;/title&gt;&lt;tertiary-title&gt;abs.gov.au&lt;/tertiary-title&gt;&lt;/titles&gt;&lt;section&gt;24 February 2023&lt;/section&gt;&lt;dates&gt;&lt;year&gt;2023&lt;/year&gt;&lt;pub-dates&gt;&lt;date&gt;6 March 2023&lt;/date&gt;&lt;/pub-dates&gt;&lt;/dates&gt;&lt;pub-location&gt;Canberra, ACT&lt;/pub-location&gt;&lt;publisher&gt;Australian Bureau of Statistics&lt;/publisher&gt;&lt;urls&gt;&lt;related-urls&gt;&lt;url&gt;https://www.abs.gov.au/statistics/people/crime-and-justice/prisoners-australia/latest-release#state-territory&lt;/url&gt;&lt;/related-urls&gt;&lt;/urls&gt;&lt;/record&gt;&lt;/Cite&gt;&lt;/EndNote&gt;</w:instrText>
      </w:r>
      <w:r w:rsidR="00B542F0" w:rsidRPr="00851667">
        <w:fldChar w:fldCharType="separate"/>
      </w:r>
      <w:r w:rsidR="00956746" w:rsidRPr="00851667">
        <w:t>[34, 35]</w:t>
      </w:r>
      <w:r w:rsidR="00B542F0" w:rsidRPr="00851667">
        <w:fldChar w:fldCharType="end"/>
      </w:r>
      <w:r w:rsidR="00B542F0" w:rsidRPr="00851667">
        <w:t>, and the Tasmanian Aboriginal Legal Service reports that more than three</w:t>
      </w:r>
      <w:r w:rsidR="003226B1">
        <w:t>-</w:t>
      </w:r>
      <w:r w:rsidR="00B542F0" w:rsidRPr="00851667">
        <w:t xml:space="preserve">quarters of Indigenous prisoners have a substance use problem. This </w:t>
      </w:r>
      <w:r w:rsidR="004E2EC1" w:rsidRPr="00851667">
        <w:t xml:space="preserve">is associated </w:t>
      </w:r>
      <w:r w:rsidR="00C83033" w:rsidRPr="00851667">
        <w:t xml:space="preserve">with </w:t>
      </w:r>
      <w:r w:rsidR="004E2EC1" w:rsidRPr="00851667">
        <w:t>a</w:t>
      </w:r>
      <w:r w:rsidR="00B542F0" w:rsidRPr="00851667">
        <w:t xml:space="preserve"> high rate of mental illness among Aboriginal prisoners (at least 22%) </w:t>
      </w:r>
      <w:r w:rsidR="00B542F0" w:rsidRPr="00851667">
        <w:fldChar w:fldCharType="begin"/>
      </w:r>
      <w:r w:rsidR="00956746" w:rsidRPr="00851667">
        <w:instrText xml:space="preserve"> ADDIN EN.CITE &lt;EndNote&gt;&lt;Cite&gt;&lt;Author&gt;Tasmanian Aboriginal Legal Service&lt;/Author&gt;&lt;Year&gt;2023&lt;/Year&gt;&lt;RecNum&gt;125&lt;/RecNum&gt;&lt;DisplayText&gt;[34]&lt;/DisplayText&gt;&lt;record&gt;&lt;rec-number&gt;125&lt;/rec-number&gt;&lt;foreign-keys&gt;&lt;key app="EN" db-id="5fz2fzfzg2w2x4efdz3xprvlzezfdv2spstv" timestamp="1678841538"&gt;125&lt;/key&gt;&lt;/foreign-keys&gt;&lt;ref-type name="Book"&gt;6&lt;/ref-type&gt;&lt;contributors&gt;&lt;authors&gt;&lt;author&gt;Tasmanian Aboriginal Legal Service,&lt;/author&gt;&lt;/authors&gt;&lt;/contributors&gt;&lt;titles&gt;&lt;title&gt;TALS Tasmania Aboriginal Legal Service 2022 Annual Report&lt;/title&gt;&lt;/titles&gt;&lt;dates&gt;&lt;year&gt;2023&lt;/year&gt;&lt;/dates&gt;&lt;pub-location&gt;Hobart, TAS&lt;/pub-location&gt;&lt;publisher&gt;TALS&lt;/publisher&gt;&lt;urls&gt;&lt;/urls&gt;&lt;/record&gt;&lt;/Cite&gt;&lt;/EndNote&gt;</w:instrText>
      </w:r>
      <w:r w:rsidR="00B542F0" w:rsidRPr="00851667">
        <w:fldChar w:fldCharType="separate"/>
      </w:r>
      <w:r w:rsidR="00956746" w:rsidRPr="00851667">
        <w:t>[34]</w:t>
      </w:r>
      <w:r w:rsidR="00B542F0" w:rsidRPr="00851667">
        <w:fldChar w:fldCharType="end"/>
      </w:r>
      <w:r w:rsidR="00B542F0" w:rsidRPr="00851667">
        <w:t xml:space="preserve">. Aboriginal people are also over-represented in Tasmanian Alcohol and Other Drug services (e.g., Anglicare </w:t>
      </w:r>
      <w:r w:rsidR="00242CCA" w:rsidRPr="00851667">
        <w:t>service data</w:t>
      </w:r>
      <w:r w:rsidR="00B542F0" w:rsidRPr="00851667">
        <w:t xml:space="preserve">). </w:t>
      </w:r>
    </w:p>
    <w:p w14:paraId="57B5CEC2" w14:textId="4DFD1D09" w:rsidR="00D10191" w:rsidRDefault="00A15FC3" w:rsidP="00851667">
      <w:pPr>
        <w:pStyle w:val="BodyText"/>
        <w:spacing w:before="100" w:beforeAutospacing="1" w:after="100" w:afterAutospacing="1"/>
      </w:pPr>
      <w:r w:rsidRPr="00851667">
        <w:t xml:space="preserve">A study reported in The Lancet found that three-quarters of all premature deaths in England caused by illicit drug use were attributable to socioeconomic inequality </w:t>
      </w:r>
      <w:r w:rsidRPr="00851667">
        <w:fldChar w:fldCharType="begin"/>
      </w:r>
      <w:r w:rsidR="00956746" w:rsidRPr="00851667">
        <w:instrText xml:space="preserve"> ADDIN EN.CITE &lt;EndNote&gt;&lt;Cite&gt;&lt;Author&gt;Lewer&lt;/Author&gt;&lt;Year&gt;2020&lt;/Year&gt;&lt;RecNum&gt;126&lt;/RecNum&gt;&lt;DisplayText&gt;[36]&lt;/DisplayText&gt;&lt;record&gt;&lt;rec-number&gt;126&lt;/rec-number&gt;&lt;foreign-keys&gt;&lt;key app="EN" db-id="5fz2fzfzg2w2x4efdz3xprvlzezfdv2spstv" timestamp="1678853741"&gt;126&lt;/key&gt;&lt;/foreign-keys&gt;&lt;ref-type name="Journal Article"&gt;17&lt;/ref-type&gt;&lt;contributors&gt;&lt;authors&gt;&lt;author&gt;Lewer, Dan&lt;/author&gt;&lt;author&gt;Jayatunga, Wikum&lt;/author&gt;&lt;author&gt;Aldridge, Robert W.&lt;/author&gt;&lt;author&gt;Edge, Chantal&lt;/author&gt;&lt;author&gt;Marmot, Michael&lt;/author&gt;&lt;author&gt;Story, Alistair&lt;/author&gt;&lt;author&gt;Hayward, Andrew&lt;/author&gt;&lt;/authors&gt;&lt;/contributors&gt;&lt;titles&gt;&lt;title&gt;Premature mortality attributable to socioeconomic inequality in England between 2003 and 2018: An observational study&lt;/title&gt;&lt;secondary-title&gt;The Lancet Public Health&lt;/secondary-title&gt;&lt;/titles&gt;&lt;periodical&gt;&lt;full-title&gt;The Lancet Public Health&lt;/full-title&gt;&lt;/periodical&gt;&lt;pages&gt;e33-e41&lt;/pages&gt;&lt;volume&gt;5&lt;/volume&gt;&lt;number&gt;1&lt;/number&gt;&lt;section&gt;e33&lt;/section&gt;&lt;dates&gt;&lt;year&gt;2020&lt;/year&gt;&lt;/dates&gt;&lt;isbn&gt;24682667&lt;/isbn&gt;&lt;urls&gt;&lt;/urls&gt;&lt;electronic-resource-num&gt;10.1016/s2468-2667(19)30219-1&lt;/electronic-resource-num&gt;&lt;/record&gt;&lt;/Cite&gt;&lt;/EndNote&gt;</w:instrText>
      </w:r>
      <w:r w:rsidRPr="00851667">
        <w:fldChar w:fldCharType="separate"/>
      </w:r>
      <w:r w:rsidR="00956746" w:rsidRPr="00851667">
        <w:t>[36]</w:t>
      </w:r>
      <w:r w:rsidRPr="00851667">
        <w:fldChar w:fldCharType="end"/>
      </w:r>
      <w:r w:rsidRPr="00851667">
        <w:t xml:space="preserve">. Childhood or adolescent trauma—such as that caused by poverty, being removed from parents or having children removed </w:t>
      </w:r>
      <w:r w:rsidRPr="00851667">
        <w:fldChar w:fldCharType="begin"/>
      </w:r>
      <w:r w:rsidR="00867988" w:rsidRPr="00851667">
        <w:instrText xml:space="preserve"> ADDIN EN.CITE &lt;EndNote&gt;&lt;Cite&gt;&lt;Author&gt;Kirwan&lt;/Author&gt;&lt;Year&gt;2019&lt;/Year&gt;&lt;RecNum&gt;130&lt;/RecNum&gt;&lt;DisplayText&gt;[24]&lt;/DisplayText&gt;&lt;record&gt;&lt;rec-number&gt;130&lt;/rec-number&gt;&lt;foreign-keys&gt;&lt;key app="EN" db-id="5fz2fzfzg2w2x4efdz3xprvlzezfdv2spstv" timestamp="1678919332"&gt;130&lt;/key&gt;&lt;/foreign-keys&gt;&lt;ref-type name="Journal Article"&gt;17&lt;/ref-type&gt;&lt;contributors&gt;&lt;authors&gt;&lt;author&gt;Kirwan, Amy&lt;/author&gt;&lt;author&gt;Curtis, Michael&lt;/author&gt;&lt;author&gt;Dietze, Paul&lt;/author&gt;&lt;author&gt;Aitken, Campbell&lt;/author&gt;&lt;author&gt;Woods, Emma&lt;/author&gt;&lt;author&gt;Walker, Shelley&lt;/author&gt;&lt;author&gt;Kinner, Stuart&lt;/author&gt;&lt;author&gt;Ogloff, James&lt;/author&gt;&lt;author&gt;Butler, Tony&lt;/author&gt;&lt;author&gt;Stoové, Mark&lt;/author&gt;&lt;/authors&gt;&lt;/contributors&gt;&lt;titles&gt;&lt;title&gt;The Prison and Transition Health (PATH) Cohort Study: Study protocol and baseline characteristics of a cohort of men with a history of injecting drug use leaving prison in Australia&lt;/title&gt;&lt;secondary-title&gt;Journal of Urban Health&lt;/secondary-title&gt;&lt;/titles&gt;&lt;periodical&gt;&lt;full-title&gt;Journal of Urban Health&lt;/full-title&gt;&lt;/periodical&gt;&lt;pages&gt;400-410&lt;/pages&gt;&lt;volume&gt;96&lt;/volume&gt;&lt;number&gt;3&lt;/number&gt;&lt;section&gt;400&lt;/section&gt;&lt;dates&gt;&lt;year&gt;2019&lt;/year&gt;&lt;/dates&gt;&lt;isbn&gt;1099-3460&amp;#xD;1468-2869&lt;/isbn&gt;&lt;urls&gt;&lt;/urls&gt;&lt;electronic-resource-num&gt;10.1007/s11524-019-00353-5&lt;/electronic-resource-num&gt;&lt;/record&gt;&lt;/Cite&gt;&lt;/EndNote&gt;</w:instrText>
      </w:r>
      <w:r w:rsidRPr="00851667">
        <w:fldChar w:fldCharType="separate"/>
      </w:r>
      <w:r w:rsidR="00DD5638" w:rsidRPr="00851667">
        <w:t>[24]</w:t>
      </w:r>
      <w:r w:rsidRPr="00851667">
        <w:fldChar w:fldCharType="end"/>
      </w:r>
      <w:r w:rsidRPr="00851667">
        <w:t xml:space="preserve">, experience of family or other violence, and housing insecurity or unsuitability—increase the likelihood of problematic drug use </w:t>
      </w:r>
      <w:r w:rsidRPr="00851667">
        <w:fldChar w:fldCharType="begin">
          <w:fldData xml:space="preserve">PEVuZE5vdGU+PENpdGU+PEF1dGhvcj5TZW50ZW5jaW5nIEFkdmlzb3J5IENvdW5jaWw8L0F1dGhv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</w:fldData>
        </w:fldChar>
      </w:r>
      <w:r w:rsidR="00956746" w:rsidRPr="00851667">
        <w:instrText xml:space="preserve"> ADDIN EN.CITE </w:instrText>
      </w:r>
      <w:r w:rsidR="00956746" w:rsidRPr="00851667">
        <w:fldChar w:fldCharType="begin">
          <w:fldData xml:space="preserve">PEVuZE5vdGU+PENpdGU+PEF1dGhvcj5TZW50ZW5jaW5nIEFkdmlzb3J5IENvdW5jaWw8L0F1dGhv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</w:fldData>
        </w:fldChar>
      </w:r>
      <w:r w:rsidR="00956746" w:rsidRPr="00851667">
        <w:instrText xml:space="preserve"> ADDIN EN.CITE.DATA </w:instrText>
      </w:r>
      <w:r w:rsidR="00956746" w:rsidRPr="00851667">
        <w:fldChar w:fldCharType="end"/>
      </w:r>
      <w:r w:rsidRPr="00851667">
        <w:fldChar w:fldCharType="separate"/>
      </w:r>
      <w:r w:rsidR="00956746" w:rsidRPr="00851667">
        <w:t>[16, 37-39]</w:t>
      </w:r>
      <w:r w:rsidRPr="00851667">
        <w:fldChar w:fldCharType="end"/>
      </w:r>
      <w:r w:rsidRPr="00851667">
        <w:t xml:space="preserve"> and of incarceration </w:t>
      </w:r>
      <w:r w:rsidRPr="00851667">
        <w:fldChar w:fldCharType="begin"/>
      </w:r>
      <w:r w:rsidR="00867988" w:rsidRPr="00851667">
        <w:instrText xml:space="preserve"> ADDIN EN.CITE &lt;EndNote&gt;&lt;Cite&gt;&lt;Author&gt;Kirwan&lt;/Author&gt;&lt;Year&gt;2019&lt;/Year&gt;&lt;RecNum&gt;130&lt;/RecNum&gt;&lt;DisplayText&gt;[24]&lt;/DisplayText&gt;&lt;record&gt;&lt;rec-number&gt;130&lt;/rec-number&gt;&lt;foreign-keys&gt;&lt;key app="EN" db-id="5fz2fzfzg2w2x4efdz3xprvlzezfdv2spstv" timestamp="1678919332"&gt;130&lt;/key&gt;&lt;/foreign-keys&gt;&lt;ref-type name="Journal Article"&gt;17&lt;/ref-type&gt;&lt;contributors&gt;&lt;authors&gt;&lt;author&gt;Kirwan, Amy&lt;/author&gt;&lt;author&gt;Curtis, Michael&lt;/author&gt;&lt;author&gt;Dietze, Paul&lt;/author&gt;&lt;author&gt;Aitken, Campbell&lt;/author&gt;&lt;author&gt;Woods, Emma&lt;/author&gt;&lt;author&gt;Walker, Shelley&lt;/author&gt;&lt;author&gt;Kinner, Stuart&lt;/author&gt;&lt;author&gt;Ogloff, James&lt;/author&gt;&lt;author&gt;Butler, Tony&lt;/author&gt;&lt;author&gt;Stoové, Mark&lt;/author&gt;&lt;/authors&gt;&lt;/contributors&gt;&lt;titles&gt;&lt;title&gt;The Prison and Transition Health (PATH) Cohort Study: Study protocol and baseline characteristics of a cohort of men with a history of injecting drug use leaving prison in Australia&lt;/title&gt;&lt;secondary-title&gt;Journal of Urban Health&lt;/secondary-title&gt;&lt;/titles&gt;&lt;periodical&gt;&lt;full-title&gt;Journal of Urban Health&lt;/full-title&gt;&lt;/periodical&gt;&lt;pages&gt;400-410&lt;/pages&gt;&lt;volume&gt;96&lt;/volume&gt;&lt;number&gt;3&lt;/number&gt;&lt;section&gt;400&lt;/section&gt;&lt;dates&gt;&lt;year&gt;2019&lt;/year&gt;&lt;/dates&gt;&lt;isbn&gt;1099-3460&amp;#xD;1468-2869&lt;/isbn&gt;&lt;urls&gt;&lt;/urls&gt;&lt;electronic-resource-num&gt;10.1007/s11524-019-00353-5&lt;/electronic-resource-num&gt;&lt;/record&gt;&lt;/Cite&gt;&lt;/EndNote&gt;</w:instrText>
      </w:r>
      <w:r w:rsidRPr="00851667">
        <w:fldChar w:fldCharType="separate"/>
      </w:r>
      <w:r w:rsidR="00DD5638" w:rsidRPr="00851667">
        <w:t>[24]</w:t>
      </w:r>
      <w:r w:rsidRPr="00851667">
        <w:fldChar w:fldCharType="end"/>
      </w:r>
      <w:r w:rsidRPr="00851667">
        <w:t xml:space="preserve">, while </w:t>
      </w:r>
      <w:r w:rsidR="004E2EC1" w:rsidRPr="00851667">
        <w:t>also</w:t>
      </w:r>
      <w:r w:rsidRPr="00851667">
        <w:t xml:space="preserve"> being frequent products of untreated drug use disorders. Access to health care is a social determinant</w:t>
      </w:r>
      <w:r w:rsidR="004E2EC1" w:rsidRPr="00851667">
        <w:t xml:space="preserve"> and so</w:t>
      </w:r>
      <w:r w:rsidRPr="00851667">
        <w:t xml:space="preserve"> where mental health and services are stretched or expensive, children and young people in need of diagnosis or preventive care miss out.</w:t>
      </w:r>
    </w:p>
    <w:p w14:paraId="6BC0C106" w14:textId="3A11EBB9" w:rsidR="00EE6299" w:rsidRDefault="006403F1" w:rsidP="00851667">
      <w:pPr>
        <w:pStyle w:val="BodyText"/>
        <w:spacing w:before="100" w:beforeAutospacing="1" w:after="0"/>
      </w:pPr>
      <w:r>
        <w:rPr>
          <w:noProof/>
        </w:rPr>
        <w:drawing>
          <wp:anchor distT="107950" distB="107950" distL="114300" distR="114300" simplePos="0" relativeHeight="251966464" behindDoc="0" locked="0" layoutInCell="1" allowOverlap="1" wp14:anchorId="2692AB13" wp14:editId="54EC38D4">
            <wp:simplePos x="0" y="0"/>
            <wp:positionH relativeFrom="page">
              <wp:posOffset>818057</wp:posOffset>
            </wp:positionH>
            <wp:positionV relativeFrom="paragraph">
              <wp:posOffset>483072</wp:posOffset>
            </wp:positionV>
            <wp:extent cx="5289550" cy="1404620"/>
            <wp:effectExtent l="0" t="0" r="6350" b="5080"/>
            <wp:wrapTopAndBottom/>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ealth of Tasmanian prisoners 201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89550" cy="1404620"/>
                    </a:xfrm>
                    <a:prstGeom prst="rect">
                      <a:avLst/>
                    </a:prstGeom>
                  </pic:spPr>
                </pic:pic>
              </a:graphicData>
            </a:graphic>
            <wp14:sizeRelH relativeFrom="margin">
              <wp14:pctWidth>0</wp14:pctWidth>
            </wp14:sizeRelH>
            <wp14:sizeRelV relativeFrom="margin">
              <wp14:pctHeight>0</wp14:pctHeight>
            </wp14:sizeRelV>
          </wp:anchor>
        </w:drawing>
      </w:r>
      <w:r w:rsidR="00EE6299">
        <w:t xml:space="preserve">The following 2018 snapshot of life before and after prison in Tasmania shows how imprisonment leads from disadvantage to even greater disadvantage </w:t>
      </w:r>
      <w:r w:rsidR="00EE6299">
        <w:fldChar w:fldCharType="begin"/>
      </w:r>
      <w:r w:rsidR="00956746">
        <w:instrText xml:space="preserve"> ADDIN EN.CITE &lt;EndNote&gt;&lt;Cite&gt;&lt;Author&gt;Australian Institute of Health and Welfare (AIHW)&lt;/Author&gt;&lt;Year&gt;2018&lt;/Year&gt;&lt;RecNum&gt;142&lt;/RecNum&gt;&lt;DisplayText&gt;[40]&lt;/DisplayText&gt;&lt;record&gt;&lt;rec-number&gt;142&lt;/rec-number&gt;&lt;foreign-keys&gt;&lt;key app="EN" db-id="5fz2fzfzg2w2x4efdz3xprvlzezfdv2spstv" timestamp="1679015938"&gt;142&lt;/key&gt;&lt;/foreign-keys&gt;&lt;ref-type name="Generic"&gt;13&lt;/ref-type&gt;&lt;contributors&gt;&lt;authors&gt;&lt;author&gt;Australian Institute of Health and Welfare (AIHW),&lt;/author&gt;&lt;/authors&gt;&lt;/contributors&gt;&lt;titles&gt;&lt;title&gt;The health of Tasmania’s prisoners, 2018&lt;/title&gt;&lt;/titles&gt;&lt;dates&gt;&lt;year&gt;2018&lt;/year&gt;&lt;/dates&gt;&lt;pub-location&gt;Canberra, ACT&lt;/pub-location&gt;&lt;publisher&gt;Australian Institute of Health and Welfare (AIHW)&lt;/publisher&gt;&lt;urls&gt;&lt;/urls&gt;&lt;/record&gt;&lt;/Cite&gt;&lt;/EndNote&gt;</w:instrText>
      </w:r>
      <w:r w:rsidR="00EE6299">
        <w:fldChar w:fldCharType="separate"/>
      </w:r>
      <w:r w:rsidR="00956746">
        <w:rPr>
          <w:noProof/>
        </w:rPr>
        <w:t>[40]</w:t>
      </w:r>
      <w:r w:rsidR="00EE6299">
        <w:fldChar w:fldCharType="end"/>
      </w:r>
      <w:r w:rsidR="00EE6299">
        <w:t>:</w:t>
      </w:r>
    </w:p>
    <w:p w14:paraId="5CBA0375" w14:textId="016DCAE1" w:rsidR="0018570B" w:rsidRDefault="00C83033" w:rsidP="00956746">
      <w:pPr>
        <w:spacing w:before="0" w:after="100" w:afterAutospacing="1"/>
      </w:pPr>
      <w:r w:rsidRPr="00080523">
        <w:rPr>
          <w:b/>
        </w:rPr>
        <w:t xml:space="preserve">People with a range of mental health conditions are between two (social phobia) and more than five times as likely (ADHD or bi-polar disorder) to develop a drug use disorder </w:t>
      </w:r>
      <w:r w:rsidRPr="00080523">
        <w:rPr>
          <w:b/>
        </w:rPr>
        <w:fldChar w:fldCharType="begin"/>
      </w:r>
      <w:r w:rsidR="00956746">
        <w:rPr>
          <w:b/>
        </w:rPr>
        <w:instrText xml:space="preserve"> ADDIN EN.CITE &lt;EndNote&gt;&lt;Cite&gt;&lt;Author&gt;Swendsen&lt;/Author&gt;&lt;Year&gt;2010&lt;/Year&gt;&lt;RecNum&gt;32&lt;/RecNum&gt;&lt;DisplayText&gt;[41]&lt;/DisplayText&gt;&lt;record&gt;&lt;rec-number&gt;32&lt;/rec-number&gt;&lt;foreign-keys&gt;&lt;key app="EN" db-id="5fz2fzfzg2w2x4efdz3xprvlzezfdv2spstv" timestamp="1676610914"&gt;32&lt;/key&gt;&lt;/foreign-keys&gt;&lt;ref-type name="Journal Article"&gt;17&lt;/ref-type&gt;&lt;contributors&gt;&lt;authors&gt;&lt;author&gt;Swendsen, Joel&lt;/author&gt;&lt;author&gt;Conway, Kevin P. &lt;/author&gt;&lt;author&gt;Degenhardt, Louisa&lt;/author&gt;&lt;author&gt;Glantz, Meyer&lt;/author&gt;&lt;author&gt;Jin, Robert&lt;/author&gt;&lt;author&gt;Merikangas, Kathleen R.&lt;/author&gt;&lt;author&gt;Sampson, Nancy&lt;/author&gt;&lt;author&gt;Kessler, Ronald C.&lt;/author&gt;&lt;/authors&gt;&lt;/contributors&gt;&lt;titles&gt;&lt;title&gt;Mental disorders as risk factors for substance use, abuse and dependence: Results from the 10-year follow-up of the National Comorbidity Survey&lt;/title&gt;&lt;secondary-title&gt;Addiction&lt;/secondary-title&gt;&lt;/titles&gt;&lt;periodical&gt;&lt;full-title&gt;Addiction&lt;/full-title&gt;&lt;/periodical&gt;&lt;pages&gt;1117-1128&lt;/pages&gt;&lt;volume&gt;105&lt;/volume&gt;&lt;dates&gt;&lt;year&gt;2010&lt;/year&gt;&lt;/dates&gt;&lt;urls&gt;&lt;/urls&gt;&lt;electronic-resource-num&gt;10.1111/j.1360-0443.2010.02902.x&lt;/electronic-resource-num&gt;&lt;/record&gt;&lt;/Cite&gt;&lt;/EndNote&gt;</w:instrText>
      </w:r>
      <w:r w:rsidRPr="00080523">
        <w:rPr>
          <w:b/>
        </w:rPr>
        <w:fldChar w:fldCharType="separate"/>
      </w:r>
      <w:r w:rsidR="00956746">
        <w:rPr>
          <w:b/>
          <w:noProof/>
        </w:rPr>
        <w:t>[41]</w:t>
      </w:r>
      <w:r w:rsidRPr="00080523">
        <w:rPr>
          <w:b/>
        </w:rPr>
        <w:fldChar w:fldCharType="end"/>
      </w:r>
      <w:r w:rsidRPr="00080523">
        <w:rPr>
          <w:b/>
        </w:rPr>
        <w:t>.</w:t>
      </w:r>
    </w:p>
    <w:p w14:paraId="67237824" w14:textId="5962CC25" w:rsidR="00B542F0" w:rsidRDefault="00410432" w:rsidP="00956746">
      <w:pPr>
        <w:pStyle w:val="BodyText"/>
        <w:spacing w:before="100" w:beforeAutospacing="1" w:after="100" w:afterAutospacing="1"/>
      </w:pPr>
      <w:r w:rsidRPr="00C867F8">
        <w:rPr>
          <w:rFonts w:ascii="AvenirNext LT Pro Regular" w:hAnsi="AvenirNext LT Pro Regular"/>
          <w:noProof/>
        </w:rPr>
        <mc:AlternateContent>
          <mc:Choice Requires="wps">
            <w:drawing>
              <wp:anchor distT="0" distB="0" distL="114300" distR="114300" simplePos="0" relativeHeight="251907072" behindDoc="1" locked="0" layoutInCell="1" allowOverlap="1" wp14:anchorId="7AD3B72D" wp14:editId="0CD073B0">
                <wp:simplePos x="0" y="0"/>
                <wp:positionH relativeFrom="page">
                  <wp:align>right</wp:align>
                </wp:positionH>
                <wp:positionV relativeFrom="paragraph">
                  <wp:posOffset>838835</wp:posOffset>
                </wp:positionV>
                <wp:extent cx="7553325" cy="4629150"/>
                <wp:effectExtent l="0" t="0" r="9525" b="0"/>
                <wp:wrapNone/>
                <wp:docPr id="68" name="Rectangle 68"/>
                <wp:cNvGraphicFramePr/>
                <a:graphic xmlns:a="http://schemas.openxmlformats.org/drawingml/2006/main">
                  <a:graphicData uri="http://schemas.microsoft.com/office/word/2010/wordprocessingShape">
                    <wps:wsp>
                      <wps:cNvSpPr/>
                      <wps:spPr>
                        <a:xfrm>
                          <a:off x="0" y="0"/>
                          <a:ext cx="7553325" cy="4629150"/>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24886" id="Rectangle 68" o:spid="_x0000_s1026" style="position:absolute;margin-left:543.55pt;margin-top:66.05pt;width:594.75pt;height:364.5pt;z-index:-251409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" fillcolor="#e6e3d9" stroked="f" strokeweight="2pt">
                <w10:wrap anchorx="page"/>
              </v:rect>
            </w:pict>
          </mc:Fallback>
        </mc:AlternateContent>
      </w:r>
      <w:r w:rsidRPr="00C867F8">
        <w:rPr>
          <w:noProof/>
        </w:rPr>
        <mc:AlternateContent>
          <mc:Choice Requires="wps">
            <w:drawing>
              <wp:anchor distT="0" distB="0" distL="114300" distR="114300" simplePos="0" relativeHeight="251961344" behindDoc="0" locked="0" layoutInCell="1" allowOverlap="1" wp14:anchorId="68FE62E1" wp14:editId="339875F2">
                <wp:simplePos x="0" y="0"/>
                <wp:positionH relativeFrom="margin">
                  <wp:posOffset>-29845</wp:posOffset>
                </wp:positionH>
                <wp:positionV relativeFrom="paragraph">
                  <wp:posOffset>911860</wp:posOffset>
                </wp:positionV>
                <wp:extent cx="6240780" cy="3790950"/>
                <wp:effectExtent l="0" t="0" r="7620" b="0"/>
                <wp:wrapTopAndBottom/>
                <wp:docPr id="6" name="docshape3" descr="Case study&#10;Toby&#10;“If you can get into CAMHS. If they’ll accept you … Child Adolescent Mental Health Service. If you can get in, you can get a counsellor. But they don’t have to accept you. So, you’ve got to go to your GP to get a referral to a paediatrician who’ll refer you to a counsellor, who’ll refer to a service. &#10;And in the meantime, you have a child that has anxiety, depression, expresses the desire to commit suicide, expresses a desire to harm others, gets violent, has explosive uncontrollable rage, and … you’ve got to deal with all of that and social issues and the schooling issues and the mental downturn of that child because they feel worthless. And you’ve got this whole process that you’ve got go through. And in the meantime, it’s just getting worse. And the process takes as long as it takes. &#10;It’s time, expense, and process of referral to a referral to a referral, that each process takes as long as it takes. It could be months for each process to be done. And in the meantime, the school outcomes are—‘I’m so far behind and I’m not worth anything because I can’t read as well as my younger two siblings can read. And I’ve got this older brother that’s got—you know, is off the charts brainy-wise and I just feel so worthless. So, I’ll just break something, pull something apart—. ‘&#10;And at the end of the day, you end up with someone, not to put too fine a point on it, like my child. Drug addicted. Disenfranchised. Disassociated from family. Only associates with other drug user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240780" cy="379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EAFC4" w14:textId="11E4442D" w:rsidR="005A3B94" w:rsidRPr="00E2390E" w:rsidRDefault="005A3B94" w:rsidP="00956746">
                            <w:pPr>
                              <w:rPr>
                                <w:b/>
                                <w:bCs/>
                              </w:rPr>
                            </w:pPr>
                            <w:r w:rsidRPr="00E2390E">
                              <w:rPr>
                                <w:b/>
                                <w:bCs/>
                              </w:rPr>
                              <w:t>Toby</w:t>
                            </w:r>
                          </w:p>
                          <w:p w14:paraId="73A9963E" w14:textId="77777777" w:rsidR="005A3B94" w:rsidRPr="006C09B8" w:rsidRDefault="005A3B94" w:rsidP="00956746">
                            <w:pPr>
                              <w:pStyle w:val="BodyText"/>
                            </w:pPr>
                            <w:r>
                              <w:t>“</w:t>
                            </w:r>
                            <w:r w:rsidRPr="006C09B8">
                              <w:t>If you can get into CAMHS. If they’ll accept you … Child Adolescent Mental Health Service. If you can get in, you can get a counsellor. But they don’t have to accept you. So</w:t>
                            </w:r>
                            <w:r>
                              <w:t>,</w:t>
                            </w:r>
                            <w:r w:rsidRPr="006C09B8">
                              <w:t xml:space="preserve"> you’ve got to go to your GP to get a referral to a paediatrician who’ll refer you to a counsellor, who’ll refer to a service. </w:t>
                            </w:r>
                          </w:p>
                          <w:p w14:paraId="4BF5B086" w14:textId="77777777" w:rsidR="005A3B94" w:rsidRPr="006C09B8" w:rsidRDefault="005A3B94" w:rsidP="00956746">
                            <w:pPr>
                              <w:pStyle w:val="BodyText"/>
                            </w:pPr>
                            <w:r w:rsidRPr="006C09B8">
                              <w:t xml:space="preserve">And in the meantime, you have a child that has anxiety, depression, expresses the desire to commit suicide, expresses a desire to harm others, gets violent, has explosive uncontrollable rage, and </w:t>
                            </w:r>
                            <w:r>
                              <w:t>…</w:t>
                            </w:r>
                            <w:r w:rsidRPr="006C09B8">
                              <w:t xml:space="preserve"> you’ve got to deal with all of that and social issues and the schooling issues and the mental downturn of that child because they feel worthless. And you’ve got this whole process that you’ve got go through. And in the meantime</w:t>
                            </w:r>
                            <w:r>
                              <w:t>,</w:t>
                            </w:r>
                            <w:r w:rsidRPr="006C09B8">
                              <w:t xml:space="preserve"> it’s just getting worse. And the process takes as long as it takes. </w:t>
                            </w:r>
                          </w:p>
                          <w:p w14:paraId="2B81E304" w14:textId="44D12312" w:rsidR="005A3B94" w:rsidRPr="006C09B8" w:rsidRDefault="005A3B94" w:rsidP="00956746">
                            <w:pPr>
                              <w:pStyle w:val="BodyText"/>
                            </w:pPr>
                            <w:r w:rsidRPr="006C09B8">
                              <w:t>It’s time, expense, and process of referral to a referral to a referral, that each process takes as long as it takes. It could be months for each process to be done. And in the meantime</w:t>
                            </w:r>
                            <w:r>
                              <w:t>,</w:t>
                            </w:r>
                            <w:r w:rsidRPr="006C09B8">
                              <w:t xml:space="preserve"> the school outcomes are</w:t>
                            </w:r>
                            <w:proofErr w:type="gramStart"/>
                            <w:r w:rsidRPr="006C09B8">
                              <w:t>—‘</w:t>
                            </w:r>
                            <w:proofErr w:type="gramEnd"/>
                            <w:r w:rsidRPr="006C09B8">
                              <w:t>I’m so far behind and I’m not worth anything because I can’t read as well as my younger two siblings can read. And I’ve got this older brother that’s got—you know, is off the charts brainy-wise and I just feel so worthless. So</w:t>
                            </w:r>
                            <w:r>
                              <w:t>,</w:t>
                            </w:r>
                            <w:r w:rsidRPr="006C09B8">
                              <w:t xml:space="preserve"> I’ll just break something, pull something apart</w:t>
                            </w:r>
                            <w:proofErr w:type="gramStart"/>
                            <w:r>
                              <w:t>—‘</w:t>
                            </w:r>
                            <w:proofErr w:type="gramEnd"/>
                            <w:r>
                              <w:t>.</w:t>
                            </w:r>
                          </w:p>
                          <w:p w14:paraId="30EEDE3B" w14:textId="001EF068" w:rsidR="005A3B94" w:rsidRDefault="005A3B94" w:rsidP="00956746">
                            <w:pPr>
                              <w:pStyle w:val="BodyText"/>
                            </w:pPr>
                            <w:r w:rsidRPr="006C09B8">
                              <w:t xml:space="preserve">And at the end of the day, you end up with someone, not to put too fine a point on it, like my child. Drug addicted. Disenfranchised. Disassociated from family. Only associates with other drug users. Unemployed. Unemployable. Violent. Uncontrollable rage. And then it just goes from there.” </w:t>
                            </w:r>
                            <w:r>
                              <w:fldChar w:fldCharType="begin"/>
                            </w:r>
                            <w:r>
                              <w:instrText xml:space="preserve"> ADDIN EN.CITE &lt;EndNote&gt;&lt;Cite&gt;&lt;Author&gt;Banks&lt;/Author&gt;&lt;Year&gt;2020&lt;/Year&gt;&lt;RecNum&gt;155&lt;/RecNum&gt;&lt;Pages&gt;42&lt;/Pages&gt;&lt;DisplayText&gt;[1]&lt;/DisplayText&gt;&lt;record&gt;&lt;rec-number&gt;155&lt;/rec-number&gt;&lt;foreign-keys&gt;&lt;key app="EN" db-id="5fz2fzfzg2w2x4efdz3xprvlzezfdv2spstv" timestamp="1679523371"&gt;155&lt;/key&gt;&lt;/foreign-keys&gt;&lt;ref-type name="Book"&gt;6&lt;/ref-type&gt;&lt;contributors&gt;&lt;authors&gt;&lt;author&gt;Banks, Susan&lt;/author&gt;&lt;author&gt;Krabbe, Robin&lt;/author&gt;&lt;author&gt;Vendenberg, Miriam&lt;/author&gt;&lt;author&gt;Murray, Thérèse&lt;/author&gt;&lt;/authors&gt;&lt;/contributors&gt;&lt;titles&gt;&lt;title&gt;Building on local strengths: Launceston&amp;apos;s Northern Suburbs. Full report from the Anticipatory Care Action Learning Project&lt;/title&gt;&lt;/titles&gt;&lt;dates&gt;&lt;year&gt;2020&lt;/year&gt;&lt;/dates&gt;&lt;pub-location&gt;Hobart, TAS&lt;/pub-location&gt;&lt;publisher&gt;University of Tasmania&lt;/publisher&gt;&lt;urls&gt;&lt;/urls&gt;&lt;/record&gt;&lt;/Cite&gt;&lt;/EndNote&gt;</w:instrText>
                            </w:r>
                            <w:r>
                              <w:fldChar w:fldCharType="separate"/>
                            </w:r>
                            <w:r>
                              <w:rPr>
                                <w:noProof/>
                              </w:rPr>
                              <w:t>[1]</w:t>
                            </w:r>
                            <w:r>
                              <w:fldChar w:fldCharType="end"/>
                            </w:r>
                          </w:p>
                          <w:p w14:paraId="6CF02AC3" w14:textId="77777777" w:rsidR="005A3B94" w:rsidRPr="006F73D8" w:rsidRDefault="005A3B94" w:rsidP="00956746">
                            <w:pPr>
                              <w:pStyle w:val="TableParagraph"/>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E62E1" id="_x0000_s1031" type="#_x0000_t202" alt="Case study&#10;Toby&#10;“If you can get into CAMHS. If they’ll accept you … Child Adolescent Mental Health Service. If you can get in, you can get a counsellor. But they don’t have to accept you. So, you’ve got to go to your GP to get a referral to a paediatrician who’ll refer you to a counsellor, who’ll refer to a service. &#10;And in the meantime, you have a child that has anxiety, depression, expresses the desire to commit suicide, expresses a desire to harm others, gets violent, has explosive uncontrollable rage, and … you’ve got to deal with all of that and social issues and the schooling issues and the mental downturn of that child because they feel worthless. And you’ve got this whole process that you’ve got go through. And in the meantime, it’s just getting worse. And the process takes as long as it takes. &#10;It’s time, expense, and process of referral to a referral to a referral, that each process takes as long as it takes. It could be months for each process to be done. And in the meantime, the school outcomes are—‘I’m so far behind and I’m not worth anything because I can’t read as well as my younger two siblings can read. And I’ve got this older brother that’s got—you know, is off the charts brainy-wise and I just feel so worthless. So, I’ll just break something, pull something apart—. ‘&#10;And at the end of the day, you end up with someone, not to put too fine a point on it, like my child. Drug addicted. Disenfranchised. Disassociated from family. Only associates with other drug users. " style="position:absolute;margin-left:-2.35pt;margin-top:71.8pt;width:491.4pt;height:298.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" filled="f" stroked="f">
                <o:lock v:ext="edit" aspectratio="t" verticies="t" text="t" shapetype="t"/>
                <v:textbox inset="0,0,0,0">
                  <w:txbxContent>
                    <w:p w14:paraId="06FEAFC4" w14:textId="11E4442D" w:rsidR="005A3B94" w:rsidRPr="00E2390E" w:rsidRDefault="005A3B94" w:rsidP="00956746">
                      <w:pPr>
                        <w:rPr>
                          <w:b/>
                          <w:bCs/>
                        </w:rPr>
                      </w:pPr>
                      <w:r w:rsidRPr="00E2390E">
                        <w:rPr>
                          <w:b/>
                          <w:bCs/>
                        </w:rPr>
                        <w:t>Toby</w:t>
                      </w:r>
                    </w:p>
                    <w:p w14:paraId="73A9963E" w14:textId="77777777" w:rsidR="005A3B94" w:rsidRPr="006C09B8" w:rsidRDefault="005A3B94" w:rsidP="00956746">
                      <w:pPr>
                        <w:pStyle w:val="BodyText"/>
                      </w:pPr>
                      <w:r>
                        <w:t>“</w:t>
                      </w:r>
                      <w:r w:rsidRPr="006C09B8">
                        <w:t>If you can get into CAMHS. If they’ll accept you … Child Adolescent Mental Health Service. If you can get in, you can get a counsellor. But they don’t have to accept you. So</w:t>
                      </w:r>
                      <w:r>
                        <w:t>,</w:t>
                      </w:r>
                      <w:r w:rsidRPr="006C09B8">
                        <w:t xml:space="preserve"> you’ve got to go to your GP to get a referral to a paediatrician who’ll refer you to a counsellor, who’ll refer to a service. </w:t>
                      </w:r>
                    </w:p>
                    <w:p w14:paraId="4BF5B086" w14:textId="77777777" w:rsidR="005A3B94" w:rsidRPr="006C09B8" w:rsidRDefault="005A3B94" w:rsidP="00956746">
                      <w:pPr>
                        <w:pStyle w:val="BodyText"/>
                      </w:pPr>
                      <w:r w:rsidRPr="006C09B8">
                        <w:t xml:space="preserve">And in the meantime, you have a child that has anxiety, depression, expresses the desire to commit suicide, expresses a desire to harm others, gets violent, has explosive uncontrollable rage, and </w:t>
                      </w:r>
                      <w:r>
                        <w:t>…</w:t>
                      </w:r>
                      <w:r w:rsidRPr="006C09B8">
                        <w:t xml:space="preserve"> you’ve got to deal with all of that and social issues and the schooling issues and the mental downturn of that child because they feel worthless. And you’ve got this whole process that you’ve got go through. And in the meantime</w:t>
                      </w:r>
                      <w:r>
                        <w:t>,</w:t>
                      </w:r>
                      <w:r w:rsidRPr="006C09B8">
                        <w:t xml:space="preserve"> it’s just getting worse. And the process takes as long as it takes. </w:t>
                      </w:r>
                    </w:p>
                    <w:p w14:paraId="2B81E304" w14:textId="44D12312" w:rsidR="005A3B94" w:rsidRPr="006C09B8" w:rsidRDefault="005A3B94" w:rsidP="00956746">
                      <w:pPr>
                        <w:pStyle w:val="BodyText"/>
                      </w:pPr>
                      <w:r w:rsidRPr="006C09B8">
                        <w:t>It’s time, expense, and process of referral to a referral to a referral, that each process takes as long as it takes. It could be months for each process to be done. And in the meantime</w:t>
                      </w:r>
                      <w:r>
                        <w:t>,</w:t>
                      </w:r>
                      <w:r w:rsidRPr="006C09B8">
                        <w:t xml:space="preserve"> the school outcomes are</w:t>
                      </w:r>
                      <w:proofErr w:type="gramStart"/>
                      <w:r w:rsidRPr="006C09B8">
                        <w:t>—‘</w:t>
                      </w:r>
                      <w:proofErr w:type="gramEnd"/>
                      <w:r w:rsidRPr="006C09B8">
                        <w:t>I’m so far behind and I’m not worth anything because I can’t read as well as my younger two siblings can read. And I’ve got this older brother that’s got—you know, is off the charts brainy-wise and I just feel so worthless. So</w:t>
                      </w:r>
                      <w:r>
                        <w:t>,</w:t>
                      </w:r>
                      <w:r w:rsidRPr="006C09B8">
                        <w:t xml:space="preserve"> I’ll just break something, pull something apart</w:t>
                      </w:r>
                      <w:proofErr w:type="gramStart"/>
                      <w:r>
                        <w:t>—‘</w:t>
                      </w:r>
                      <w:proofErr w:type="gramEnd"/>
                      <w:r>
                        <w:t>.</w:t>
                      </w:r>
                    </w:p>
                    <w:p w14:paraId="30EEDE3B" w14:textId="001EF068" w:rsidR="005A3B94" w:rsidRDefault="005A3B94" w:rsidP="00956746">
                      <w:pPr>
                        <w:pStyle w:val="BodyText"/>
                      </w:pPr>
                      <w:r w:rsidRPr="006C09B8">
                        <w:t xml:space="preserve">And at the end of the day, you end up with someone, not to put too fine a point on it, like my child. Drug addicted. Disenfranchised. Disassociated from family. Only associates with other drug users. Unemployed. Unemployable. Violent. Uncontrollable rage. And then it just goes from there.” </w:t>
                      </w:r>
                      <w:r>
                        <w:fldChar w:fldCharType="begin"/>
                      </w:r>
                      <w:r>
                        <w:instrText xml:space="preserve"> ADDIN EN.CITE &lt;EndNote&gt;&lt;Cite&gt;&lt;Author&gt;Banks&lt;/Author&gt;&lt;Year&gt;2020&lt;/Year&gt;&lt;RecNum&gt;155&lt;/RecNum&gt;&lt;Pages&gt;42&lt;/Pages&gt;&lt;DisplayText&gt;[1]&lt;/DisplayText&gt;&lt;record&gt;&lt;rec-number&gt;155&lt;/rec-number&gt;&lt;foreign-keys&gt;&lt;key app="EN" db-id="5fz2fzfzg2w2x4efdz3xprvlzezfdv2spstv" timestamp="1679523371"&gt;155&lt;/key&gt;&lt;/foreign-keys&gt;&lt;ref-type name="Book"&gt;6&lt;/ref-type&gt;&lt;contributors&gt;&lt;authors&gt;&lt;author&gt;Banks, Susan&lt;/author&gt;&lt;author&gt;Krabbe, Robin&lt;/author&gt;&lt;author&gt;Vendenberg, Miriam&lt;/author&gt;&lt;author&gt;Murray, Thérèse&lt;/author&gt;&lt;/authors&gt;&lt;/contributors&gt;&lt;titles&gt;&lt;title&gt;Building on local strengths: Launceston&amp;apos;s Northern Suburbs. Full report from the Anticipatory Care Action Learning Project&lt;/title&gt;&lt;/titles&gt;&lt;dates&gt;&lt;year&gt;2020&lt;/year&gt;&lt;/dates&gt;&lt;pub-location&gt;Hobart, TAS&lt;/pub-location&gt;&lt;publisher&gt;University of Tasmania&lt;/publisher&gt;&lt;urls&gt;&lt;/urls&gt;&lt;/record&gt;&lt;/Cite&gt;&lt;/EndNote&gt;</w:instrText>
                      </w:r>
                      <w:r>
                        <w:fldChar w:fldCharType="separate"/>
                      </w:r>
                      <w:r>
                        <w:rPr>
                          <w:noProof/>
                        </w:rPr>
                        <w:t>[1]</w:t>
                      </w:r>
                      <w:r>
                        <w:fldChar w:fldCharType="end"/>
                      </w:r>
                    </w:p>
                    <w:p w14:paraId="6CF02AC3" w14:textId="77777777" w:rsidR="005A3B94" w:rsidRPr="006F73D8" w:rsidRDefault="005A3B94" w:rsidP="00956746">
                      <w:pPr>
                        <w:pStyle w:val="TableParagraph"/>
                      </w:pPr>
                    </w:p>
                  </w:txbxContent>
                </v:textbox>
                <w10:wrap type="topAndBottom" anchorx="margin"/>
              </v:shape>
            </w:pict>
          </mc:Fallback>
        </mc:AlternateContent>
      </w:r>
      <w:r w:rsidR="00924AF1">
        <w:t xml:space="preserve">Problematic drug use, then, is a risk </w:t>
      </w:r>
      <w:r w:rsidR="00924AF1" w:rsidRPr="003E0CD5">
        <w:rPr>
          <w:i/>
        </w:rPr>
        <w:t>marker</w:t>
      </w:r>
      <w:r w:rsidR="00924AF1">
        <w:rPr>
          <w:i/>
        </w:rPr>
        <w:t xml:space="preserve"> </w:t>
      </w:r>
      <w:r w:rsidR="00924AF1" w:rsidRPr="00450AE1">
        <w:fldChar w:fldCharType="begin"/>
      </w:r>
      <w:r w:rsidR="00956746">
        <w:instrText xml:space="preserve"> ADDIN EN.CITE &lt;EndNote&gt;&lt;Cite&gt;&lt;Author&gt;Schempf&lt;/Author&gt;&lt;Year&gt;2008&lt;/Year&gt;&lt;RecNum&gt;63&lt;/RecNum&gt;&lt;DisplayText&gt;[42]&lt;/DisplayText&gt;&lt;record&gt;&lt;rec-number&gt;63&lt;/rec-number&gt;&lt;foreign-keys&gt;&lt;key app="EN" db-id="5fz2fzfzg2w2x4efdz3xprvlzezfdv2spstv" timestamp="1678166979"&gt;63&lt;/key&gt;&lt;/foreign-keys&gt;&lt;ref-type name="Journal Article"&gt;17&lt;/ref-type&gt;&lt;contributors&gt;&lt;authors&gt;&lt;author&gt;Schempf, Ashley H.&lt;/author&gt;&lt;author&gt;Strobino, Donna M.&lt;/author&gt;&lt;/authors&gt;&lt;/contributors&gt;&lt;titles&gt;&lt;title&gt;Illicit drug use and adverse birth outcomes: Is it drugs or context?&lt;/title&gt;&lt;secondary-title&gt;Journal of Urban Health&lt;/secondary-title&gt;&lt;/titles&gt;&lt;periodical&gt;&lt;full-title&gt;Journal of Urban Health&lt;/full-title&gt;&lt;/periodical&gt;&lt;pages&gt;858-873&lt;/pages&gt;&lt;volume&gt;85&lt;/volume&gt;&lt;number&gt;6&lt;/number&gt;&lt;dates&gt;&lt;year&gt;2008&lt;/year&gt;&lt;pub-dates&gt;&lt;date&gt;2008/11/01&lt;/date&gt;&lt;/pub-dates&gt;&lt;/dates&gt;&lt;isbn&gt;1468-2869&lt;/isbn&gt;&lt;urls&gt;&lt;related-urls&gt;&lt;url&gt;https://doi.org/10.1007/s11524-008-9315-6&lt;/url&gt;&lt;/related-urls&gt;&lt;/urls&gt;&lt;electronic-resource-num&gt;10.1007/s11524-008-9315-6&lt;/electronic-resource-num&gt;&lt;/record&gt;&lt;/Cite&gt;&lt;/EndNote&gt;</w:instrText>
      </w:r>
      <w:r w:rsidR="00924AF1" w:rsidRPr="00450AE1">
        <w:fldChar w:fldCharType="separate"/>
      </w:r>
      <w:r w:rsidR="00956746">
        <w:rPr>
          <w:noProof/>
        </w:rPr>
        <w:t>[42]</w:t>
      </w:r>
      <w:r w:rsidR="00924AF1" w:rsidRPr="00450AE1">
        <w:fldChar w:fldCharType="end"/>
      </w:r>
      <w:r w:rsidR="00D44F6F">
        <w:t>. It</w:t>
      </w:r>
      <w:r w:rsidR="00924AF1">
        <w:t xml:space="preserve"> indicates, and may be a response to, the presence of upstream problems </w:t>
      </w:r>
      <w:r w:rsidR="00D44F6F">
        <w:fldChar w:fldCharType="begin"/>
      </w:r>
      <w:r w:rsidR="00956746">
        <w:instrText xml:space="preserve"> ADDIN EN.CITE &lt;EndNote&gt;&lt;Cite&gt;&lt;Author&gt;Caruso&lt;/Author&gt;&lt;Year&gt;2017&lt;/Year&gt;&lt;RecNum&gt;166&lt;/RecNum&gt;&lt;DisplayText&gt;[43]&lt;/DisplayText&gt;&lt;record&gt;&lt;rec-number&gt;166&lt;/rec-number&gt;&lt;foreign-keys&gt;&lt;key app="EN" db-id="5fz2fzfzg2w2x4efdz3xprvlzezfdv2spstv" timestamp="1679542747"&gt;166&lt;/key&gt;&lt;/foreign-keys&gt;&lt;ref-type name="Book"&gt;6&lt;/ref-type&gt;&lt;contributors&gt;&lt;authors&gt;&lt;author&gt;Caruso, Gregg D.&lt;/author&gt;&lt;/authors&gt;&lt;/contributors&gt;&lt;titles&gt;&lt;title&gt;Public Health and Safety: The Social Determinants of Health and Criminal Behavior&lt;/title&gt;&lt;/titles&gt;&lt;dates&gt;&lt;year&gt;2017&lt;/year&gt;&lt;/dates&gt;&lt;pub-location&gt;UK&lt;/pub-location&gt;&lt;publisher&gt;ResesarchersLinks Books&lt;/publisher&gt;&lt;urls&gt;&lt;/urls&gt;&lt;/record&gt;&lt;/Cite&gt;&lt;/EndNote&gt;</w:instrText>
      </w:r>
      <w:r w:rsidR="00D44F6F">
        <w:fldChar w:fldCharType="separate"/>
      </w:r>
      <w:r w:rsidR="00956746">
        <w:rPr>
          <w:noProof/>
        </w:rPr>
        <w:t>[43]</w:t>
      </w:r>
      <w:r w:rsidR="00D44F6F">
        <w:fldChar w:fldCharType="end"/>
      </w:r>
      <w:r w:rsidR="00924AF1">
        <w:t xml:space="preserve">. Criminalisation unjustly affects those already living with some forms of disadvantage </w:t>
      </w:r>
      <w:r w:rsidR="00924AF1">
        <w:fldChar w:fldCharType="begin"/>
      </w:r>
      <w:r w:rsidR="00DD5638">
        <w:instrText xml:space="preserve"> ADDIN EN.CITE &lt;EndNote&gt;&lt;Cite ExcludeAuth="1"&gt;&lt;Author&gt;Justice Reform Initiative&lt;/Author&gt;&lt;Year&gt;2021&lt;/Year&gt;&lt;RecNum&gt;44&lt;/RecNum&gt;&lt;DisplayText&gt;[21]&lt;/DisplayText&gt;&lt;record&gt;&lt;rec-number&gt;44&lt;/rec-number&gt;&lt;foreign-keys&gt;&lt;key app="EN" db-id="5fz2fzfzg2w2x4efdz3xprvlzezfdv2spstv" timestamp="1678057407"&gt;44&lt;/key&gt;&lt;/foreign-keys&gt;&lt;ref-type name="Report"&gt;27&lt;/ref-type&gt;&lt;contributors&gt;&lt;authors&gt;&lt;author&gt;Justice Reform Initiative,&lt;/author&gt;&lt;/authors&gt;&lt;/contributors&gt;&lt;titles&gt;&lt;title&gt;Jailing is Failing. State of Incarceration: Tasmania&amp;apos;s broken criminal justice system&lt;/title&gt;&lt;/titles&gt;&lt;dates&gt;&lt;year&gt;2021&lt;/year&gt;&lt;/dates&gt;&lt;pub-location&gt;Hobart, TAS&lt;/pub-location&gt;&lt;publisher&gt;Justice Reform Initiative&lt;/publisher&gt;&lt;urls&gt;&lt;/urls&gt;&lt;/record&gt;&lt;/Cite&gt;&lt;/EndNote&gt;</w:instrText>
      </w:r>
      <w:r w:rsidR="00924AF1">
        <w:fldChar w:fldCharType="separate"/>
      </w:r>
      <w:r w:rsidR="00DD5638">
        <w:rPr>
          <w:noProof/>
        </w:rPr>
        <w:t>[21]</w:t>
      </w:r>
      <w:r w:rsidR="00924AF1">
        <w:fldChar w:fldCharType="end"/>
      </w:r>
      <w:r w:rsidR="00924AF1">
        <w:t xml:space="preserve">. Criminalisation of drug possession and use exacerbates existing disadvantage and creates additional trauma. </w:t>
      </w:r>
    </w:p>
    <w:p w14:paraId="56C4F8B5" w14:textId="0801CF95" w:rsidR="0022595A" w:rsidRDefault="0022595A" w:rsidP="007E536B">
      <w:pPr>
        <w:pStyle w:val="Heading3"/>
      </w:pPr>
      <w:bookmarkStart w:id="13" w:name="_Toc136851457"/>
      <w:r>
        <w:t xml:space="preserve">The ripples from a criminal conviction </w:t>
      </w:r>
      <w:r w:rsidR="004A2F8B">
        <w:t xml:space="preserve">and inequitable penalties </w:t>
      </w:r>
      <w:r>
        <w:t>spread widely</w:t>
      </w:r>
      <w:bookmarkEnd w:id="13"/>
    </w:p>
    <w:p w14:paraId="5D862CB7" w14:textId="3FAE102A" w:rsidR="00BA4D9B" w:rsidRDefault="00166B3C" w:rsidP="006403F1">
      <w:pPr>
        <w:pStyle w:val="BodyText"/>
        <w:spacing w:before="100" w:beforeAutospacing="1" w:after="100" w:afterAutospacing="1"/>
      </w:pPr>
      <w:r>
        <w:t xml:space="preserve">A criminal conviction can mean incarceration, </w:t>
      </w:r>
      <w:r w:rsidR="002A594E">
        <w:t xml:space="preserve">the involvement of Child Safety, </w:t>
      </w:r>
      <w:r>
        <w:t xml:space="preserve">significantly reduced employment opportunities and the loss of secure housing. </w:t>
      </w:r>
    </w:p>
    <w:p w14:paraId="04D650E1" w14:textId="3E3E9583" w:rsidR="007F666E" w:rsidRDefault="00691AAF" w:rsidP="006403F1">
      <w:pPr>
        <w:pStyle w:val="BodyText"/>
        <w:spacing w:before="100" w:beforeAutospacing="1" w:after="100" w:afterAutospacing="1"/>
      </w:pPr>
      <w:r>
        <w:t xml:space="preserve">Even the apparently mild sentence of a fine can result in a cascade of difficulties. In Tasmania, </w:t>
      </w:r>
      <w:r w:rsidR="009A30C1">
        <w:t>about half of all drug offenders are fined</w:t>
      </w:r>
      <w:r w:rsidR="0022595A">
        <w:t>, with the maximum penalty being</w:t>
      </w:r>
      <w:r>
        <w:t xml:space="preserve"> $7050</w:t>
      </w:r>
      <w:r w:rsidR="0022595A">
        <w:t xml:space="preserve">; at present, the median amount is $500 </w:t>
      </w:r>
      <w:r w:rsidR="0022595A">
        <w:rPr>
          <w:noProof/>
        </w:rPr>
        <w:fldChar w:fldCharType="begin"/>
      </w:r>
      <w:r w:rsidR="00956746">
        <w:rPr>
          <w:noProof/>
        </w:rPr>
        <w:instrText xml:space="preserve"> ADDIN EN.CITE &lt;EndNote&gt;&lt;Cite&gt;&lt;Author&gt;Australian Bureau of Statistics&lt;/Author&gt;&lt;Year&gt;2023&lt;/Year&gt;&lt;RecNum&gt;55&lt;/RecNum&gt;&lt;DisplayText&gt;[27]&lt;/DisplayText&gt;&lt;record&gt;&lt;rec-number&gt;55&lt;/rec-number&gt;&lt;foreign-keys&gt;&lt;key app="EN" db-id="5fz2fzfzg2w2x4efdz3xprvlzezfdv2spstv" timestamp="1678068006"&gt;55&lt;/key&gt;&lt;/foreign-keys&gt;&lt;ref-type name="Electronic Article"&gt;43&lt;/ref-type&gt;&lt;contributors&gt;&lt;authors&gt;&lt;author&gt;Australian Bureau of Statistics,&lt;/author&gt;&lt;/authors&gt;&lt;/contributors&gt;&lt;titles&gt;&lt;title&gt;Criminal courts, Australia&lt;/title&gt;&lt;tertiary-title&gt;abs.gov.au&lt;/tertiary-title&gt;&lt;/titles&gt;&lt;section&gt;3 March 2023&lt;/section&gt;&lt;dates&gt;&lt;year&gt;2023&lt;/year&gt;&lt;pub-dates&gt;&lt;date&gt;6 March 2023&lt;/date&gt;&lt;/pub-dates&gt;&lt;/dates&gt;&lt;pub-location&gt;Canberra, ACT&lt;/pub-location&gt;&lt;publisher&gt;Australian Bureau of Statistics&lt;/publisher&gt;&lt;urls&gt;&lt;related-urls&gt;&lt;url&gt;https://www.abs.gov.au/statistics/people/crime-and-justice/criminal-courts-australia/latest-release&lt;/url&gt;&lt;/related-urls&gt;&lt;/urls&gt;&lt;/record&gt;&lt;/Cite&gt;&lt;/EndNote&gt;</w:instrText>
      </w:r>
      <w:r w:rsidR="0022595A">
        <w:rPr>
          <w:noProof/>
        </w:rPr>
        <w:fldChar w:fldCharType="separate"/>
      </w:r>
      <w:r w:rsidR="00956746">
        <w:rPr>
          <w:noProof/>
        </w:rPr>
        <w:t>[27]</w:t>
      </w:r>
      <w:r w:rsidR="0022595A">
        <w:rPr>
          <w:noProof/>
        </w:rPr>
        <w:fldChar w:fldCharType="end"/>
      </w:r>
      <w:r>
        <w:t xml:space="preserve">. For an unemployed person, with few or no assets, </w:t>
      </w:r>
      <w:r w:rsidR="0022595A">
        <w:t>any fine can be unaffordable</w:t>
      </w:r>
      <w:r>
        <w:t xml:space="preserve">. </w:t>
      </w:r>
      <w:r w:rsidR="009A30C1">
        <w:t xml:space="preserve">People who are unable to pay a fine </w:t>
      </w:r>
      <w:r w:rsidR="0022595A">
        <w:t xml:space="preserve">receive enforcement sanctions, including suspension of driver’s license and vehicle registration, yet </w:t>
      </w:r>
      <w:r w:rsidR="0098129F">
        <w:t xml:space="preserve">they </w:t>
      </w:r>
      <w:r w:rsidR="0022595A">
        <w:t xml:space="preserve">may </w:t>
      </w:r>
      <w:r w:rsidR="0017434C">
        <w:t xml:space="preserve">take the risk of driving </w:t>
      </w:r>
      <w:r w:rsidR="0022595A">
        <w:t xml:space="preserve">to take children to school or </w:t>
      </w:r>
      <w:r w:rsidR="00E7773B">
        <w:t xml:space="preserve">to </w:t>
      </w:r>
      <w:r w:rsidR="0022595A">
        <w:t>go to work, thus resulting in the commission of other crimes and</w:t>
      </w:r>
      <w:r w:rsidR="00D70F98">
        <w:t xml:space="preserve"> in many cases</w:t>
      </w:r>
      <w:r w:rsidR="0022595A">
        <w:t xml:space="preserve"> a prison sentence.</w:t>
      </w:r>
    </w:p>
    <w:bookmarkStart w:id="14" w:name="_Hlk133829989"/>
    <w:p w14:paraId="2154F30D" w14:textId="01FA95EA" w:rsidR="006403F1" w:rsidRPr="006403F1" w:rsidRDefault="006403F1" w:rsidP="006403F1">
      <w:pPr>
        <w:pStyle w:val="BodyText"/>
        <w:spacing w:before="100" w:beforeAutospacing="1" w:after="100" w:afterAutospacing="1"/>
      </w:pPr>
      <w:r w:rsidRPr="00C867F8">
        <w:rPr>
          <w:rFonts w:ascii="AvenirNext LT Pro Regular" w:hAnsi="AvenirNext LT Pro Regular"/>
          <w:noProof/>
        </w:rPr>
        <mc:AlternateContent>
          <mc:Choice Requires="wps">
            <w:drawing>
              <wp:anchor distT="0" distB="0" distL="114300" distR="114300" simplePos="0" relativeHeight="251909120" behindDoc="1" locked="0" layoutInCell="1" allowOverlap="1" wp14:anchorId="693D6860" wp14:editId="3C73F014">
                <wp:simplePos x="0" y="0"/>
                <wp:positionH relativeFrom="page">
                  <wp:align>right</wp:align>
                </wp:positionH>
                <wp:positionV relativeFrom="paragraph">
                  <wp:posOffset>2529839</wp:posOffset>
                </wp:positionV>
                <wp:extent cx="7559675" cy="4742815"/>
                <wp:effectExtent l="0" t="0" r="3175" b="635"/>
                <wp:wrapNone/>
                <wp:docPr id="69" name="Rectangle 69"/>
                <wp:cNvGraphicFramePr/>
                <a:graphic xmlns:a="http://schemas.openxmlformats.org/drawingml/2006/main">
                  <a:graphicData uri="http://schemas.microsoft.com/office/word/2010/wordprocessingShape">
                    <wps:wsp>
                      <wps:cNvSpPr/>
                      <wps:spPr>
                        <a:xfrm>
                          <a:off x="0" y="0"/>
                          <a:ext cx="7559675" cy="4742815"/>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9A65D" id="Rectangle 69" o:spid="_x0000_s1026" style="position:absolute;margin-left:544.05pt;margin-top:199.2pt;width:595.25pt;height:373.45pt;z-index:-251407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" fillcolor="#e6e3d9" stroked="f" strokeweight="2pt">
                <w10:wrap anchorx="page"/>
              </v:rect>
            </w:pict>
          </mc:Fallback>
        </mc:AlternateContent>
      </w:r>
      <w:r w:rsidRPr="00C867F8">
        <w:rPr>
          <w:rFonts w:ascii="AvenirNext LT Pro Regular" w:hAnsi="AvenirNext LT Pro Regular"/>
          <w:noProof/>
        </w:rPr>
        <mc:AlternateContent>
          <mc:Choice Requires="wps">
            <w:drawing>
              <wp:anchor distT="0" distB="0" distL="114300" distR="114300" simplePos="0" relativeHeight="251963392" behindDoc="0" locked="0" layoutInCell="1" allowOverlap="1" wp14:anchorId="38935E9B" wp14:editId="61926E98">
                <wp:simplePos x="0" y="0"/>
                <wp:positionH relativeFrom="margin">
                  <wp:posOffset>29210</wp:posOffset>
                </wp:positionH>
                <wp:positionV relativeFrom="paragraph">
                  <wp:posOffset>2560320</wp:posOffset>
                </wp:positionV>
                <wp:extent cx="5977255" cy="3593465"/>
                <wp:effectExtent l="0" t="0" r="4445" b="6985"/>
                <wp:wrapTopAndBottom/>
                <wp:docPr id="10" name="docshape3" descr="Case study&#10;Dave &#10;A likely mental health disability and cognitive impairments have shaped Dave’s life. His disability sits alongside a very traumatic childhood, loss of attachment to his mother, early departure from education, very long-term homelessness, and the use of alcohol and other drugs to ease the effects of his anti-social personality disorder and his anxiety-provoking circumstances. He reacted to some of his difficult encounters with aggression and violence, drank too much and took illicit drugs, and it’s got him into trouble. Criminal charges were hanging over him. &#10;With support, Dave was able to find a stable job and a unit, but he lost the unit when he was finally sentenced for possession of illicit substances and went to jail for four months. That process—with long delays, multiple court appearances and disruption to his work, and uncertainty about the adjournments and possible outcomes—added significantly to his distress and, with his criminal record, secure housing is now out of reach.&#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977255" cy="359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D5C75" w14:textId="77777777" w:rsidR="005A3B94" w:rsidRDefault="005A3B94" w:rsidP="0094706A">
                            <w:pPr>
                              <w:pStyle w:val="TitleinText"/>
                            </w:pPr>
                          </w:p>
                          <w:p w14:paraId="4DCCEC55" w14:textId="77777777" w:rsidR="005A3B94" w:rsidRDefault="005A3B94" w:rsidP="0094706A">
                            <w:pPr>
                              <w:pStyle w:val="TitleinText"/>
                            </w:pPr>
                          </w:p>
                          <w:p w14:paraId="39FFE70F" w14:textId="5220C25B" w:rsidR="005A3B94" w:rsidRDefault="005A3B94" w:rsidP="00146A5B">
                            <w:r w:rsidRPr="00146A5B">
                              <w:rPr>
                                <w:b/>
                              </w:rPr>
                              <w:t>Dave</w:t>
                            </w:r>
                            <w:r>
                              <w:t xml:space="preserve"> </w:t>
                            </w:r>
                          </w:p>
                          <w:p w14:paraId="294FFC0C" w14:textId="77777777" w:rsidR="005A3B94" w:rsidRDefault="005A3B94" w:rsidP="006403F1">
                            <w:pPr>
                              <w:pStyle w:val="BodyText"/>
                              <w:spacing w:before="100" w:beforeAutospacing="1" w:after="100" w:afterAutospacing="1"/>
                            </w:pPr>
                            <w:r>
                              <w:t xml:space="preserve">A likely mental health disability and cognitive impairments have shaped Dave’s life. His disability sits alongside a very traumatic childhood, loss of attachment to his mother, early departure from education, very long-term homelessness, and the use of alcohol and other drugs to ease the effects of his anti-social personality disorder and his anxiety-provoking circumstances. He reacted to some of his difficult encounters with aggression and violence, drank too much and took illicit drugs, and it’s got him into trouble. Criminal charges were hanging over him. </w:t>
                            </w:r>
                          </w:p>
                          <w:p w14:paraId="7C852AC7" w14:textId="77777777" w:rsidR="005A3B94" w:rsidRDefault="005A3B94" w:rsidP="006403F1">
                            <w:pPr>
                              <w:pStyle w:val="BodyText"/>
                              <w:spacing w:before="100" w:beforeAutospacing="1" w:after="100" w:afterAutospacing="1"/>
                            </w:pPr>
                            <w:r>
                              <w:t>With support, Dave was able to find a stable job and a unit, but he lost the unit when he was finally sentenced for possession of illicit substances and went to jail for four months. That process—with long delays, multiple court appearances and disruption to his work, and uncertainty about the adjournments and possible outcomes—added significantly to his distress and, with his criminal record, secure housing is now out of reach.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35E9B" id="_x0000_s1032" type="#_x0000_t202" alt="Case study&#10;Dave &#10;A likely mental health disability and cognitive impairments have shaped Dave’s life. His disability sits alongside a very traumatic childhood, loss of attachment to his mother, early departure from education, very long-term homelessness, and the use of alcohol and other drugs to ease the effects of his anti-social personality disorder and his anxiety-provoking circumstances. He reacted to some of his difficult encounters with aggression and violence, drank too much and took illicit drugs, and it’s got him into trouble. Criminal charges were hanging over him. &#10;With support, Dave was able to find a stable job and a unit, but he lost the unit when he was finally sentenced for possession of illicit substances and went to jail for four months. That process—with long delays, multiple court appearances and disruption to his work, and uncertainty about the adjournments and possible outcomes—added significantly to his distress and, with his criminal record, secure housing is now out of reach.&#10;" style="position:absolute;margin-left:2.3pt;margin-top:201.6pt;width:470.65pt;height:282.9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" filled="f" stroked="f">
                <o:lock v:ext="edit" aspectratio="t" verticies="t" text="t" shapetype="t"/>
                <v:textbox inset="0,0,0,0">
                  <w:txbxContent>
                    <w:p w14:paraId="288D5C75" w14:textId="77777777" w:rsidR="005A3B94" w:rsidRDefault="005A3B94" w:rsidP="0094706A">
                      <w:pPr>
                        <w:pStyle w:val="TitleinText"/>
                      </w:pPr>
                    </w:p>
                    <w:p w14:paraId="4DCCEC55" w14:textId="77777777" w:rsidR="005A3B94" w:rsidRDefault="005A3B94" w:rsidP="0094706A">
                      <w:pPr>
                        <w:pStyle w:val="TitleinText"/>
                      </w:pPr>
                    </w:p>
                    <w:p w14:paraId="39FFE70F" w14:textId="5220C25B" w:rsidR="005A3B94" w:rsidRDefault="005A3B94" w:rsidP="00146A5B">
                      <w:r w:rsidRPr="00146A5B">
                        <w:rPr>
                          <w:b/>
                        </w:rPr>
                        <w:t>Dave</w:t>
                      </w:r>
                      <w:r>
                        <w:t xml:space="preserve"> </w:t>
                      </w:r>
                    </w:p>
                    <w:p w14:paraId="294FFC0C" w14:textId="77777777" w:rsidR="005A3B94" w:rsidRDefault="005A3B94" w:rsidP="006403F1">
                      <w:pPr>
                        <w:pStyle w:val="BodyText"/>
                        <w:spacing w:before="100" w:beforeAutospacing="1" w:after="100" w:afterAutospacing="1"/>
                      </w:pPr>
                      <w:r>
                        <w:t xml:space="preserve">A likely mental health disability and cognitive impairments have shaped Dave’s life. His disability sits alongside a very traumatic childhood, loss of attachment to his mother, early departure from education, very long-term homelessness, and the use of alcohol and other drugs to ease the effects of his anti-social personality disorder and his anxiety-provoking circumstances. He reacted to some of his difficult encounters with aggression and violence, drank too much and took illicit drugs, and it’s got him into trouble. Criminal charges were hanging over him. </w:t>
                      </w:r>
                    </w:p>
                    <w:p w14:paraId="7C852AC7" w14:textId="77777777" w:rsidR="005A3B94" w:rsidRDefault="005A3B94" w:rsidP="006403F1">
                      <w:pPr>
                        <w:pStyle w:val="BodyText"/>
                        <w:spacing w:before="100" w:beforeAutospacing="1" w:after="100" w:afterAutospacing="1"/>
                      </w:pPr>
                      <w:r>
                        <w:t>With support, Dave was able to find a stable job and a unit, but he lost the unit when he was finally sentenced for possession of illicit substances and went to jail for four months. That process—with long delays, multiple court appearances and disruption to his work, and uncertainty about the adjournments and possible outcomes—added significantly to his distress and, with his criminal record, secure housing is now out of reach.</w:t>
                      </w:r>
                    </w:p>
                  </w:txbxContent>
                </v:textbox>
                <w10:wrap type="topAndBottom" anchorx="margin"/>
              </v:shape>
            </w:pict>
          </mc:Fallback>
        </mc:AlternateContent>
      </w:r>
      <w:r w:rsidR="007564E2">
        <w:t xml:space="preserve">Criminalisation perpetuates intergenerational trauma. </w:t>
      </w:r>
      <w:r w:rsidR="0017434C">
        <w:t xml:space="preserve">It </w:t>
      </w:r>
      <w:r w:rsidR="00A9318B">
        <w:t>exacerbates</w:t>
      </w:r>
      <w:r w:rsidR="0017434C">
        <w:t xml:space="preserve"> upstream </w:t>
      </w:r>
      <w:r w:rsidR="009D197C">
        <w:t xml:space="preserve">structural </w:t>
      </w:r>
      <w:r w:rsidR="0017434C">
        <w:t xml:space="preserve">failures. </w:t>
      </w:r>
      <w:r w:rsidR="007564E2">
        <w:t xml:space="preserve">It is </w:t>
      </w:r>
      <w:r w:rsidR="007564E2">
        <w:rPr>
          <w:rStyle w:val="Emphasis"/>
          <w:i w:val="0"/>
        </w:rPr>
        <w:t xml:space="preserve">costly, ineffective and harmful. </w:t>
      </w:r>
      <w:r w:rsidR="007564E2">
        <w:t>We are</w:t>
      </w:r>
      <w:r w:rsidR="006D5BC0">
        <w:t xml:space="preserve">, to </w:t>
      </w:r>
      <w:r w:rsidR="00E64DDB">
        <w:t>quote</w:t>
      </w:r>
      <w:r w:rsidR="006D5BC0">
        <w:t xml:space="preserve"> </w:t>
      </w:r>
      <w:r w:rsidR="00A85039">
        <w:t>Archb</w:t>
      </w:r>
      <w:r w:rsidR="006D5BC0">
        <w:t xml:space="preserve">ishop Tutu, </w:t>
      </w:r>
      <w:r w:rsidR="00E64DDB">
        <w:t>simply “</w:t>
      </w:r>
      <w:r w:rsidR="006D5BC0" w:rsidRPr="00396E19">
        <w:rPr>
          <w:rStyle w:val="Emphasis"/>
        </w:rPr>
        <w:t>pulling people out of the river</w:t>
      </w:r>
      <w:r w:rsidR="00E64DDB">
        <w:rPr>
          <w:rStyle w:val="Emphasis"/>
          <w:i w:val="0"/>
        </w:rPr>
        <w:t>”. We need to find ways to stop people from falling in</w:t>
      </w:r>
      <w:bookmarkEnd w:id="14"/>
      <w:r w:rsidR="00E64DDB">
        <w:rPr>
          <w:rStyle w:val="Emphasis"/>
          <w:i w:val="0"/>
        </w:rPr>
        <w:t xml:space="preserve">. </w:t>
      </w:r>
      <w:r>
        <w:br w:type="page"/>
      </w:r>
    </w:p>
    <w:p w14:paraId="1FCF4ABE" w14:textId="2F60A358" w:rsidR="00660570" w:rsidRDefault="004A2F8B" w:rsidP="00A82EA0">
      <w:pPr>
        <w:pStyle w:val="Heading1"/>
      </w:pPr>
      <w:bookmarkStart w:id="15" w:name="_Toc136851458"/>
      <w:r>
        <w:t>A more effective approach to drug use</w:t>
      </w:r>
      <w:bookmarkEnd w:id="15"/>
    </w:p>
    <w:p w14:paraId="6E731025" w14:textId="4A073681" w:rsidR="00CF14F8" w:rsidRDefault="001F1FFC" w:rsidP="001F1FFC">
      <w:pPr>
        <w:pStyle w:val="BodyText"/>
      </w:pPr>
      <w:r>
        <w:t>Criminalisation of the possession and personal use of drugs compound</w:t>
      </w:r>
      <w:r w:rsidR="007564E2">
        <w:t>s</w:t>
      </w:r>
      <w:r>
        <w:t xml:space="preserve"> </w:t>
      </w:r>
      <w:r w:rsidR="00CE6BC1">
        <w:t xml:space="preserve">a cycle of </w:t>
      </w:r>
      <w:r>
        <w:t xml:space="preserve">intergenerational disadvantage. </w:t>
      </w:r>
      <w:r w:rsidR="00C116F5">
        <w:t xml:space="preserve">This is illustrated in the left-hand panel of Figure </w:t>
      </w:r>
      <w:r w:rsidR="00AF0390">
        <w:t>1</w:t>
      </w:r>
      <w:r w:rsidR="00C116F5" w:rsidRPr="00AF0390">
        <w:t>.</w:t>
      </w:r>
      <w:r w:rsidR="00C116F5">
        <w:t xml:space="preserve"> </w:t>
      </w:r>
    </w:p>
    <w:p w14:paraId="4F3F5353" w14:textId="042B6147" w:rsidR="00CF14F8" w:rsidRPr="00080523" w:rsidRDefault="00CF14F8">
      <w:pPr>
        <w:pStyle w:val="BodyText"/>
        <w:rPr>
          <w:b/>
        </w:rPr>
      </w:pPr>
      <w:r w:rsidRPr="00080523">
        <w:rPr>
          <w:b/>
        </w:rPr>
        <w:t xml:space="preserve">People’s lives are shaped by access to the </w:t>
      </w:r>
      <w:r w:rsidRPr="00080523">
        <w:rPr>
          <w:b/>
          <w:color w:val="31849B" w:themeColor="accent5" w:themeShade="BF"/>
        </w:rPr>
        <w:t>upstream social determinants of health</w:t>
      </w:r>
      <w:r w:rsidR="002A594E">
        <w:rPr>
          <w:b/>
          <w:color w:val="31849B" w:themeColor="accent5" w:themeShade="BF"/>
        </w:rPr>
        <w:t>.</w:t>
      </w:r>
    </w:p>
    <w:p w14:paraId="4B6C88F8" w14:textId="77777777" w:rsidR="00CF14F8" w:rsidRDefault="00CF14F8" w:rsidP="007E0F04">
      <w:pPr>
        <w:pStyle w:val="BodyText"/>
      </w:pPr>
      <w:r>
        <w:t xml:space="preserve">Where there </w:t>
      </w:r>
      <w:r w:rsidR="0088772A">
        <w:t>is a failure upstream</w:t>
      </w:r>
      <w:r>
        <w:t xml:space="preserve">, people face greater risk of developing drug use disorders (including </w:t>
      </w:r>
      <w:r w:rsidR="0088772A">
        <w:t xml:space="preserve">as </w:t>
      </w:r>
      <w:r>
        <w:t xml:space="preserve">self-medication) and more barriers to prevention and treatment. </w:t>
      </w:r>
    </w:p>
    <w:p w14:paraId="1DCF6890" w14:textId="0F3F9386" w:rsidR="00CF14F8" w:rsidRPr="00080523" w:rsidRDefault="00CF14F8">
      <w:pPr>
        <w:pStyle w:val="BodyText"/>
        <w:rPr>
          <w:b/>
        </w:rPr>
      </w:pPr>
      <w:r w:rsidRPr="00080523">
        <w:rPr>
          <w:b/>
        </w:rPr>
        <w:t>Criminalisation of possession and personal use perpetuates trauma</w:t>
      </w:r>
      <w:r w:rsidR="002A594E">
        <w:rPr>
          <w:b/>
        </w:rPr>
        <w:t>.</w:t>
      </w:r>
    </w:p>
    <w:p w14:paraId="38EB2751" w14:textId="77777777" w:rsidR="00CF14F8" w:rsidRDefault="00CF14F8" w:rsidP="00080523">
      <w:pPr>
        <w:pStyle w:val="BodyText"/>
      </w:pPr>
      <w:r>
        <w:t>Drug convictions and incarceration cause personal, family and community harms</w:t>
      </w:r>
      <w:r w:rsidR="000E3607">
        <w:t xml:space="preserve"> through</w:t>
      </w:r>
      <w:r>
        <w:t xml:space="preserve"> stigma and marginalisation and exclusion from work, services, housing and social connection. Convicted drug users </w:t>
      </w:r>
      <w:r w:rsidR="000E3607">
        <w:t>may</w:t>
      </w:r>
      <w:r>
        <w:t xml:space="preserve"> lose custody of their children, increasing trauma for themselves and their children</w:t>
      </w:r>
      <w:r w:rsidR="00EE6299">
        <w:t>, and undermining social cohesion</w:t>
      </w:r>
      <w:r>
        <w:t>.</w:t>
      </w:r>
    </w:p>
    <w:p w14:paraId="30502173" w14:textId="150B2E09" w:rsidR="00CF14F8" w:rsidRPr="00080523" w:rsidRDefault="00CF14F8">
      <w:pPr>
        <w:pStyle w:val="BodyText"/>
        <w:rPr>
          <w:b/>
        </w:rPr>
      </w:pPr>
      <w:r w:rsidRPr="00080523">
        <w:rPr>
          <w:b/>
          <w:color w:val="31849B" w:themeColor="accent5" w:themeShade="BF"/>
        </w:rPr>
        <w:t xml:space="preserve">Stigmatised </w:t>
      </w:r>
      <w:r w:rsidRPr="00080523">
        <w:rPr>
          <w:b/>
        </w:rPr>
        <w:t xml:space="preserve">and </w:t>
      </w:r>
      <w:r w:rsidRPr="00080523">
        <w:rPr>
          <w:b/>
          <w:color w:val="31849B" w:themeColor="accent5" w:themeShade="BF"/>
        </w:rPr>
        <w:t>marginali</w:t>
      </w:r>
      <w:r w:rsidR="00C21BD9">
        <w:rPr>
          <w:b/>
          <w:color w:val="31849B" w:themeColor="accent5" w:themeShade="BF"/>
        </w:rPr>
        <w:t>s</w:t>
      </w:r>
      <w:r w:rsidRPr="00080523">
        <w:rPr>
          <w:b/>
          <w:color w:val="31849B" w:themeColor="accent5" w:themeShade="BF"/>
        </w:rPr>
        <w:t xml:space="preserve">ed </w:t>
      </w:r>
      <w:r w:rsidRPr="00080523">
        <w:rPr>
          <w:b/>
        </w:rPr>
        <w:t>people lack access to the social determinants of health necessary for flourishing</w:t>
      </w:r>
      <w:r w:rsidR="002A594E">
        <w:rPr>
          <w:b/>
        </w:rPr>
        <w:t>.</w:t>
      </w:r>
    </w:p>
    <w:p w14:paraId="0D1FF626" w14:textId="6A6731AF" w:rsidR="00C116F5" w:rsidRDefault="00CF14F8" w:rsidP="001F1FFC">
      <w:pPr>
        <w:pStyle w:val="BodyText"/>
      </w:pPr>
      <w:r>
        <w:t xml:space="preserve">A criminal conviction sets people up to </w:t>
      </w:r>
      <w:r w:rsidR="007E0F04">
        <w:t xml:space="preserve">experience conditions that increase their own and their children’s risk of developing a drug use disorder. </w:t>
      </w:r>
    </w:p>
    <w:p w14:paraId="1E32BA37" w14:textId="77777777" w:rsidR="00C116F5" w:rsidRPr="00080523" w:rsidRDefault="00CE6BC1" w:rsidP="006D1DB3">
      <w:pPr>
        <w:pStyle w:val="Heading2"/>
      </w:pPr>
      <w:bookmarkStart w:id="16" w:name="_Toc136851459"/>
      <w:r w:rsidRPr="00116AF7">
        <w:t xml:space="preserve">The harm cycle can be interrupted and </w:t>
      </w:r>
      <w:r w:rsidR="00A9318B">
        <w:t>redirected to flourishing</w:t>
      </w:r>
      <w:bookmarkEnd w:id="16"/>
      <w:r w:rsidR="00A9318B">
        <w:t xml:space="preserve"> </w:t>
      </w:r>
    </w:p>
    <w:p w14:paraId="1B1EA27B" w14:textId="77777777" w:rsidR="00BC6F7A" w:rsidRDefault="00CE6BC1" w:rsidP="00BC6F7A">
      <w:pPr>
        <w:pStyle w:val="BodyText"/>
      </w:pPr>
      <w:bookmarkStart w:id="17" w:name="_Hlk133586400"/>
      <w:r w:rsidRPr="00116AF7">
        <w:t>E</w:t>
      </w:r>
      <w:r w:rsidR="00BC6F7A" w:rsidRPr="00116AF7">
        <w:t xml:space="preserve">xisting harm-minimisation </w:t>
      </w:r>
      <w:r w:rsidR="0011610D" w:rsidRPr="00116AF7">
        <w:t xml:space="preserve">measures </w:t>
      </w:r>
      <w:r w:rsidR="00BC6F7A" w:rsidRPr="00116AF7">
        <w:t xml:space="preserve">can be </w:t>
      </w:r>
      <w:r w:rsidR="0011610D" w:rsidRPr="00116AF7">
        <w:t>complemented and improved through an</w:t>
      </w:r>
      <w:r w:rsidR="00BC6F7A" w:rsidRPr="00116AF7">
        <w:t xml:space="preserve"> evidence-based public health approach</w:t>
      </w:r>
      <w:r w:rsidR="000E161F" w:rsidRPr="00116AF7">
        <w:t xml:space="preserve"> that:</w:t>
      </w:r>
    </w:p>
    <w:p w14:paraId="014BFBA4" w14:textId="77777777" w:rsidR="00CE6BC1" w:rsidRPr="000E4D90" w:rsidRDefault="00CE6BC1" w:rsidP="000E4D90">
      <w:pPr>
        <w:pStyle w:val="Bullets"/>
        <w:numPr>
          <w:ilvl w:val="0"/>
          <w:numId w:val="61"/>
        </w:numPr>
        <w:rPr>
          <w:rStyle w:val="Strong"/>
          <w:b w:val="0"/>
        </w:rPr>
      </w:pPr>
      <w:r w:rsidRPr="000E4D90">
        <w:rPr>
          <w:rStyle w:val="Strong"/>
          <w:color w:val="1598CB"/>
        </w:rPr>
        <w:t>Addresses the upstream factors</w:t>
      </w:r>
      <w:r w:rsidRPr="000E4D90">
        <w:rPr>
          <w:rStyle w:val="Strong"/>
          <w:b w:val="0"/>
        </w:rPr>
        <w:t xml:space="preserve">—for flourishing, people of all ages need access to the </w:t>
      </w:r>
      <w:r w:rsidRPr="000E4D90">
        <w:rPr>
          <w:rStyle w:val="Strong"/>
          <w:color w:val="31849B" w:themeColor="accent5" w:themeShade="BF"/>
        </w:rPr>
        <w:t>social determinants of health</w:t>
      </w:r>
      <w:r w:rsidRPr="000E4D90">
        <w:rPr>
          <w:rStyle w:val="Strong"/>
          <w:b w:val="0"/>
        </w:rPr>
        <w:t xml:space="preserve">. Such access reduces the rates of </w:t>
      </w:r>
      <w:r w:rsidRPr="000E4D90">
        <w:rPr>
          <w:rStyle w:val="Strong"/>
          <w:color w:val="31849B" w:themeColor="accent5" w:themeShade="BF"/>
        </w:rPr>
        <w:t>intergenerational trauma</w:t>
      </w:r>
      <w:r w:rsidRPr="000E4D90">
        <w:rPr>
          <w:rStyle w:val="Strong"/>
          <w:b w:val="0"/>
        </w:rPr>
        <w:t xml:space="preserve">, and </w:t>
      </w:r>
      <w:r w:rsidR="000E3607" w:rsidRPr="000E4D90">
        <w:rPr>
          <w:rStyle w:val="Strong"/>
          <w:b w:val="0"/>
        </w:rPr>
        <w:t>enables</w:t>
      </w:r>
      <w:r w:rsidR="00A40890" w:rsidRPr="000E4D90">
        <w:rPr>
          <w:rStyle w:val="Strong"/>
          <w:b w:val="0"/>
        </w:rPr>
        <w:t xml:space="preserve"> protective measures </w:t>
      </w:r>
      <w:r w:rsidR="000E3607" w:rsidRPr="000E4D90">
        <w:rPr>
          <w:rStyle w:val="Strong"/>
          <w:b w:val="0"/>
        </w:rPr>
        <w:t>such as</w:t>
      </w:r>
      <w:r w:rsidR="00A40890" w:rsidRPr="000E4D90">
        <w:rPr>
          <w:rStyle w:val="Strong"/>
          <w:b w:val="0"/>
        </w:rPr>
        <w:t xml:space="preserve"> early diagnosis and treatment of disorders.</w:t>
      </w:r>
    </w:p>
    <w:p w14:paraId="5B016378" w14:textId="77777777" w:rsidR="00CE6BC1" w:rsidRDefault="00CE6BC1" w:rsidP="000E4D90">
      <w:pPr>
        <w:pStyle w:val="Bullets"/>
      </w:pPr>
      <w:r>
        <w:rPr>
          <w:rStyle w:val="Strong"/>
          <w:color w:val="1598CB"/>
        </w:rPr>
        <w:t>Increases access to treatment</w:t>
      </w:r>
      <w:r>
        <w:t>—existing evidence-based initiatives (e.g., the Needle and Syringe Program</w:t>
      </w:r>
      <w:r w:rsidR="00A40890">
        <w:t>, take-home naloxone kits</w:t>
      </w:r>
      <w:r>
        <w:t>)</w:t>
      </w:r>
      <w:r w:rsidR="00A40890">
        <w:t xml:space="preserve"> should be complemented by</w:t>
      </w:r>
      <w:r>
        <w:t xml:space="preserve"> non-discriminatory, adequate, accessible and non-stigmatising treatments and support services.</w:t>
      </w:r>
    </w:p>
    <w:p w14:paraId="5F51E8D5" w14:textId="77777777" w:rsidR="00EE6299" w:rsidRDefault="00CE6BC1" w:rsidP="000E4D90">
      <w:pPr>
        <w:pStyle w:val="Bullets"/>
      </w:pPr>
      <w:r>
        <w:rPr>
          <w:rStyle w:val="Strong"/>
          <w:color w:val="1598CB"/>
        </w:rPr>
        <w:t>Decriminalises personal drug possession and use</w:t>
      </w:r>
      <w:r w:rsidRPr="008C7D2D">
        <w:rPr>
          <w:rStyle w:val="Strong"/>
          <w:b w:val="0"/>
          <w:color w:val="auto"/>
        </w:rPr>
        <w:t>—</w:t>
      </w:r>
      <w:r>
        <w:t xml:space="preserve">possession and personal use </w:t>
      </w:r>
      <w:r w:rsidR="00A40890">
        <w:t xml:space="preserve">should attract </w:t>
      </w:r>
      <w:r w:rsidRPr="00080523">
        <w:rPr>
          <w:b/>
          <w:color w:val="31849B" w:themeColor="accent5" w:themeShade="BF"/>
        </w:rPr>
        <w:t>civil and administrative</w:t>
      </w:r>
      <w:r w:rsidRPr="00080523">
        <w:rPr>
          <w:color w:val="31849B" w:themeColor="accent5" w:themeShade="BF"/>
        </w:rPr>
        <w:t xml:space="preserve"> </w:t>
      </w:r>
      <w:r>
        <w:t xml:space="preserve">sanctions </w:t>
      </w:r>
      <w:r w:rsidR="00A40890">
        <w:t>only, and expunging historical convictions would further minimise harmful marginalisation and exclusion</w:t>
      </w:r>
      <w:r w:rsidRPr="00ED18AF">
        <w:t>.</w:t>
      </w:r>
    </w:p>
    <w:p w14:paraId="645E0A72" w14:textId="1DDBCE45" w:rsidR="00EE6299" w:rsidRPr="0011610D" w:rsidRDefault="00EE6299" w:rsidP="000E4D90">
      <w:pPr>
        <w:pStyle w:val="Bullets"/>
      </w:pPr>
      <w:r>
        <w:rPr>
          <w:rStyle w:val="Strong"/>
          <w:color w:val="1598CB"/>
        </w:rPr>
        <w:t xml:space="preserve">Removes </w:t>
      </w:r>
      <w:r w:rsidR="000E3607">
        <w:rPr>
          <w:rStyle w:val="Strong"/>
          <w:color w:val="1598CB"/>
        </w:rPr>
        <w:t xml:space="preserve">the discrimination of </w:t>
      </w:r>
      <w:r>
        <w:rPr>
          <w:rStyle w:val="Strong"/>
          <w:color w:val="1598CB"/>
        </w:rPr>
        <w:t>ine</w:t>
      </w:r>
      <w:r w:rsidRPr="007B59A0">
        <w:rPr>
          <w:rStyle w:val="Strong"/>
          <w:color w:val="1598CB"/>
        </w:rPr>
        <w:t>quitable</w:t>
      </w:r>
      <w:r w:rsidRPr="008C7D2D">
        <w:rPr>
          <w:rStyle w:val="Strong"/>
          <w:color w:val="1598CB"/>
        </w:rPr>
        <w:t xml:space="preserve"> penalties</w:t>
      </w:r>
      <w:r>
        <w:t>—</w:t>
      </w:r>
      <w:r w:rsidR="009163A0">
        <w:t xml:space="preserve">increased use of </w:t>
      </w:r>
      <w:r>
        <w:t>informal and formal</w:t>
      </w:r>
      <w:r w:rsidRPr="00ED18AF">
        <w:t xml:space="preserve"> cautions, </w:t>
      </w:r>
      <w:r>
        <w:t xml:space="preserve">deflection and </w:t>
      </w:r>
      <w:r w:rsidRPr="00ED18AF">
        <w:t xml:space="preserve">diversion, treatment orders, </w:t>
      </w:r>
      <w:r w:rsidR="009163A0">
        <w:t>and the introduction of</w:t>
      </w:r>
      <w:r w:rsidRPr="00ED18AF">
        <w:t xml:space="preserve"> means-tested (“day fine”) penalties </w:t>
      </w:r>
      <w:r w:rsidR="009163A0">
        <w:t>and</w:t>
      </w:r>
      <w:r w:rsidRPr="00ED18AF">
        <w:t xml:space="preserve"> Work and Development Orders</w:t>
      </w:r>
      <w:r>
        <w:t xml:space="preserve">, </w:t>
      </w:r>
      <w:r w:rsidR="009163A0">
        <w:t xml:space="preserve">to </w:t>
      </w:r>
      <w:r>
        <w:t>support recovery</w:t>
      </w:r>
      <w:r w:rsidR="000E3607">
        <w:t xml:space="preserve">, </w:t>
      </w:r>
      <w:r>
        <w:t xml:space="preserve">reconnection </w:t>
      </w:r>
      <w:r w:rsidR="000E3607">
        <w:t>with community and restored relationships</w:t>
      </w:r>
      <w:r>
        <w:t>.</w:t>
      </w:r>
    </w:p>
    <w:bookmarkEnd w:id="17"/>
    <w:p w14:paraId="048105A2" w14:textId="13E9ED3B" w:rsidR="00573A64" w:rsidRDefault="00EE6299" w:rsidP="00D10191">
      <w:pPr>
        <w:pStyle w:val="BodyText"/>
      </w:pPr>
      <w:r>
        <w:t xml:space="preserve">The approach </w:t>
      </w:r>
      <w:r w:rsidR="009163A0">
        <w:t xml:space="preserve">proposed by Anglicare </w:t>
      </w:r>
      <w:r>
        <w:t>support</w:t>
      </w:r>
      <w:r w:rsidR="0077349A">
        <w:t>s</w:t>
      </w:r>
      <w:r>
        <w:t xml:space="preserve"> the goal of harm minimisation, championed by successive Tasmanian governments, and the National Drug Strategy </w:t>
      </w:r>
      <w:r>
        <w:fldChar w:fldCharType="begin">
          <w:fldData xml:space="preserve">PEVuZE5vdGU+PENpdGU+PEF1dGhvcj5EZXBhcnRtZW50IG9mIEhlYWx0aDwvQXV0aG9yPjxZZWFy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</w:fldData>
        </w:fldChar>
      </w:r>
      <w:r w:rsidR="00956746">
        <w:instrText xml:space="preserve"> ADDIN EN.CITE </w:instrText>
      </w:r>
      <w:r w:rsidR="00956746">
        <w:fldChar w:fldCharType="begin">
          <w:fldData xml:space="preserve">PEVuZE5vdGU+PENpdGU+PEF1dGhvcj5EZXBhcnRtZW50IG9mIEhlYWx0aDwvQXV0aG9yPjxZZWFy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</w:fldData>
        </w:fldChar>
      </w:r>
      <w:r w:rsidR="00956746">
        <w:instrText xml:space="preserve"> ADDIN EN.CITE.DATA </w:instrText>
      </w:r>
      <w:r w:rsidR="00956746">
        <w:fldChar w:fldCharType="end"/>
      </w:r>
      <w:r>
        <w:fldChar w:fldCharType="separate"/>
      </w:r>
      <w:r w:rsidR="00956746">
        <w:rPr>
          <w:noProof/>
        </w:rPr>
        <w:t>[2, 3, 9]</w:t>
      </w:r>
      <w:r>
        <w:fldChar w:fldCharType="end"/>
      </w:r>
      <w:r>
        <w:t>. It does this by following a whole-of-life prevention, treatment, harm-minimisation and restorative justice model</w:t>
      </w:r>
      <w:r w:rsidR="00A9318B">
        <w:t>,</w:t>
      </w:r>
      <w:r>
        <w:t xml:space="preserve"> illustrated in the right-hand panel of Figure 1. Crucially, it enables healing </w:t>
      </w:r>
      <w:r w:rsidR="00A9318B">
        <w:t xml:space="preserve">of </w:t>
      </w:r>
      <w:r>
        <w:t xml:space="preserve">the </w:t>
      </w:r>
      <w:r w:rsidRPr="008C7D2D">
        <w:rPr>
          <w:b/>
          <w:color w:val="31849B" w:themeColor="accent5" w:themeShade="BF"/>
        </w:rPr>
        <w:t>moral injuries</w:t>
      </w:r>
      <w:r w:rsidRPr="008C7D2D">
        <w:rPr>
          <w:color w:val="31849B" w:themeColor="accent5" w:themeShade="BF"/>
        </w:rPr>
        <w:t xml:space="preserve"> </w:t>
      </w:r>
      <w:r>
        <w:t>that damage us all.</w:t>
      </w:r>
      <w:r w:rsidR="00573A64">
        <w:br w:type="page"/>
      </w:r>
    </w:p>
    <w:p w14:paraId="3A90ACD4" w14:textId="00F385D4" w:rsidR="000C053C" w:rsidRDefault="003044CE" w:rsidP="00EE6299">
      <w:pPr>
        <w:pStyle w:val="BodyText"/>
      </w:pPr>
      <w:r w:rsidRPr="003044CE">
        <w:rPr>
          <w:noProof/>
        </w:rPr>
        <w:t xml:space="preserve"> </w:t>
      </w:r>
      <w:r w:rsidRPr="003044CE">
        <w:rPr>
          <w:noProof/>
        </w:rPr>
        <w:drawing>
          <wp:inline distT="0" distB="0" distL="0" distR="0" wp14:anchorId="1961C273" wp14:editId="713DE394">
            <wp:extent cx="5876925" cy="8021209"/>
            <wp:effectExtent l="0" t="0" r="0" b="0"/>
            <wp:docPr id="16" name="Picture 16" descr="Figure 1 is a diagram comparing a criminalisation approach and a public health approach to drug use.&#10;The left side of the diagram represents the impacts of a criminalisation approach under which people using illicit drugs are subject to criminal conviction and sentencing. This results in increased harm and rates of drug use disorder as well as stigma, marginalisation and trauma. This decreases access to work, services, housing and other supports and has a negative impact on the social determinants of health, which are employment, social supports, income, community connectedness, education, access to health services, housing and childhood experiences. The impact on the social determinants of health adversely affects the capacity of individuals, their families and their communities to flourish. This increases rates of intergenerational trauma and problematic drug use.&#10;The right side of the diagram represents the cyclical impact of a public health approach under which people using illicit drugs receive means-tested administrative penalties and access to treatment. This decreases harm and rates of drug use disorder as well as stigma, marginalisation and trauma. This increases access to work, services, housing and other supports and has a positive impact on the social determinants of health, which are employment, social supports, income, community connectedness, education, access to health services, housing and childhood experiences. The impact on the social determinants of health increases the capacity of individuals, their families and their communities to flourish. This decreases rates of intergenerational trauma and problematic drug 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83253" cy="8029846"/>
                    </a:xfrm>
                    <a:prstGeom prst="rect">
                      <a:avLst/>
                    </a:prstGeom>
                  </pic:spPr>
                </pic:pic>
              </a:graphicData>
            </a:graphic>
          </wp:inline>
        </w:drawing>
      </w:r>
    </w:p>
    <w:p w14:paraId="0C06DDC5" w14:textId="77777777" w:rsidR="009849EF" w:rsidRDefault="009849EF" w:rsidP="007F666E">
      <w:pPr>
        <w:pStyle w:val="Captions"/>
        <w:spacing w:before="0" w:after="0"/>
      </w:pPr>
    </w:p>
    <w:p w14:paraId="30F14357" w14:textId="0BF9DFAE" w:rsidR="007F666E" w:rsidRDefault="007F666E" w:rsidP="007F666E">
      <w:pPr>
        <w:pStyle w:val="Captions"/>
        <w:spacing w:before="0" w:after="0"/>
      </w:pPr>
      <w:r w:rsidRPr="00934F29">
        <w:t xml:space="preserve">Figure 1: </w:t>
      </w:r>
      <w:r>
        <w:t>Comparing c</w:t>
      </w:r>
      <w:r w:rsidRPr="00934F29">
        <w:t xml:space="preserve">riminalisation </w:t>
      </w:r>
      <w:r>
        <w:t>and public health responses—impacts on social determinants of health and the capacity to flourish.</w:t>
      </w:r>
    </w:p>
    <w:p w14:paraId="1CC98E1A" w14:textId="77777777" w:rsidR="00EE6299" w:rsidRDefault="00EE6299" w:rsidP="007E536B">
      <w:pPr>
        <w:pStyle w:val="Heading3"/>
      </w:pPr>
      <w:bookmarkStart w:id="18" w:name="_Toc136851460"/>
      <w:r>
        <w:t>Prevention is the first step</w:t>
      </w:r>
      <w:bookmarkEnd w:id="18"/>
    </w:p>
    <w:p w14:paraId="7B5D471F" w14:textId="1BAD7C5A" w:rsidR="00EE6299" w:rsidRPr="008C7D2D" w:rsidRDefault="00EE6299" w:rsidP="00EE6299">
      <w:pPr>
        <w:pStyle w:val="IntenseQuote"/>
        <w:rPr>
          <w:rStyle w:val="IntenseEmphasis"/>
          <w:iCs/>
          <w:color w:val="4F81BD" w:themeColor="accent1"/>
        </w:rPr>
      </w:pPr>
      <w:r w:rsidRPr="008C7D2D">
        <w:rPr>
          <w:rStyle w:val="IntenseEmphasis"/>
          <w:i/>
          <w:iCs/>
          <w:color w:val="4F81BD" w:themeColor="accent1"/>
        </w:rPr>
        <w:t xml:space="preserve">“Why treat people and send them back to the conditions that made them sick?” </w:t>
      </w:r>
      <w:r w:rsidRPr="008C7D2D">
        <w:rPr>
          <w:rStyle w:val="IntenseEmphasis"/>
          <w:iCs/>
          <w:color w:val="4F81BD" w:themeColor="accent1"/>
        </w:rPr>
        <w:fldChar w:fldCharType="begin"/>
      </w:r>
      <w:r w:rsidR="00956746">
        <w:rPr>
          <w:rStyle w:val="IntenseEmphasis"/>
          <w:iCs/>
          <w:color w:val="4F81BD" w:themeColor="accent1"/>
        </w:rPr>
        <w:instrText xml:space="preserve"> ADDIN EN.CITE &lt;EndNote&gt;&lt;Cite&gt;&lt;Author&gt;Marmot&lt;/Author&gt;&lt;Year&gt;2015&lt;/Year&gt;&lt;RecNum&gt;123&lt;/RecNum&gt;&lt;DisplayText&gt;[38]&lt;/DisplayText&gt;&lt;record&gt;&lt;rec-number&gt;123&lt;/rec-number&gt;&lt;foreign-keys&gt;&lt;key app="EN" db-id="5fz2fzfzg2w2x4efdz3xprvlzezfdv2spstv" timestamp="1678769589"&gt;123&lt;/key&gt;&lt;/foreign-keys&gt;&lt;ref-type name="Book"&gt;6&lt;/ref-type&gt;&lt;contributors&gt;&lt;authors&gt;&lt;author&gt;Marmot, Michael&lt;/author&gt;&lt;/authors&gt;&lt;/contributors&gt;&lt;titles&gt;&lt;title&gt;The Health Gap. The challenge of an unequal world&lt;/title&gt;&lt;/titles&gt;&lt;dates&gt;&lt;year&gt;2015&lt;/year&gt;&lt;/dates&gt;&lt;pub-location&gt;London&lt;/pub-location&gt;&lt;publisher&gt;Bloomsbury&lt;/publisher&gt;&lt;urls&gt;&lt;/urls&gt;&lt;/record&gt;&lt;/Cite&gt;&lt;/EndNote&gt;</w:instrText>
      </w:r>
      <w:r w:rsidRPr="008C7D2D">
        <w:rPr>
          <w:rStyle w:val="IntenseEmphasis"/>
          <w:iCs/>
          <w:color w:val="4F81BD" w:themeColor="accent1"/>
        </w:rPr>
        <w:fldChar w:fldCharType="separate"/>
      </w:r>
      <w:r w:rsidR="00956746">
        <w:rPr>
          <w:rStyle w:val="IntenseEmphasis"/>
          <w:iCs/>
          <w:noProof/>
          <w:color w:val="4F81BD" w:themeColor="accent1"/>
        </w:rPr>
        <w:t>[38]</w:t>
      </w:r>
      <w:r w:rsidRPr="008C7D2D">
        <w:rPr>
          <w:rStyle w:val="IntenseEmphasis"/>
          <w:iCs/>
          <w:color w:val="4F81BD" w:themeColor="accent1"/>
        </w:rPr>
        <w:fldChar w:fldCharType="end"/>
      </w:r>
      <w:r w:rsidRPr="008C7D2D">
        <w:rPr>
          <w:rStyle w:val="IntenseEmphasis"/>
          <w:iCs/>
          <w:color w:val="4F81BD" w:themeColor="accent1"/>
        </w:rPr>
        <w:t xml:space="preserve"> </w:t>
      </w:r>
    </w:p>
    <w:p w14:paraId="447E5BA2" w14:textId="4D42BD67" w:rsidR="00EE6299" w:rsidRDefault="00EE6299" w:rsidP="00EE6299">
      <w:pPr>
        <w:pStyle w:val="BodyText"/>
      </w:pPr>
      <w:r>
        <w:t xml:space="preserve">The strength of the </w:t>
      </w:r>
      <w:r w:rsidR="009163A0">
        <w:t xml:space="preserve">approach proposed by Anglicare </w:t>
      </w:r>
      <w:r>
        <w:t xml:space="preserve">lies in combining “prevention, demand reduction, and harm-reduction, as well as maximizing treatment resources and availability for those who seek it” </w:t>
      </w:r>
      <w:r>
        <w:fldChar w:fldCharType="begin"/>
      </w:r>
      <w:r w:rsidR="00956746">
        <w:instrText xml:space="preserve"> ADDIN EN.CITE &lt;EndNote&gt;&lt;Cite&gt;&lt;Author&gt;Greenwald&lt;/Author&gt;&lt;Year&gt;2009&lt;/Year&gt;&lt;RecNum&gt;28&lt;/RecNum&gt;&lt;Pages&gt;10&lt;/Pages&gt;&lt;DisplayText&gt;[44]&lt;/DisplayText&gt;&lt;record&gt;&lt;rec-number&gt;28&lt;/rec-number&gt;&lt;foreign-keys&gt;&lt;key app="EN" db-id="5fz2fzfzg2w2x4efdz3xprvlzezfdv2spstv" timestamp="1676609251"&gt;28&lt;/key&gt;&lt;/foreign-keys&gt;&lt;ref-type name="Report"&gt;27&lt;/ref-type&gt;&lt;contributors&gt;&lt;authors&gt;&lt;author&gt;Greenwald, Glenn&lt;/author&gt;&lt;/authors&gt;&lt;/contributors&gt;&lt;titles&gt;&lt;title&gt; Drug decriminalization in Portugal: Lessons for creating fair and successful drug policies&lt;/title&gt;&lt;/titles&gt;&lt;dates&gt;&lt;year&gt;2009&lt;/year&gt;&lt;/dates&gt;&lt;pub-location&gt;Washington, DC&lt;/pub-location&gt;&lt;publisher&gt;Cato Institute&lt;/publisher&gt;&lt;urls&gt;&lt;/urls&gt;&lt;/record&gt;&lt;/Cite&gt;&lt;/EndNote&gt;</w:instrText>
      </w:r>
      <w:r>
        <w:fldChar w:fldCharType="separate"/>
      </w:r>
      <w:r w:rsidR="00956746">
        <w:rPr>
          <w:noProof/>
        </w:rPr>
        <w:t>[44]</w:t>
      </w:r>
      <w:r>
        <w:fldChar w:fldCharType="end"/>
      </w:r>
      <w:r>
        <w:t xml:space="preserve">. This means that unless we address the upstream </w:t>
      </w:r>
      <w:r w:rsidRPr="005D3935">
        <w:rPr>
          <w:b/>
          <w:color w:val="31849B" w:themeColor="accent5" w:themeShade="BF"/>
        </w:rPr>
        <w:t>social determinants of health</w:t>
      </w:r>
      <w:r w:rsidR="005A3B94">
        <w:rPr>
          <w:b/>
          <w:color w:val="31849B" w:themeColor="accent5" w:themeShade="BF"/>
        </w:rPr>
        <w:t>,</w:t>
      </w:r>
      <w:r>
        <w:t xml:space="preserve"> and their role in drug use disorders, any approach will remain costly and harmful. </w:t>
      </w:r>
    </w:p>
    <w:p w14:paraId="3E8E3AEE" w14:textId="77777777" w:rsidR="00EE6299" w:rsidRDefault="00EE6299" w:rsidP="00EE6299">
      <w:pPr>
        <w:pStyle w:val="BodyText"/>
      </w:pPr>
      <w:r>
        <w:t>The risk factors for the development of drug use disorders can be mitigated by:</w:t>
      </w:r>
    </w:p>
    <w:p w14:paraId="71779792" w14:textId="14690059" w:rsidR="00EE6299" w:rsidRDefault="004C3339" w:rsidP="00EE6299">
      <w:pPr>
        <w:pStyle w:val="BodyText"/>
        <w:numPr>
          <w:ilvl w:val="0"/>
          <w:numId w:val="25"/>
        </w:numPr>
      </w:pPr>
      <w:r>
        <w:t>s</w:t>
      </w:r>
      <w:r w:rsidR="00EE6299">
        <w:t>afe, affordable access to good quality healthcare (including mental health care) for the diagnosis and early treatment of disorders that predispose a person to unsafe drug use</w:t>
      </w:r>
    </w:p>
    <w:p w14:paraId="13FEB773" w14:textId="1B3F0756" w:rsidR="00EE6299" w:rsidRDefault="004C3339" w:rsidP="00EE6299">
      <w:pPr>
        <w:pStyle w:val="BodyText"/>
        <w:numPr>
          <w:ilvl w:val="0"/>
          <w:numId w:val="25"/>
        </w:numPr>
      </w:pPr>
      <w:r>
        <w:t>p</w:t>
      </w:r>
      <w:r w:rsidR="00EE6299">
        <w:t>rotection from the traumas of poverty and violence</w:t>
      </w:r>
    </w:p>
    <w:p w14:paraId="2DD0708C" w14:textId="69EE6D02" w:rsidR="00EE6299" w:rsidRDefault="004C3339" w:rsidP="00EE6299">
      <w:pPr>
        <w:pStyle w:val="BodyText"/>
        <w:numPr>
          <w:ilvl w:val="0"/>
          <w:numId w:val="25"/>
        </w:numPr>
      </w:pPr>
      <w:r>
        <w:t>r</w:t>
      </w:r>
      <w:r w:rsidR="00EE6299">
        <w:t xml:space="preserve">eliable access to education, housing and employment </w:t>
      </w:r>
    </w:p>
    <w:p w14:paraId="6783B5B9" w14:textId="7AD8CDF3" w:rsidR="00EE6299" w:rsidRDefault="004C3339" w:rsidP="00505BA2">
      <w:pPr>
        <w:pStyle w:val="BodyText"/>
        <w:numPr>
          <w:ilvl w:val="0"/>
          <w:numId w:val="25"/>
        </w:numPr>
        <w:spacing w:after="240"/>
        <w:ind w:left="714" w:hanging="357"/>
      </w:pPr>
      <w:r>
        <w:t>s</w:t>
      </w:r>
      <w:r w:rsidR="00EE6299">
        <w:t xml:space="preserve">ocial connection within families and with community. </w:t>
      </w:r>
    </w:p>
    <w:p w14:paraId="42DF67E7" w14:textId="12715507" w:rsidR="00EE6299" w:rsidRDefault="006403F1" w:rsidP="006403F1">
      <w:pPr>
        <w:pStyle w:val="BodyText"/>
        <w:spacing w:after="600"/>
      </w:pPr>
      <w:r>
        <w:rPr>
          <w:noProof/>
        </w:rPr>
        <mc:AlternateContent>
          <mc:Choice Requires="wps">
            <w:drawing>
              <wp:anchor distT="0" distB="0" distL="114300" distR="114300" simplePos="0" relativeHeight="251965440" behindDoc="0" locked="0" layoutInCell="1" allowOverlap="1" wp14:anchorId="4FF20497" wp14:editId="3B790D79">
                <wp:simplePos x="0" y="0"/>
                <wp:positionH relativeFrom="page">
                  <wp:posOffset>616438</wp:posOffset>
                </wp:positionH>
                <wp:positionV relativeFrom="paragraph">
                  <wp:posOffset>1086692</wp:posOffset>
                </wp:positionV>
                <wp:extent cx="6262370" cy="2253615"/>
                <wp:effectExtent l="0" t="0" r="5080" b="0"/>
                <wp:wrapTopAndBottom/>
                <wp:docPr id="11" name="Text Box 11" descr="A breakout box containing the text, 'Decriminalisation is not legalisation. Drugs that are currently illicit in Tasmania would remain so. But their possession and personal use would attract fines and treatment orders, rather than convictions and incarceration.'"/>
                <wp:cNvGraphicFramePr/>
                <a:graphic xmlns:a="http://schemas.openxmlformats.org/drawingml/2006/main">
                  <a:graphicData uri="http://schemas.microsoft.com/office/word/2010/wordprocessingShape">
                    <wps:wsp>
                      <wps:cNvSpPr txBox="1"/>
                      <wps:spPr>
                        <a:xfrm>
                          <a:off x="0" y="0"/>
                          <a:ext cx="6262370" cy="2253615"/>
                        </a:xfrm>
                        <a:prstGeom prst="rect">
                          <a:avLst/>
                        </a:prstGeom>
                        <a:solidFill>
                          <a:srgbClr val="1598CB"/>
                        </a:solidFill>
                        <a:ln w="6350">
                          <a:noFill/>
                        </a:ln>
                      </wps:spPr>
                      <wps:txbx>
                        <w:txbxContent>
                          <w:p w14:paraId="47FBE7E4" w14:textId="081F446A" w:rsidR="005A3B94" w:rsidRPr="00505BA2" w:rsidRDefault="005A3B94" w:rsidP="00505BA2">
                            <w:pPr>
                              <w:ind w:left="284" w:right="334"/>
                              <w:rPr>
                                <w:color w:val="1598CB"/>
                                <w:sz w:val="28"/>
                              </w:rPr>
                            </w:pPr>
                            <w:r w:rsidRPr="00505BA2">
                              <w:rPr>
                                <w:color w:val="FFFFFF" w:themeColor="background1"/>
                                <w:sz w:val="28"/>
                                <w:szCs w:val="24"/>
                              </w:rPr>
                              <w:t xml:space="preserve">Decriminalisation is </w:t>
                            </w:r>
                            <w:r w:rsidRPr="008258D3">
                              <w:rPr>
                                <w:i/>
                                <w:color w:val="FFFFFF" w:themeColor="background1"/>
                                <w:sz w:val="28"/>
                                <w:szCs w:val="24"/>
                              </w:rPr>
                              <w:t>not</w:t>
                            </w:r>
                            <w:r w:rsidRPr="00505BA2">
                              <w:rPr>
                                <w:color w:val="FFFFFF" w:themeColor="background1"/>
                                <w:sz w:val="28"/>
                                <w:szCs w:val="24"/>
                              </w:rPr>
                              <w:t xml:space="preserve"> legalisation. Drugs that are currently illicit in Tasmania would remain so. But their possession and personal use would attract fines and treatment orders, rather than convictions and incarceration.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20497" id="Text Box 11" o:spid="_x0000_s1033" type="#_x0000_t202" alt="A breakout box containing the text, 'Decriminalisation is not legalisation. Drugs that are currently illicit in Tasmania would remain so. But their possession and personal use would attract fines and treatment orders, rather than convictions and incarceration.'" style="position:absolute;margin-left:48.55pt;margin-top:85.55pt;width:493.1pt;height:177.45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" fillcolor="#1598cb" stroked="f" strokeweight=".5pt">
                <v:textbox>
                  <w:txbxContent>
                    <w:p w14:paraId="47FBE7E4" w14:textId="081F446A" w:rsidR="005A3B94" w:rsidRPr="00505BA2" w:rsidRDefault="005A3B94" w:rsidP="00505BA2">
                      <w:pPr>
                        <w:ind w:left="284" w:right="334"/>
                        <w:rPr>
                          <w:color w:val="1598CB"/>
                          <w:sz w:val="28"/>
                        </w:rPr>
                      </w:pPr>
                      <w:r w:rsidRPr="00505BA2">
                        <w:rPr>
                          <w:color w:val="FFFFFF" w:themeColor="background1"/>
                          <w:sz w:val="28"/>
                          <w:szCs w:val="24"/>
                        </w:rPr>
                        <w:t xml:space="preserve">Decriminalisation is </w:t>
                      </w:r>
                      <w:r w:rsidRPr="008258D3">
                        <w:rPr>
                          <w:i/>
                          <w:color w:val="FFFFFF" w:themeColor="background1"/>
                          <w:sz w:val="28"/>
                          <w:szCs w:val="24"/>
                        </w:rPr>
                        <w:t>not</w:t>
                      </w:r>
                      <w:r w:rsidRPr="00505BA2">
                        <w:rPr>
                          <w:color w:val="FFFFFF" w:themeColor="background1"/>
                          <w:sz w:val="28"/>
                          <w:szCs w:val="24"/>
                        </w:rPr>
                        <w:t xml:space="preserve"> legalisation. Drugs that are currently illicit in Tasmania would remain so. But their possession and personal use would attract fines and treatment orders, rather than convictions and incarceration.</w:t>
                      </w:r>
                    </w:p>
                  </w:txbxContent>
                </v:textbox>
                <w10:wrap type="topAndBottom" anchorx="page"/>
              </v:shape>
            </w:pict>
          </mc:Fallback>
        </mc:AlternateContent>
      </w:r>
      <w:r w:rsidR="00EE6299">
        <w:t xml:space="preserve">For the public health approach to work, we need decriminalisation—but decriminalisation nested in a web of supporting measures </w:t>
      </w:r>
      <w:r w:rsidR="00EE6299">
        <w:fldChar w:fldCharType="begin"/>
      </w:r>
      <w:r w:rsidR="00956746">
        <w:instrText xml:space="preserve"> ADDIN EN.CITE &lt;EndNote&gt;&lt;Cite&gt;&lt;Author&gt;Greer&lt;/Author&gt;&lt;Year&gt;2022&lt;/Year&gt;&lt;RecNum&gt;287&lt;/RecNum&gt;&lt;Prefix&gt;see &lt;/Prefix&gt;&lt;DisplayText&gt;[see 45]&lt;/DisplayText&gt;&lt;record&gt;&lt;rec-number&gt;287&lt;/rec-number&gt;&lt;foreign-keys&gt;&lt;key app="EN" db-id="5fz2fzfzg2w2x4efdz3xprvlzezfdv2spstv" timestamp="1681794090"&gt;287&lt;/key&gt;&lt;/foreign-keys&gt;&lt;ref-type name="Journal Article"&gt;17&lt;/ref-type&gt;&lt;contributors&gt;&lt;authors&gt;&lt;author&gt;Greer, Alissa&lt;/author&gt;&lt;author&gt;Bonn, Matt&lt;/author&gt;&lt;author&gt;Shane, Caitlin&lt;/author&gt;&lt;author&gt;Stevens, Alex&lt;/author&gt;&lt;author&gt;Tousenard, Natasha&lt;/author&gt;&lt;author&gt;Ritter, Alison&lt;/author&gt;&lt;/authors&gt;&lt;/contributors&gt;&lt;titles&gt;&lt;title&gt;The details of decriminalization: Designing a non-criminal response to the possession of drugs for personal use&lt;/title&gt;&lt;secondary-title&gt;International Journal of Drug Policy&lt;/secondary-title&gt;&lt;/titles&gt;&lt;periodical&gt;&lt;full-title&gt;International Journal of Drug Policy&lt;/full-title&gt;&lt;/periodical&gt;&lt;volume&gt;102&lt;/volume&gt;&lt;section&gt;103605&lt;/section&gt;&lt;keywords&gt;&lt;keyword&gt;DecriminalizationDepenalizationDiversionDrug possessionDrug policyPolicy reformLegal framework&lt;/keyword&gt;&lt;/keywords&gt;&lt;dates&gt;&lt;year&gt;2022&lt;/year&gt;&lt;/dates&gt;&lt;isbn&gt;09553959&lt;/isbn&gt;&lt;label&gt;Decriminalisation&lt;/label&gt;&lt;urls&gt;&lt;/urls&gt;&lt;electronic-resource-num&gt;10.1016/j.drugpo.2022.103605&lt;/electronic-resource-num&gt;&lt;/record&gt;&lt;/Cite&gt;&lt;/EndNote&gt;</w:instrText>
      </w:r>
      <w:r w:rsidR="00EE6299">
        <w:fldChar w:fldCharType="separate"/>
      </w:r>
      <w:r w:rsidR="00956746">
        <w:rPr>
          <w:noProof/>
        </w:rPr>
        <w:t>[see 45]</w:t>
      </w:r>
      <w:r w:rsidR="00EE6299">
        <w:fldChar w:fldCharType="end"/>
      </w:r>
      <w:r w:rsidR="00EE6299">
        <w:t xml:space="preserve">. The evidence for </w:t>
      </w:r>
      <w:r w:rsidR="0077349A">
        <w:t>Anglicare’s proposed</w:t>
      </w:r>
      <w:r w:rsidR="00EE6299">
        <w:t xml:space="preserve"> approach is provided in the next section.</w:t>
      </w:r>
    </w:p>
    <w:p w14:paraId="134E3AFE" w14:textId="14CCDE1A" w:rsidR="006403F1" w:rsidRDefault="006403F1" w:rsidP="005A3B94"/>
    <w:p w14:paraId="4839A52A" w14:textId="10AC9BB7" w:rsidR="000C7701" w:rsidRDefault="000A5C71" w:rsidP="006D1DB3">
      <w:pPr>
        <w:pStyle w:val="Heading2"/>
      </w:pPr>
      <w:bookmarkStart w:id="19" w:name="_Toc136851461"/>
      <w:r>
        <w:t xml:space="preserve">Our recommended </w:t>
      </w:r>
      <w:r w:rsidR="000C7701">
        <w:t>approach</w:t>
      </w:r>
      <w:r>
        <w:t xml:space="preserve"> </w:t>
      </w:r>
      <w:r w:rsidR="000C7701">
        <w:t>addresses harms</w:t>
      </w:r>
      <w:bookmarkEnd w:id="19"/>
    </w:p>
    <w:p w14:paraId="66820F93" w14:textId="4A7728CA" w:rsidR="008E530A" w:rsidRDefault="00E95DAA" w:rsidP="00E95DAA">
      <w:pPr>
        <w:sectPr w:rsidR="008E530A" w:rsidSect="007564E2">
          <w:pgSz w:w="11910" w:h="16840"/>
          <w:pgMar w:top="1542" w:right="1559" w:bottom="1247" w:left="992" w:header="720" w:footer="720" w:gutter="0"/>
          <w:cols w:space="720"/>
        </w:sectPr>
      </w:pPr>
      <w:bookmarkStart w:id="20" w:name="_Hlk132715648"/>
      <w:r>
        <w:t xml:space="preserve">The National Drug Strategy categorises the harms of drug use as health, social and economic harms. These </w:t>
      </w:r>
      <w:r w:rsidR="004A7A3A">
        <w:t>can be mapped</w:t>
      </w:r>
      <w:r>
        <w:t xml:space="preserve"> to </w:t>
      </w:r>
      <w:r w:rsidR="00F77EC3">
        <w:t>the</w:t>
      </w:r>
      <w:r w:rsidR="005F264C">
        <w:t xml:space="preserve"> </w:t>
      </w:r>
      <w:r w:rsidR="00F77EC3">
        <w:t xml:space="preserve">physical, psychological and social/societal harms </w:t>
      </w:r>
      <w:r w:rsidR="005F264C">
        <w:t xml:space="preserve">provided in </w:t>
      </w:r>
      <w:r w:rsidR="005F264C" w:rsidRPr="00AF0390">
        <w:t>Table 1</w:t>
      </w:r>
      <w:r w:rsidR="00AF0390" w:rsidRPr="00AF0390">
        <w:t>.</w:t>
      </w:r>
    </w:p>
    <w:p w14:paraId="5C015F03" w14:textId="58649982" w:rsidR="000A5C71" w:rsidRPr="00E95DAA" w:rsidRDefault="000A5C71" w:rsidP="00080523">
      <w:pPr>
        <w:pStyle w:val="Captions"/>
      </w:pPr>
      <w:r>
        <w:t xml:space="preserve">Table </w:t>
      </w:r>
      <w:r w:rsidR="00A9318B">
        <w:t>2</w:t>
      </w:r>
      <w:r>
        <w:t>: Impact of recommendations on harms in the National Drug Strategy</w:t>
      </w:r>
    </w:p>
    <w:tbl>
      <w:tblPr>
        <w:tblStyle w:val="PlainTable2"/>
        <w:tblW w:w="10211" w:type="dxa"/>
        <w:tblInd w:w="-5" w:type="dxa"/>
        <w:tblLook w:val="04A0" w:firstRow="1" w:lastRow="0" w:firstColumn="1" w:lastColumn="0" w:noHBand="0" w:noVBand="1"/>
        <w:tblCaption w:val="Table 2: Impact of recommendations on harms in the National Drug Strategy"/>
        <w:tblDescription w:val="This table summarises the impacts of the recommendations on harms as classified in the National Drug Strategy. Health harms from illicit drug use include&#10;• injury and overdose&#10;• chronic conditions and preventable diseases&#10;• mental health conditions and psychological distress&#10;• road trauma&#10;The recommendations address these health harms by&#10;• improving accessibility of medical treatment, including removing fear of conviction, and of stigma and discrimination as barriers to seeking help.  &#10;• decreasing stigma and discrimination overall and its impact on inclusion, mental wellbeing and help-seeking&#10;• reducing drug overdoses (fatal and non-fatal) by enabling safer environment and practices for people using drugs&#10;• decreasing levels of anxiety and depression associated with interactions with the criminal justice system&#10;• decreasing drug dependence by increasing use of treatment and support services&#10;• decreasing moral injury experienced as a result of perpetrating, failing to prevent, bearing witness to, or learning about acts that transgress deeply held moral beliefs and expectations&#10;Social harms from illicit drug use include&#10;• violence and other crime&#10;• engagement with the criminal justice system&#10;• contribution to domestic and family violence&#10;• unhealthy childhood development &amp; trauma&#10;• intergenerational trauma&#10;• child protection issues&#10;• child/family wellbeing&#10;The recommendations address violence and other crime by:&#10;• decreasing the total number of criminal offences by decriminalizing minor offences &#10;• minimising potential increased future engagement in other criminal activity associated with incarceration&#10;• decreasing violence through increased effectiveness—and reach—of drug treatment and support programs&#10;• preventing crime perpetrated to avoid conviction for minor drug offences&#10;The recommendations address engagement with the criminal justice system by&#10;• reducing the engagement of people using drugs with the criminal justice system&#10;• improving compliance with penalties and reinforcement of the rule of law&#10;The recommendations address the contribution of illicit drug use to domestic and family violence by&#10;• improving engagement of drug users with treatment and supports &#10;• increasing the likelihood of perpetrators and victim survivors seeking help, and the likelihood of victim survivors escaping from a violent situation by removing the fear of conviction&#10;The recommendations address the impacts on child and family wellbeing by&#10;• avoiding impacts of conviction or incarceration of parents on family cohesion&#10;• improved treatment and supports for parents using drugs &#10;• consequential improvements in social determinants of health&#10;• preventing problematic drug use by children through improved social determinants of health and reduced experience of trauma&#10;• increasing opportunities for restoration of beneficial community relationships&#10;Economic harms from illicit drug use include&#10;• healthcare and law enforcement costs&#10;• decreased productivity&#10;• associated criminal activity&#10;• reinforcement of marginalisation and disadvantage&#10;The recommendations address the economic costs by&#10;• reducing health care costs mainly due to prevention, earlier intervention and treatment&#10;• increasing cost effectiveness of support programs through increased engagement&#10;• reducing criminal justice system costs, including costs of enforcement, court costs and costs of incarceration&#10;• reducing death and disability as a result of drug use &#10;• decreasing lost productivity due to incarceration and drug-related disability or illness&#10;• preventing the impacts of convictions on future employability&#10;• decreasing the total number of criminal offences by decriminalising minor offences&#10;• reducing the increased future engagement in other criminal activity associated with incarceration&#10;• preventing crime perpetrated to avoid conviction for minor drug offences &#10;• reducing the consequential personal and property costs of crime&#10;• preventing the amplification of disadvantage resulting from criminal conviction and incarceration of a parent&#10;• reducing stigma and marginalisation of drug users&#10;• reducing intergenerational harm by improving the social determinants of health——childhood experiences, housing, education, social supports, family income, meaningful employment, communities and access to health services.&#10;"/>
      </w:tblPr>
      <w:tblGrid>
        <w:gridCol w:w="3124"/>
        <w:gridCol w:w="7087"/>
      </w:tblGrid>
      <w:tr w:rsidR="005A4315" w14:paraId="0F42094B" w14:textId="77777777" w:rsidTr="007F6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4" w:type="dxa"/>
            <w:tcBorders>
              <w:top w:val="single" w:sz="4" w:space="0" w:color="auto"/>
              <w:left w:val="nil"/>
              <w:bottom w:val="single" w:sz="4" w:space="0" w:color="auto"/>
              <w:right w:val="nil"/>
            </w:tcBorders>
            <w:shd w:val="clear" w:color="auto" w:fill="E6E3D9"/>
          </w:tcPr>
          <w:p w14:paraId="3BA6F073" w14:textId="77777777" w:rsidR="005A4315" w:rsidRPr="00A65F3A" w:rsidRDefault="005A4315" w:rsidP="00080523">
            <w:pPr>
              <w:pStyle w:val="TableParagraph"/>
              <w:spacing w:before="60" w:after="60"/>
            </w:pPr>
            <w:bookmarkStart w:id="21" w:name="_Hlk132715205"/>
            <w:bookmarkEnd w:id="20"/>
            <w:r>
              <w:t>Types of harm</w:t>
            </w:r>
          </w:p>
        </w:tc>
        <w:tc>
          <w:tcPr>
            <w:tcW w:w="7087" w:type="dxa"/>
            <w:tcBorders>
              <w:top w:val="single" w:sz="4" w:space="0" w:color="auto"/>
              <w:left w:val="nil"/>
              <w:bottom w:val="single" w:sz="4" w:space="0" w:color="auto"/>
              <w:right w:val="nil"/>
            </w:tcBorders>
            <w:shd w:val="clear" w:color="auto" w:fill="E6E3D9"/>
          </w:tcPr>
          <w:p w14:paraId="0E633702" w14:textId="77777777" w:rsidR="005A4315" w:rsidRPr="00A65F3A" w:rsidRDefault="005A4315" w:rsidP="00080523">
            <w:pPr>
              <w:pStyle w:val="TableParagraph"/>
              <w:spacing w:before="60" w:after="60"/>
              <w:cnfStyle w:val="100000000000" w:firstRow="1" w:lastRow="0" w:firstColumn="0" w:lastColumn="0" w:oddVBand="0" w:evenVBand="0" w:oddHBand="0" w:evenHBand="0" w:firstRowFirstColumn="0" w:firstRowLastColumn="0" w:lastRowFirstColumn="0" w:lastRowLastColumn="0"/>
            </w:pPr>
            <w:r>
              <w:t xml:space="preserve">Recommendations address harm </w:t>
            </w:r>
            <w:r w:rsidRPr="00A65F3A">
              <w:t>by</w:t>
            </w:r>
          </w:p>
        </w:tc>
      </w:tr>
      <w:tr w:rsidR="005A4315" w14:paraId="0C4BFBCD" w14:textId="77777777" w:rsidTr="007F666E">
        <w:trPr>
          <w:cnfStyle w:val="000000100000" w:firstRow="0" w:lastRow="0" w:firstColumn="0" w:lastColumn="0" w:oddVBand="0" w:evenVBand="0" w:oddHBand="1" w:evenHBand="0" w:firstRowFirstColumn="0" w:firstRowLastColumn="0" w:lastRowFirstColumn="0" w:lastRowLastColumn="0"/>
          <w:trHeight w:val="2779"/>
        </w:trPr>
        <w:tc>
          <w:tcPr>
            <w:cnfStyle w:val="001000000000" w:firstRow="0" w:lastRow="0" w:firstColumn="1" w:lastColumn="0" w:oddVBand="0" w:evenVBand="0" w:oddHBand="0" w:evenHBand="0" w:firstRowFirstColumn="0" w:firstRowLastColumn="0" w:lastRowFirstColumn="0" w:lastRowLastColumn="0"/>
            <w:tcW w:w="3124" w:type="dxa"/>
            <w:tcBorders>
              <w:top w:val="single" w:sz="4" w:space="0" w:color="auto"/>
              <w:left w:val="nil"/>
              <w:bottom w:val="single" w:sz="4" w:space="0" w:color="auto"/>
              <w:right w:val="nil"/>
            </w:tcBorders>
          </w:tcPr>
          <w:p w14:paraId="736B333F" w14:textId="77777777" w:rsidR="005A4315" w:rsidRPr="00A65F3A" w:rsidRDefault="005A4315" w:rsidP="00080523">
            <w:pPr>
              <w:pStyle w:val="TableParagraph"/>
              <w:spacing w:before="60" w:after="60"/>
              <w:rPr>
                <w:bCs w:val="0"/>
              </w:rPr>
            </w:pPr>
            <w:r w:rsidRPr="00FA652C">
              <w:rPr>
                <w:bCs w:val="0"/>
              </w:rPr>
              <w:t>Health</w:t>
            </w:r>
          </w:p>
          <w:p w14:paraId="7299F025" w14:textId="77777777" w:rsidR="005A4315" w:rsidRPr="00273A48" w:rsidRDefault="005A4315" w:rsidP="00080523">
            <w:pPr>
              <w:pStyle w:val="TableParagraph"/>
              <w:numPr>
                <w:ilvl w:val="0"/>
                <w:numId w:val="40"/>
              </w:numPr>
              <w:spacing w:before="60" w:after="60"/>
              <w:rPr>
                <w:b w:val="0"/>
                <w:bCs w:val="0"/>
              </w:rPr>
            </w:pPr>
            <w:bookmarkStart w:id="22" w:name="_Hlk133843904"/>
            <w:r w:rsidRPr="00273A48">
              <w:rPr>
                <w:b w:val="0"/>
              </w:rPr>
              <w:t>injury and overdose</w:t>
            </w:r>
          </w:p>
          <w:p w14:paraId="169EA9D0" w14:textId="77777777" w:rsidR="005A4315" w:rsidRPr="00273A48" w:rsidRDefault="005A4315" w:rsidP="00080523">
            <w:pPr>
              <w:pStyle w:val="TableParagraph"/>
              <w:numPr>
                <w:ilvl w:val="0"/>
                <w:numId w:val="40"/>
              </w:numPr>
              <w:spacing w:before="60" w:after="60"/>
              <w:rPr>
                <w:b w:val="0"/>
                <w:bCs w:val="0"/>
              </w:rPr>
            </w:pPr>
            <w:r w:rsidRPr="00273A48">
              <w:rPr>
                <w:b w:val="0"/>
              </w:rPr>
              <w:t>chronic conditions and preventable diseases</w:t>
            </w:r>
          </w:p>
          <w:p w14:paraId="5FE55977" w14:textId="77777777" w:rsidR="005A4315" w:rsidRPr="00273A48" w:rsidRDefault="005A4315" w:rsidP="00080523">
            <w:pPr>
              <w:pStyle w:val="TableParagraph"/>
              <w:numPr>
                <w:ilvl w:val="0"/>
                <w:numId w:val="40"/>
              </w:numPr>
              <w:spacing w:before="60" w:after="60"/>
              <w:rPr>
                <w:b w:val="0"/>
                <w:bCs w:val="0"/>
              </w:rPr>
            </w:pPr>
            <w:r w:rsidRPr="00273A48">
              <w:rPr>
                <w:b w:val="0"/>
              </w:rPr>
              <w:t>mental health conditions and psychological distress</w:t>
            </w:r>
          </w:p>
          <w:p w14:paraId="7CA62050" w14:textId="77777777" w:rsidR="005A4315" w:rsidRPr="00FA652C" w:rsidRDefault="005A4315" w:rsidP="00080523">
            <w:pPr>
              <w:pStyle w:val="TableParagraph"/>
              <w:numPr>
                <w:ilvl w:val="0"/>
                <w:numId w:val="40"/>
              </w:numPr>
              <w:spacing w:before="60" w:after="60"/>
              <w:rPr>
                <w:b w:val="0"/>
              </w:rPr>
            </w:pPr>
            <w:r w:rsidRPr="00273A48">
              <w:rPr>
                <w:b w:val="0"/>
              </w:rPr>
              <w:t>road trauma</w:t>
            </w:r>
            <w:bookmarkEnd w:id="22"/>
          </w:p>
        </w:tc>
        <w:tc>
          <w:tcPr>
            <w:tcW w:w="7087" w:type="dxa"/>
            <w:tcBorders>
              <w:top w:val="single" w:sz="4" w:space="0" w:color="auto"/>
              <w:left w:val="nil"/>
              <w:bottom w:val="single" w:sz="4" w:space="0" w:color="auto"/>
              <w:right w:val="nil"/>
            </w:tcBorders>
          </w:tcPr>
          <w:p w14:paraId="0C32A775" w14:textId="466F6DE1" w:rsidR="005A4315" w:rsidRDefault="005A4315" w:rsidP="00080523">
            <w:pPr>
              <w:pStyle w:val="TableParagraph"/>
              <w:numPr>
                <w:ilvl w:val="0"/>
                <w:numId w:val="35"/>
              </w:numPr>
              <w:spacing w:before="60" w:after="60"/>
              <w:ind w:left="357" w:hanging="357"/>
              <w:contextualSpacing/>
              <w:cnfStyle w:val="000000100000" w:firstRow="0" w:lastRow="0" w:firstColumn="0" w:lastColumn="0" w:oddVBand="0" w:evenVBand="0" w:oddHBand="1" w:evenHBand="0" w:firstRowFirstColumn="0" w:firstRowLastColumn="0" w:lastRowFirstColumn="0" w:lastRowLastColumn="0"/>
            </w:pPr>
            <w:bookmarkStart w:id="23" w:name="_Hlk133843959"/>
            <w:r>
              <w:t>improving accessibility of medical treatment, including removing fear of conviction</w:t>
            </w:r>
            <w:r w:rsidR="004A7A3A">
              <w:t xml:space="preserve"> and stigma and discrimination </w:t>
            </w:r>
            <w:r>
              <w:t>as barrier</w:t>
            </w:r>
            <w:r w:rsidR="004A7A3A">
              <w:t>s</w:t>
            </w:r>
            <w:r>
              <w:t xml:space="preserve"> to seeking </w:t>
            </w:r>
            <w:r w:rsidR="00A9318B">
              <w:t>help.</w:t>
            </w:r>
            <w:r w:rsidR="00F603E6">
              <w:t xml:space="preserve"> </w:t>
            </w:r>
          </w:p>
          <w:p w14:paraId="0E4EF9DD" w14:textId="77777777" w:rsidR="005A4315" w:rsidRDefault="005A4315" w:rsidP="00080523">
            <w:pPr>
              <w:pStyle w:val="TableParagraph"/>
              <w:numPr>
                <w:ilvl w:val="0"/>
                <w:numId w:val="35"/>
              </w:numPr>
              <w:spacing w:before="60" w:after="60"/>
              <w:ind w:left="357" w:hanging="357"/>
              <w:contextualSpacing/>
              <w:cnfStyle w:val="000000100000" w:firstRow="0" w:lastRow="0" w:firstColumn="0" w:lastColumn="0" w:oddVBand="0" w:evenVBand="0" w:oddHBand="1" w:evenHBand="0" w:firstRowFirstColumn="0" w:firstRowLastColumn="0" w:lastRowFirstColumn="0" w:lastRowLastColumn="0"/>
            </w:pPr>
            <w:r>
              <w:t>decreasing stigma and discrimination</w:t>
            </w:r>
            <w:r w:rsidR="004A7A3A">
              <w:t xml:space="preserve"> overall and its impact on inclusion, mental wellbeing and help-seeking</w:t>
            </w:r>
          </w:p>
          <w:p w14:paraId="06D45C45" w14:textId="395F0EBE" w:rsidR="005A4315" w:rsidRDefault="005A4315" w:rsidP="00080523">
            <w:pPr>
              <w:pStyle w:val="TableParagraph"/>
              <w:numPr>
                <w:ilvl w:val="0"/>
                <w:numId w:val="35"/>
              </w:numPr>
              <w:spacing w:before="60" w:after="60"/>
              <w:ind w:left="357" w:hanging="357"/>
              <w:contextualSpacing/>
              <w:cnfStyle w:val="000000100000" w:firstRow="0" w:lastRow="0" w:firstColumn="0" w:lastColumn="0" w:oddVBand="0" w:evenVBand="0" w:oddHBand="1" w:evenHBand="0" w:firstRowFirstColumn="0" w:firstRowLastColumn="0" w:lastRowFirstColumn="0" w:lastRowLastColumn="0"/>
            </w:pPr>
            <w:r>
              <w:t>reducing drug overdoses (fatal and non-fatal) by enabling safer environment</w:t>
            </w:r>
            <w:r w:rsidR="004C3339">
              <w:t>s</w:t>
            </w:r>
            <w:r>
              <w:t xml:space="preserve"> and practices for people using drugs</w:t>
            </w:r>
          </w:p>
          <w:p w14:paraId="1BE47366" w14:textId="77777777" w:rsidR="005A4315" w:rsidRDefault="005A4315" w:rsidP="00080523">
            <w:pPr>
              <w:pStyle w:val="TableParagraph"/>
              <w:numPr>
                <w:ilvl w:val="0"/>
                <w:numId w:val="35"/>
              </w:numPr>
              <w:spacing w:before="60" w:after="60"/>
              <w:ind w:left="357" w:hanging="357"/>
              <w:contextualSpacing/>
              <w:cnfStyle w:val="000000100000" w:firstRow="0" w:lastRow="0" w:firstColumn="0" w:lastColumn="0" w:oddVBand="0" w:evenVBand="0" w:oddHBand="1" w:evenHBand="0" w:firstRowFirstColumn="0" w:firstRowLastColumn="0" w:lastRowFirstColumn="0" w:lastRowLastColumn="0"/>
            </w:pPr>
            <w:r>
              <w:t>decreasing levels of anxiety and depression associated with interactions with the criminal justice system</w:t>
            </w:r>
          </w:p>
          <w:p w14:paraId="262BC99A" w14:textId="77777777" w:rsidR="005A4315" w:rsidRDefault="005A4315" w:rsidP="00080523">
            <w:pPr>
              <w:pStyle w:val="TableParagraph"/>
              <w:numPr>
                <w:ilvl w:val="0"/>
                <w:numId w:val="35"/>
              </w:numPr>
              <w:spacing w:before="60" w:after="60"/>
              <w:ind w:left="357" w:hanging="357"/>
              <w:contextualSpacing/>
              <w:cnfStyle w:val="000000100000" w:firstRow="0" w:lastRow="0" w:firstColumn="0" w:lastColumn="0" w:oddVBand="0" w:evenVBand="0" w:oddHBand="1" w:evenHBand="0" w:firstRowFirstColumn="0" w:firstRowLastColumn="0" w:lastRowFirstColumn="0" w:lastRowLastColumn="0"/>
            </w:pPr>
            <w:r>
              <w:t>decreasing drug dependence by increasing use of treatment and support services</w:t>
            </w:r>
          </w:p>
          <w:p w14:paraId="78E1DF99" w14:textId="77777777" w:rsidR="005A4315" w:rsidRDefault="005A4315" w:rsidP="00080523">
            <w:pPr>
              <w:pStyle w:val="TableParagraph"/>
              <w:numPr>
                <w:ilvl w:val="0"/>
                <w:numId w:val="35"/>
              </w:numPr>
              <w:spacing w:before="60" w:after="60"/>
              <w:ind w:left="357" w:hanging="357"/>
              <w:contextualSpacing/>
              <w:cnfStyle w:val="000000100000" w:firstRow="0" w:lastRow="0" w:firstColumn="0" w:lastColumn="0" w:oddVBand="0" w:evenVBand="0" w:oddHBand="1" w:evenHBand="0" w:firstRowFirstColumn="0" w:firstRowLastColumn="0" w:lastRowFirstColumn="0" w:lastRowLastColumn="0"/>
            </w:pPr>
            <w:r>
              <w:t>decreasing moral injury experienced as a result of perpetrating, failing</w:t>
            </w:r>
            <w:r w:rsidRPr="00632A4B">
              <w:t xml:space="preserve"> to prevent, bearing witness to, or learning about acts</w:t>
            </w:r>
            <w:r>
              <w:t xml:space="preserve"> </w:t>
            </w:r>
            <w:r w:rsidRPr="007C641A">
              <w:rPr>
                <w:szCs w:val="20"/>
              </w:rPr>
              <w:t>that transgress deeply held moral beliefs and expectations</w:t>
            </w:r>
            <w:r>
              <w:t xml:space="preserve"> </w:t>
            </w:r>
            <w:bookmarkEnd w:id="23"/>
          </w:p>
        </w:tc>
      </w:tr>
      <w:tr w:rsidR="005A4315" w14:paraId="746F1119" w14:textId="77777777" w:rsidTr="007F666E">
        <w:trPr>
          <w:trHeight w:val="1458"/>
        </w:trPr>
        <w:tc>
          <w:tcPr>
            <w:cnfStyle w:val="001000000000" w:firstRow="0" w:lastRow="0" w:firstColumn="1" w:lastColumn="0" w:oddVBand="0" w:evenVBand="0" w:oddHBand="0" w:evenHBand="0" w:firstRowFirstColumn="0" w:firstRowLastColumn="0" w:lastRowFirstColumn="0" w:lastRowLastColumn="0"/>
            <w:tcW w:w="3124" w:type="dxa"/>
            <w:tcBorders>
              <w:top w:val="single" w:sz="4" w:space="0" w:color="auto"/>
              <w:left w:val="nil"/>
              <w:bottom w:val="nil"/>
            </w:tcBorders>
            <w:shd w:val="clear" w:color="auto" w:fill="auto"/>
          </w:tcPr>
          <w:p w14:paraId="5A07ADD4" w14:textId="77777777" w:rsidR="005A4315" w:rsidRPr="00A65F3A" w:rsidRDefault="005A4315" w:rsidP="00080523">
            <w:pPr>
              <w:pStyle w:val="TableParagraph"/>
              <w:spacing w:before="60" w:after="60"/>
              <w:rPr>
                <w:b w:val="0"/>
                <w:bCs w:val="0"/>
              </w:rPr>
            </w:pPr>
            <w:bookmarkStart w:id="24" w:name="_Hlk133844001"/>
            <w:r w:rsidRPr="00A65F3A">
              <w:t>Social</w:t>
            </w:r>
            <w:r w:rsidRPr="00FA652C">
              <w:t xml:space="preserve"> </w:t>
            </w:r>
          </w:p>
          <w:p w14:paraId="73A48D5B" w14:textId="77777777" w:rsidR="005A4315" w:rsidRPr="00A65F3A" w:rsidRDefault="005A4315" w:rsidP="00080523">
            <w:pPr>
              <w:pStyle w:val="TableParagraph"/>
              <w:numPr>
                <w:ilvl w:val="0"/>
                <w:numId w:val="41"/>
              </w:numPr>
              <w:spacing w:before="60" w:after="60"/>
            </w:pPr>
            <w:bookmarkStart w:id="25" w:name="_Hlk133844011"/>
            <w:r w:rsidRPr="00FA652C">
              <w:rPr>
                <w:b w:val="0"/>
              </w:rPr>
              <w:t>violence and other crime</w:t>
            </w:r>
            <w:bookmarkEnd w:id="25"/>
          </w:p>
        </w:tc>
        <w:tc>
          <w:tcPr>
            <w:tcW w:w="7087" w:type="dxa"/>
            <w:tcBorders>
              <w:top w:val="single" w:sz="4" w:space="0" w:color="auto"/>
              <w:bottom w:val="nil"/>
              <w:right w:val="nil"/>
            </w:tcBorders>
            <w:shd w:val="clear" w:color="auto" w:fill="auto"/>
          </w:tcPr>
          <w:p w14:paraId="0ACFD91E" w14:textId="3BD7281B" w:rsidR="005A4315" w:rsidRDefault="005A4315" w:rsidP="00080523">
            <w:pPr>
              <w:pStyle w:val="TableParagraph"/>
              <w:numPr>
                <w:ilvl w:val="0"/>
                <w:numId w:val="36"/>
              </w:numPr>
              <w:spacing w:before="60" w:after="60"/>
              <w:ind w:hanging="357"/>
              <w:contextualSpacing/>
              <w:cnfStyle w:val="000000000000" w:firstRow="0" w:lastRow="0" w:firstColumn="0" w:lastColumn="0" w:oddVBand="0" w:evenVBand="0" w:oddHBand="0" w:evenHBand="0" w:firstRowFirstColumn="0" w:firstRowLastColumn="0" w:lastRowFirstColumn="0" w:lastRowLastColumn="0"/>
            </w:pPr>
            <w:bookmarkStart w:id="26" w:name="_Hlk133844140"/>
            <w:r>
              <w:t>decreasing the total number of criminal offences by decriminali</w:t>
            </w:r>
            <w:r w:rsidR="0023696E">
              <w:t>s</w:t>
            </w:r>
            <w:r>
              <w:t xml:space="preserve">ing minor offences </w:t>
            </w:r>
          </w:p>
          <w:p w14:paraId="62C90D84" w14:textId="664D508B" w:rsidR="005A4315" w:rsidRDefault="004A7A3A" w:rsidP="00080523">
            <w:pPr>
              <w:pStyle w:val="TableParagraph"/>
              <w:numPr>
                <w:ilvl w:val="0"/>
                <w:numId w:val="36"/>
              </w:numPr>
              <w:spacing w:before="60" w:after="60"/>
              <w:ind w:hanging="357"/>
              <w:contextualSpacing/>
              <w:cnfStyle w:val="000000000000" w:firstRow="0" w:lastRow="0" w:firstColumn="0" w:lastColumn="0" w:oddVBand="0" w:evenVBand="0" w:oddHBand="0" w:evenHBand="0" w:firstRowFirstColumn="0" w:firstRowLastColumn="0" w:lastRowFirstColumn="0" w:lastRowLastColumn="0"/>
            </w:pPr>
            <w:r>
              <w:t>minimising</w:t>
            </w:r>
            <w:r w:rsidR="005A4315">
              <w:t xml:space="preserve"> </w:t>
            </w:r>
            <w:r>
              <w:t>potential</w:t>
            </w:r>
            <w:r w:rsidR="005A4315">
              <w:t xml:space="preserve"> increased future engagement in other criminal activity associated with incarceration</w:t>
            </w:r>
          </w:p>
          <w:p w14:paraId="561874F1" w14:textId="1D8C98B0" w:rsidR="005A4315" w:rsidRDefault="005A4315" w:rsidP="00080523">
            <w:pPr>
              <w:pStyle w:val="TableParagraph"/>
              <w:numPr>
                <w:ilvl w:val="0"/>
                <w:numId w:val="36"/>
              </w:numPr>
              <w:spacing w:before="60" w:after="60"/>
              <w:ind w:hanging="357"/>
              <w:contextualSpacing/>
              <w:cnfStyle w:val="000000000000" w:firstRow="0" w:lastRow="0" w:firstColumn="0" w:lastColumn="0" w:oddVBand="0" w:evenVBand="0" w:oddHBand="0" w:evenHBand="0" w:firstRowFirstColumn="0" w:firstRowLastColumn="0" w:lastRowFirstColumn="0" w:lastRowLastColumn="0"/>
            </w:pPr>
            <w:r>
              <w:t>decreasing violence through increased effectiveness</w:t>
            </w:r>
            <w:r w:rsidR="0023696E">
              <w:t xml:space="preserve"> </w:t>
            </w:r>
            <w:r w:rsidR="004A7A3A">
              <w:t>and reach</w:t>
            </w:r>
            <w:r w:rsidR="0023696E">
              <w:t xml:space="preserve"> </w:t>
            </w:r>
            <w:r>
              <w:t>of drug treatment and support programs</w:t>
            </w:r>
          </w:p>
          <w:p w14:paraId="034B224A" w14:textId="77777777" w:rsidR="005A4315" w:rsidRPr="00FA652C" w:rsidRDefault="005A4315" w:rsidP="00080523">
            <w:pPr>
              <w:pStyle w:val="TableParagraph"/>
              <w:numPr>
                <w:ilvl w:val="0"/>
                <w:numId w:val="36"/>
              </w:numPr>
              <w:spacing w:before="60" w:after="60"/>
              <w:ind w:hanging="357"/>
              <w:contextualSpacing/>
              <w:cnfStyle w:val="000000000000" w:firstRow="0" w:lastRow="0" w:firstColumn="0" w:lastColumn="0" w:oddVBand="0" w:evenVBand="0" w:oddHBand="0" w:evenHBand="0" w:firstRowFirstColumn="0" w:firstRowLastColumn="0" w:lastRowFirstColumn="0" w:lastRowLastColumn="0"/>
              <w:rPr>
                <w:b/>
              </w:rPr>
            </w:pPr>
            <w:r>
              <w:t xml:space="preserve">preventing crime perpetrated to avoid conviction for minor drug offences </w:t>
            </w:r>
            <w:bookmarkEnd w:id="26"/>
          </w:p>
        </w:tc>
      </w:tr>
      <w:tr w:rsidR="005A4315" w14:paraId="572AC868" w14:textId="77777777" w:rsidTr="007F666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124" w:type="dxa"/>
            <w:tcBorders>
              <w:top w:val="nil"/>
              <w:left w:val="nil"/>
              <w:bottom w:val="nil"/>
            </w:tcBorders>
          </w:tcPr>
          <w:p w14:paraId="63EFF055" w14:textId="77777777" w:rsidR="005A4315" w:rsidRPr="00FA652C" w:rsidRDefault="005A4315" w:rsidP="00080523">
            <w:pPr>
              <w:pStyle w:val="TableParagraph"/>
              <w:numPr>
                <w:ilvl w:val="0"/>
                <w:numId w:val="41"/>
              </w:numPr>
              <w:spacing w:before="0" w:after="0"/>
              <w:ind w:left="357" w:hanging="357"/>
              <w:contextualSpacing/>
              <w:rPr>
                <w:b w:val="0"/>
              </w:rPr>
            </w:pPr>
            <w:bookmarkStart w:id="27" w:name="_Hlk133844036"/>
            <w:r w:rsidRPr="00FA652C">
              <w:rPr>
                <w:b w:val="0"/>
              </w:rPr>
              <w:t xml:space="preserve">engagement with the criminal justice system </w:t>
            </w:r>
            <w:bookmarkEnd w:id="27"/>
          </w:p>
        </w:tc>
        <w:tc>
          <w:tcPr>
            <w:tcW w:w="7087" w:type="dxa"/>
            <w:tcBorders>
              <w:top w:val="nil"/>
              <w:bottom w:val="nil"/>
              <w:right w:val="nil"/>
            </w:tcBorders>
          </w:tcPr>
          <w:p w14:paraId="06E3CE37" w14:textId="77777777" w:rsidR="005A4315" w:rsidRDefault="005A4315" w:rsidP="00080523">
            <w:pPr>
              <w:pStyle w:val="TableParagraph"/>
              <w:numPr>
                <w:ilvl w:val="0"/>
                <w:numId w:val="37"/>
              </w:numPr>
              <w:spacing w:before="60" w:after="60"/>
              <w:ind w:hanging="357"/>
              <w:contextualSpacing/>
              <w:cnfStyle w:val="000000100000" w:firstRow="0" w:lastRow="0" w:firstColumn="0" w:lastColumn="0" w:oddVBand="0" w:evenVBand="0" w:oddHBand="1" w:evenHBand="0" w:firstRowFirstColumn="0" w:firstRowLastColumn="0" w:lastRowFirstColumn="0" w:lastRowLastColumn="0"/>
            </w:pPr>
            <w:bookmarkStart w:id="28" w:name="_Hlk133844221"/>
            <w:r>
              <w:t>reducing the engagement of people using drugs with the criminal justice system</w:t>
            </w:r>
          </w:p>
          <w:p w14:paraId="6C6AC595" w14:textId="77777777" w:rsidR="005A4315" w:rsidRDefault="005A4315" w:rsidP="00080523">
            <w:pPr>
              <w:pStyle w:val="TableParagraph"/>
              <w:numPr>
                <w:ilvl w:val="0"/>
                <w:numId w:val="37"/>
              </w:numPr>
              <w:spacing w:before="60" w:after="60"/>
              <w:ind w:hanging="357"/>
              <w:contextualSpacing/>
              <w:cnfStyle w:val="000000100000" w:firstRow="0" w:lastRow="0" w:firstColumn="0" w:lastColumn="0" w:oddVBand="0" w:evenVBand="0" w:oddHBand="1" w:evenHBand="0" w:firstRowFirstColumn="0" w:firstRowLastColumn="0" w:lastRowFirstColumn="0" w:lastRowLastColumn="0"/>
            </w:pPr>
            <w:r>
              <w:t>improving compliance with penalties and reinforcement of the rule of law</w:t>
            </w:r>
            <w:bookmarkEnd w:id="28"/>
          </w:p>
        </w:tc>
      </w:tr>
      <w:tr w:rsidR="005A4315" w14:paraId="5E864FF0" w14:textId="77777777" w:rsidTr="007F666E">
        <w:trPr>
          <w:trHeight w:val="750"/>
        </w:trPr>
        <w:tc>
          <w:tcPr>
            <w:cnfStyle w:val="001000000000" w:firstRow="0" w:lastRow="0" w:firstColumn="1" w:lastColumn="0" w:oddVBand="0" w:evenVBand="0" w:oddHBand="0" w:evenHBand="0" w:firstRowFirstColumn="0" w:firstRowLastColumn="0" w:lastRowFirstColumn="0" w:lastRowLastColumn="0"/>
            <w:tcW w:w="3124" w:type="dxa"/>
            <w:tcBorders>
              <w:top w:val="nil"/>
              <w:left w:val="nil"/>
              <w:bottom w:val="nil"/>
            </w:tcBorders>
          </w:tcPr>
          <w:p w14:paraId="1F57318C" w14:textId="77777777" w:rsidR="005A4315" w:rsidRPr="00FA652C" w:rsidRDefault="005A4315" w:rsidP="00080523">
            <w:pPr>
              <w:pStyle w:val="TableParagraph"/>
              <w:numPr>
                <w:ilvl w:val="0"/>
                <w:numId w:val="41"/>
              </w:numPr>
              <w:spacing w:before="0" w:after="0"/>
              <w:contextualSpacing/>
              <w:rPr>
                <w:b w:val="0"/>
              </w:rPr>
            </w:pPr>
            <w:bookmarkStart w:id="29" w:name="_Hlk133844051"/>
            <w:r w:rsidRPr="00FA652C">
              <w:rPr>
                <w:b w:val="0"/>
              </w:rPr>
              <w:t>contribution to domestic and family violence</w:t>
            </w:r>
            <w:bookmarkEnd w:id="29"/>
          </w:p>
        </w:tc>
        <w:tc>
          <w:tcPr>
            <w:tcW w:w="7087" w:type="dxa"/>
            <w:tcBorders>
              <w:top w:val="nil"/>
              <w:bottom w:val="nil"/>
              <w:right w:val="nil"/>
            </w:tcBorders>
          </w:tcPr>
          <w:p w14:paraId="6F1493AF" w14:textId="77777777" w:rsidR="005A4315" w:rsidRDefault="005A4315" w:rsidP="00080523">
            <w:pPr>
              <w:pStyle w:val="TableParagraph"/>
              <w:numPr>
                <w:ilvl w:val="0"/>
                <w:numId w:val="38"/>
              </w:numPr>
              <w:spacing w:before="60" w:after="60"/>
              <w:ind w:hanging="357"/>
              <w:contextualSpacing/>
              <w:cnfStyle w:val="000000000000" w:firstRow="0" w:lastRow="0" w:firstColumn="0" w:lastColumn="0" w:oddVBand="0" w:evenVBand="0" w:oddHBand="0" w:evenHBand="0" w:firstRowFirstColumn="0" w:firstRowLastColumn="0" w:lastRowFirstColumn="0" w:lastRowLastColumn="0"/>
            </w:pPr>
            <w:bookmarkStart w:id="30" w:name="_Hlk133844299"/>
            <w:r>
              <w:t xml:space="preserve">improving engagement of drug users with treatment and supports </w:t>
            </w:r>
          </w:p>
          <w:p w14:paraId="037299E3" w14:textId="34F9069C" w:rsidR="005A4315" w:rsidRDefault="005A4315" w:rsidP="00080523">
            <w:pPr>
              <w:pStyle w:val="TableParagraph"/>
              <w:numPr>
                <w:ilvl w:val="0"/>
                <w:numId w:val="38"/>
              </w:numPr>
              <w:spacing w:before="60" w:after="60"/>
              <w:ind w:hanging="357"/>
              <w:contextualSpacing/>
              <w:cnfStyle w:val="000000000000" w:firstRow="0" w:lastRow="0" w:firstColumn="0" w:lastColumn="0" w:oddVBand="0" w:evenVBand="0" w:oddHBand="0" w:evenHBand="0" w:firstRowFirstColumn="0" w:firstRowLastColumn="0" w:lastRowFirstColumn="0" w:lastRowLastColumn="0"/>
            </w:pPr>
            <w:r>
              <w:t>increasing the likelihood of perpetrators and victim survivors seeking help, and the likelihood of victim survivors escaping from a violent situation</w:t>
            </w:r>
            <w:r w:rsidR="0023696E">
              <w:t>,</w:t>
            </w:r>
            <w:r>
              <w:t xml:space="preserve"> by removing the fear of conviction</w:t>
            </w:r>
            <w:bookmarkEnd w:id="30"/>
          </w:p>
        </w:tc>
      </w:tr>
      <w:tr w:rsidR="005A4315" w14:paraId="32DF8515" w14:textId="77777777" w:rsidTr="007F666E">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3124" w:type="dxa"/>
            <w:tcBorders>
              <w:top w:val="nil"/>
              <w:left w:val="nil"/>
              <w:bottom w:val="single" w:sz="4" w:space="0" w:color="auto"/>
              <w:right w:val="nil"/>
            </w:tcBorders>
          </w:tcPr>
          <w:p w14:paraId="61B5860C" w14:textId="202E7C4B" w:rsidR="005A4315" w:rsidRPr="00A65F3A" w:rsidRDefault="005A4315" w:rsidP="00080523">
            <w:pPr>
              <w:pStyle w:val="TableParagraph"/>
              <w:numPr>
                <w:ilvl w:val="0"/>
                <w:numId w:val="41"/>
              </w:numPr>
              <w:spacing w:before="0" w:after="0"/>
              <w:ind w:left="357" w:hanging="357"/>
              <w:contextualSpacing/>
              <w:rPr>
                <w:bCs w:val="0"/>
              </w:rPr>
            </w:pPr>
            <w:bookmarkStart w:id="31" w:name="_Hlk133844067"/>
            <w:r w:rsidRPr="00FA652C">
              <w:rPr>
                <w:b w:val="0"/>
              </w:rPr>
              <w:t xml:space="preserve">unhealthy childhood development </w:t>
            </w:r>
            <w:r w:rsidR="008E530A">
              <w:rPr>
                <w:b w:val="0"/>
              </w:rPr>
              <w:t>&amp;</w:t>
            </w:r>
            <w:r w:rsidRPr="00FA652C">
              <w:rPr>
                <w:b w:val="0"/>
              </w:rPr>
              <w:t xml:space="preserve"> trauma</w:t>
            </w:r>
          </w:p>
          <w:p w14:paraId="0BE46EBA" w14:textId="77777777" w:rsidR="005A4315" w:rsidRPr="00A65F3A" w:rsidRDefault="005A4315" w:rsidP="00080523">
            <w:pPr>
              <w:pStyle w:val="TableParagraph"/>
              <w:numPr>
                <w:ilvl w:val="0"/>
                <w:numId w:val="41"/>
              </w:numPr>
              <w:spacing w:before="0" w:after="0"/>
              <w:ind w:left="357" w:hanging="357"/>
              <w:contextualSpacing/>
              <w:rPr>
                <w:bCs w:val="0"/>
              </w:rPr>
            </w:pPr>
            <w:r w:rsidRPr="00FA652C">
              <w:rPr>
                <w:b w:val="0"/>
              </w:rPr>
              <w:t>intergenerational trauma</w:t>
            </w:r>
          </w:p>
          <w:p w14:paraId="55788C6B" w14:textId="77777777" w:rsidR="005A4315" w:rsidRPr="00A65F3A" w:rsidRDefault="005A4315" w:rsidP="00080523">
            <w:pPr>
              <w:pStyle w:val="TableParagraph"/>
              <w:numPr>
                <w:ilvl w:val="0"/>
                <w:numId w:val="41"/>
              </w:numPr>
              <w:spacing w:before="0" w:after="0"/>
              <w:ind w:left="357" w:hanging="357"/>
              <w:contextualSpacing/>
              <w:rPr>
                <w:bCs w:val="0"/>
              </w:rPr>
            </w:pPr>
            <w:r w:rsidRPr="00FA652C">
              <w:rPr>
                <w:b w:val="0"/>
              </w:rPr>
              <w:t>child protection issues</w:t>
            </w:r>
          </w:p>
          <w:p w14:paraId="0CAFBD37" w14:textId="77777777" w:rsidR="005A4315" w:rsidRPr="00FA652C" w:rsidRDefault="005A4315" w:rsidP="00080523">
            <w:pPr>
              <w:pStyle w:val="TableParagraph"/>
              <w:numPr>
                <w:ilvl w:val="0"/>
                <w:numId w:val="41"/>
              </w:numPr>
              <w:spacing w:before="0" w:after="0"/>
              <w:ind w:left="357" w:hanging="357"/>
              <w:contextualSpacing/>
              <w:rPr>
                <w:b w:val="0"/>
              </w:rPr>
            </w:pPr>
            <w:r w:rsidRPr="00FA652C">
              <w:rPr>
                <w:b w:val="0"/>
              </w:rPr>
              <w:t>child/family wellbeing</w:t>
            </w:r>
            <w:bookmarkEnd w:id="31"/>
          </w:p>
        </w:tc>
        <w:tc>
          <w:tcPr>
            <w:tcW w:w="7087" w:type="dxa"/>
            <w:tcBorders>
              <w:top w:val="nil"/>
              <w:left w:val="nil"/>
              <w:bottom w:val="single" w:sz="4" w:space="0" w:color="auto"/>
              <w:right w:val="nil"/>
            </w:tcBorders>
          </w:tcPr>
          <w:p w14:paraId="4CFAA060" w14:textId="3262FC80" w:rsidR="005A4315" w:rsidRDefault="00741E39" w:rsidP="00080523">
            <w:pPr>
              <w:pStyle w:val="TableParagraph"/>
              <w:numPr>
                <w:ilvl w:val="0"/>
                <w:numId w:val="41"/>
              </w:numPr>
              <w:spacing w:before="60" w:after="60"/>
              <w:contextualSpacing/>
              <w:cnfStyle w:val="000000100000" w:firstRow="0" w:lastRow="0" w:firstColumn="0" w:lastColumn="0" w:oddVBand="0" w:evenVBand="0" w:oddHBand="1" w:evenHBand="0" w:firstRowFirstColumn="0" w:firstRowLastColumn="0" w:lastRowFirstColumn="0" w:lastRowLastColumn="0"/>
            </w:pPr>
            <w:bookmarkStart w:id="32" w:name="_Hlk133844431"/>
            <w:r>
              <w:t>a</w:t>
            </w:r>
            <w:r w:rsidR="005A4315">
              <w:t>voiding impacts of conviction or incarceration of parents on family cohesion</w:t>
            </w:r>
          </w:p>
          <w:p w14:paraId="45E761F5" w14:textId="1A7D7745" w:rsidR="005A4315" w:rsidRDefault="00741E39" w:rsidP="00080523">
            <w:pPr>
              <w:pStyle w:val="TableParagraph"/>
              <w:numPr>
                <w:ilvl w:val="0"/>
                <w:numId w:val="41"/>
              </w:numPr>
              <w:spacing w:before="60" w:after="60"/>
              <w:contextualSpacing/>
              <w:cnfStyle w:val="000000100000" w:firstRow="0" w:lastRow="0" w:firstColumn="0" w:lastColumn="0" w:oddVBand="0" w:evenVBand="0" w:oddHBand="1" w:evenHBand="0" w:firstRowFirstColumn="0" w:firstRowLastColumn="0" w:lastRowFirstColumn="0" w:lastRowLastColumn="0"/>
            </w:pPr>
            <w:r>
              <w:t>i</w:t>
            </w:r>
            <w:r w:rsidR="005A4315">
              <w:t xml:space="preserve">mproved treatment and supports for parents using drugs </w:t>
            </w:r>
          </w:p>
          <w:p w14:paraId="58A5E119" w14:textId="5A555174" w:rsidR="00F83D7B" w:rsidRDefault="00741E39" w:rsidP="00080523">
            <w:pPr>
              <w:pStyle w:val="TableParagraph"/>
              <w:numPr>
                <w:ilvl w:val="0"/>
                <w:numId w:val="41"/>
              </w:numPr>
              <w:spacing w:before="60" w:after="60"/>
              <w:contextualSpacing/>
              <w:cnfStyle w:val="000000100000" w:firstRow="0" w:lastRow="0" w:firstColumn="0" w:lastColumn="0" w:oddVBand="0" w:evenVBand="0" w:oddHBand="1" w:evenHBand="0" w:firstRowFirstColumn="0" w:firstRowLastColumn="0" w:lastRowFirstColumn="0" w:lastRowLastColumn="0"/>
            </w:pPr>
            <w:r>
              <w:t>c</w:t>
            </w:r>
            <w:r w:rsidR="00D80044">
              <w:t>onsequential improvements in social determinants of health</w:t>
            </w:r>
          </w:p>
          <w:p w14:paraId="6EB967E7" w14:textId="1622C29C" w:rsidR="005A4315" w:rsidRDefault="00741E39" w:rsidP="004A7A3A">
            <w:pPr>
              <w:pStyle w:val="TableParagraph"/>
              <w:numPr>
                <w:ilvl w:val="0"/>
                <w:numId w:val="41"/>
              </w:numPr>
              <w:spacing w:before="60" w:after="60"/>
              <w:contextualSpacing/>
              <w:cnfStyle w:val="000000100000" w:firstRow="0" w:lastRow="0" w:firstColumn="0" w:lastColumn="0" w:oddVBand="0" w:evenVBand="0" w:oddHBand="1" w:evenHBand="0" w:firstRowFirstColumn="0" w:firstRowLastColumn="0" w:lastRowFirstColumn="0" w:lastRowLastColumn="0"/>
            </w:pPr>
            <w:r>
              <w:t>p</w:t>
            </w:r>
            <w:r w:rsidR="005A4315">
              <w:t xml:space="preserve">reventing </w:t>
            </w:r>
            <w:r w:rsidR="00D80044">
              <w:t>problematic drug use</w:t>
            </w:r>
            <w:r w:rsidR="005A4315">
              <w:t xml:space="preserve"> by children through </w:t>
            </w:r>
            <w:r w:rsidR="00D80044">
              <w:t>improved social determinants of health</w:t>
            </w:r>
            <w:r w:rsidR="005A4315">
              <w:t xml:space="preserve"> and reduced experience of traum</w:t>
            </w:r>
            <w:r w:rsidR="00D80044">
              <w:t>a</w:t>
            </w:r>
          </w:p>
          <w:p w14:paraId="59D3F15E" w14:textId="77777777" w:rsidR="00741E39" w:rsidRDefault="008E530A" w:rsidP="00080523">
            <w:pPr>
              <w:pStyle w:val="TableParagraph"/>
              <w:numPr>
                <w:ilvl w:val="0"/>
                <w:numId w:val="41"/>
              </w:numPr>
              <w:spacing w:before="60" w:after="60"/>
              <w:contextualSpacing/>
              <w:cnfStyle w:val="000000100000" w:firstRow="0" w:lastRow="0" w:firstColumn="0" w:lastColumn="0" w:oddVBand="0" w:evenVBand="0" w:oddHBand="1" w:evenHBand="0" w:firstRowFirstColumn="0" w:firstRowLastColumn="0" w:lastRowFirstColumn="0" w:lastRowLastColumn="0"/>
            </w:pPr>
            <w:r>
              <w:t>increasing</w:t>
            </w:r>
            <w:r w:rsidR="00741E39">
              <w:t xml:space="preserve"> opportunities for restoration of beneficial community relationships</w:t>
            </w:r>
            <w:bookmarkEnd w:id="32"/>
          </w:p>
        </w:tc>
      </w:tr>
      <w:bookmarkEnd w:id="24"/>
      <w:tr w:rsidR="005A4315" w14:paraId="3165DDA3" w14:textId="77777777" w:rsidTr="007F666E">
        <w:trPr>
          <w:trHeight w:val="1116"/>
        </w:trPr>
        <w:tc>
          <w:tcPr>
            <w:cnfStyle w:val="001000000000" w:firstRow="0" w:lastRow="0" w:firstColumn="1" w:lastColumn="0" w:oddVBand="0" w:evenVBand="0" w:oddHBand="0" w:evenHBand="0" w:firstRowFirstColumn="0" w:firstRowLastColumn="0" w:lastRowFirstColumn="0" w:lastRowLastColumn="0"/>
            <w:tcW w:w="3124" w:type="dxa"/>
            <w:tcBorders>
              <w:top w:val="single" w:sz="4" w:space="0" w:color="auto"/>
              <w:left w:val="nil"/>
              <w:bottom w:val="nil"/>
              <w:right w:val="nil"/>
            </w:tcBorders>
            <w:shd w:val="clear" w:color="auto" w:fill="auto"/>
          </w:tcPr>
          <w:p w14:paraId="4401399D" w14:textId="77777777" w:rsidR="005A4315" w:rsidRPr="00A65F3A" w:rsidRDefault="005A4315" w:rsidP="00080523">
            <w:pPr>
              <w:pStyle w:val="TableParagraph"/>
              <w:spacing w:before="60" w:after="60"/>
              <w:rPr>
                <w:b w:val="0"/>
                <w:bCs w:val="0"/>
              </w:rPr>
            </w:pPr>
            <w:r w:rsidRPr="00FA652C">
              <w:t>Economic</w:t>
            </w:r>
          </w:p>
          <w:p w14:paraId="7E0C24B5" w14:textId="77777777" w:rsidR="005A4315" w:rsidRPr="00A65F3A" w:rsidRDefault="005A4315" w:rsidP="00080523">
            <w:pPr>
              <w:pStyle w:val="TableParagraph"/>
              <w:numPr>
                <w:ilvl w:val="0"/>
                <w:numId w:val="41"/>
              </w:numPr>
              <w:spacing w:before="60" w:after="60"/>
            </w:pPr>
            <w:bookmarkStart w:id="33" w:name="_Hlk133844493"/>
            <w:r w:rsidRPr="00FA652C">
              <w:rPr>
                <w:b w:val="0"/>
              </w:rPr>
              <w:t>healthcare and law enforcement costs</w:t>
            </w:r>
            <w:bookmarkEnd w:id="33"/>
          </w:p>
        </w:tc>
        <w:tc>
          <w:tcPr>
            <w:tcW w:w="7087" w:type="dxa"/>
            <w:tcBorders>
              <w:top w:val="single" w:sz="4" w:space="0" w:color="auto"/>
              <w:left w:val="nil"/>
              <w:bottom w:val="nil"/>
              <w:right w:val="nil"/>
            </w:tcBorders>
            <w:shd w:val="clear" w:color="auto" w:fill="auto"/>
          </w:tcPr>
          <w:p w14:paraId="32E92A71" w14:textId="77777777" w:rsidR="005A4315" w:rsidRDefault="005A4315" w:rsidP="00080523">
            <w:pPr>
              <w:pStyle w:val="TableParagraph"/>
              <w:numPr>
                <w:ilvl w:val="0"/>
                <w:numId w:val="41"/>
              </w:numPr>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pPr>
            <w:bookmarkStart w:id="34" w:name="_Hlk133844611"/>
            <w:r>
              <w:t xml:space="preserve">reducing health care costs mainly due to </w:t>
            </w:r>
            <w:r w:rsidR="00741E39">
              <w:t xml:space="preserve">prevention, </w:t>
            </w:r>
            <w:r>
              <w:t>earlier intervention and treatment</w:t>
            </w:r>
          </w:p>
          <w:p w14:paraId="360E001A" w14:textId="77777777" w:rsidR="005A4315" w:rsidRPr="00FA652C" w:rsidRDefault="005A4315" w:rsidP="00080523">
            <w:pPr>
              <w:pStyle w:val="TableParagraph"/>
              <w:numPr>
                <w:ilvl w:val="0"/>
                <w:numId w:val="41"/>
              </w:numPr>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rPr>
                <w:b/>
              </w:rPr>
            </w:pPr>
            <w:r>
              <w:t>increasing cost effectiveness of support programs through increased engagement</w:t>
            </w:r>
          </w:p>
          <w:p w14:paraId="5226B11F" w14:textId="763C701B" w:rsidR="005A4315" w:rsidRPr="00FA652C" w:rsidRDefault="005A4315" w:rsidP="00080523">
            <w:pPr>
              <w:pStyle w:val="TableParagraph"/>
              <w:numPr>
                <w:ilvl w:val="0"/>
                <w:numId w:val="41"/>
              </w:numPr>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rPr>
                <w:b/>
              </w:rPr>
            </w:pPr>
            <w:r>
              <w:t>reducing criminal justice system costs</w:t>
            </w:r>
            <w:r w:rsidR="00A9318B">
              <w:t xml:space="preserve">, including </w:t>
            </w:r>
            <w:r>
              <w:t>enforcement, court</w:t>
            </w:r>
            <w:r w:rsidR="0023696E">
              <w:t>s</w:t>
            </w:r>
            <w:r>
              <w:t xml:space="preserve"> and incarceration</w:t>
            </w:r>
            <w:bookmarkEnd w:id="34"/>
          </w:p>
        </w:tc>
      </w:tr>
      <w:tr w:rsidR="005A4315" w14:paraId="5BA2292E" w14:textId="77777777" w:rsidTr="007F6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4" w:type="dxa"/>
            <w:tcBorders>
              <w:top w:val="nil"/>
              <w:left w:val="nil"/>
              <w:bottom w:val="nil"/>
            </w:tcBorders>
          </w:tcPr>
          <w:p w14:paraId="2BF474DB" w14:textId="77777777" w:rsidR="005A4315" w:rsidRPr="00FA652C" w:rsidRDefault="005A4315" w:rsidP="00080523">
            <w:pPr>
              <w:pStyle w:val="TableParagraph"/>
              <w:numPr>
                <w:ilvl w:val="0"/>
                <w:numId w:val="41"/>
              </w:numPr>
              <w:spacing w:before="60" w:after="60"/>
              <w:ind w:left="357" w:hanging="357"/>
              <w:rPr>
                <w:b w:val="0"/>
              </w:rPr>
            </w:pPr>
            <w:bookmarkStart w:id="35" w:name="_Hlk133844504"/>
            <w:r w:rsidRPr="00FA652C">
              <w:rPr>
                <w:b w:val="0"/>
              </w:rPr>
              <w:t>decreased productivity</w:t>
            </w:r>
            <w:bookmarkEnd w:id="35"/>
          </w:p>
        </w:tc>
        <w:tc>
          <w:tcPr>
            <w:tcW w:w="7087" w:type="dxa"/>
            <w:tcBorders>
              <w:top w:val="nil"/>
              <w:bottom w:val="nil"/>
              <w:right w:val="nil"/>
            </w:tcBorders>
          </w:tcPr>
          <w:p w14:paraId="5C33C9B4" w14:textId="77777777" w:rsidR="005A4315" w:rsidRDefault="005A4315" w:rsidP="00080523">
            <w:pPr>
              <w:pStyle w:val="TableParagraph"/>
              <w:numPr>
                <w:ilvl w:val="0"/>
                <w:numId w:val="41"/>
              </w:numPr>
              <w:spacing w:before="60" w:after="60"/>
              <w:ind w:left="357" w:hanging="357"/>
              <w:contextualSpacing/>
              <w:cnfStyle w:val="000000100000" w:firstRow="0" w:lastRow="0" w:firstColumn="0" w:lastColumn="0" w:oddVBand="0" w:evenVBand="0" w:oddHBand="1" w:evenHBand="0" w:firstRowFirstColumn="0" w:firstRowLastColumn="0" w:lastRowFirstColumn="0" w:lastRowLastColumn="0"/>
            </w:pPr>
            <w:bookmarkStart w:id="36" w:name="_Hlk133844648"/>
            <w:r>
              <w:t xml:space="preserve">reducing death and disability as a result of drug use </w:t>
            </w:r>
          </w:p>
          <w:p w14:paraId="49CDD78E" w14:textId="77777777" w:rsidR="005A4315" w:rsidRDefault="005A4315" w:rsidP="00080523">
            <w:pPr>
              <w:pStyle w:val="TableParagraph"/>
              <w:numPr>
                <w:ilvl w:val="0"/>
                <w:numId w:val="41"/>
              </w:numPr>
              <w:spacing w:before="60" w:after="60"/>
              <w:ind w:left="357" w:hanging="357"/>
              <w:contextualSpacing/>
              <w:cnfStyle w:val="000000100000" w:firstRow="0" w:lastRow="0" w:firstColumn="0" w:lastColumn="0" w:oddVBand="0" w:evenVBand="0" w:oddHBand="1" w:evenHBand="0" w:firstRowFirstColumn="0" w:firstRowLastColumn="0" w:lastRowFirstColumn="0" w:lastRowLastColumn="0"/>
            </w:pPr>
            <w:r>
              <w:t>decreasing lost productivity due to incarceration</w:t>
            </w:r>
            <w:r w:rsidR="00741E39">
              <w:t xml:space="preserve"> and drug-related disability or illness</w:t>
            </w:r>
          </w:p>
          <w:p w14:paraId="78D34244" w14:textId="77777777" w:rsidR="005A4315" w:rsidRDefault="005A4315" w:rsidP="00080523">
            <w:pPr>
              <w:pStyle w:val="TableParagraph"/>
              <w:numPr>
                <w:ilvl w:val="0"/>
                <w:numId w:val="41"/>
              </w:numPr>
              <w:spacing w:before="60" w:after="60"/>
              <w:ind w:left="357" w:hanging="357"/>
              <w:contextualSpacing/>
              <w:cnfStyle w:val="000000100000" w:firstRow="0" w:lastRow="0" w:firstColumn="0" w:lastColumn="0" w:oddVBand="0" w:evenVBand="0" w:oddHBand="1" w:evenHBand="0" w:firstRowFirstColumn="0" w:firstRowLastColumn="0" w:lastRowFirstColumn="0" w:lastRowLastColumn="0"/>
            </w:pPr>
            <w:r>
              <w:t>preventing the impacts of convictions on future employability</w:t>
            </w:r>
            <w:bookmarkEnd w:id="36"/>
          </w:p>
        </w:tc>
      </w:tr>
      <w:tr w:rsidR="005A4315" w14:paraId="03C915C2" w14:textId="77777777" w:rsidTr="007F666E">
        <w:tc>
          <w:tcPr>
            <w:cnfStyle w:val="001000000000" w:firstRow="0" w:lastRow="0" w:firstColumn="1" w:lastColumn="0" w:oddVBand="0" w:evenVBand="0" w:oddHBand="0" w:evenHBand="0" w:firstRowFirstColumn="0" w:firstRowLastColumn="0" w:lastRowFirstColumn="0" w:lastRowLastColumn="0"/>
            <w:tcW w:w="3124" w:type="dxa"/>
            <w:tcBorders>
              <w:top w:val="nil"/>
              <w:left w:val="nil"/>
              <w:bottom w:val="nil"/>
            </w:tcBorders>
          </w:tcPr>
          <w:p w14:paraId="7712BAED" w14:textId="77777777" w:rsidR="005A4315" w:rsidRPr="00FA652C" w:rsidRDefault="005A4315" w:rsidP="00080523">
            <w:pPr>
              <w:pStyle w:val="TableParagraph"/>
              <w:numPr>
                <w:ilvl w:val="0"/>
                <w:numId w:val="41"/>
              </w:numPr>
              <w:spacing w:before="60" w:after="60"/>
              <w:ind w:left="357" w:hanging="357"/>
              <w:rPr>
                <w:b w:val="0"/>
              </w:rPr>
            </w:pPr>
            <w:bookmarkStart w:id="37" w:name="_Hlk133844518"/>
            <w:bookmarkStart w:id="38" w:name="_Hlk133844724"/>
            <w:r w:rsidRPr="00FA652C">
              <w:rPr>
                <w:b w:val="0"/>
              </w:rPr>
              <w:t>associated criminal activity</w:t>
            </w:r>
            <w:bookmarkEnd w:id="37"/>
          </w:p>
        </w:tc>
        <w:tc>
          <w:tcPr>
            <w:tcW w:w="7087" w:type="dxa"/>
            <w:tcBorders>
              <w:top w:val="nil"/>
              <w:bottom w:val="nil"/>
              <w:right w:val="nil"/>
            </w:tcBorders>
          </w:tcPr>
          <w:p w14:paraId="249A018C" w14:textId="77777777" w:rsidR="005A4315" w:rsidRDefault="005A4315" w:rsidP="00080523">
            <w:pPr>
              <w:pStyle w:val="TableParagraph"/>
              <w:numPr>
                <w:ilvl w:val="0"/>
                <w:numId w:val="41"/>
              </w:numPr>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pPr>
            <w:r>
              <w:t>decreasing the total number of criminal offences by decriminalising minor offences</w:t>
            </w:r>
          </w:p>
          <w:p w14:paraId="433A1D9E" w14:textId="77777777" w:rsidR="005A4315" w:rsidRDefault="005A4315" w:rsidP="00080523">
            <w:pPr>
              <w:pStyle w:val="TableParagraph"/>
              <w:numPr>
                <w:ilvl w:val="0"/>
                <w:numId w:val="41"/>
              </w:numPr>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pPr>
            <w:r>
              <w:t>reducing the increased future engagement in other criminal activity associated with incarceration</w:t>
            </w:r>
          </w:p>
          <w:p w14:paraId="278F145C" w14:textId="77777777" w:rsidR="005A4315" w:rsidRDefault="005A4315" w:rsidP="00080523">
            <w:pPr>
              <w:pStyle w:val="TableParagraph"/>
              <w:numPr>
                <w:ilvl w:val="0"/>
                <w:numId w:val="41"/>
              </w:numPr>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pPr>
            <w:r>
              <w:t xml:space="preserve">preventing crime perpetrated to avoid conviction for minor drug offences </w:t>
            </w:r>
          </w:p>
          <w:p w14:paraId="370CDEB8" w14:textId="77777777" w:rsidR="005A4315" w:rsidRDefault="005A4315" w:rsidP="00080523">
            <w:pPr>
              <w:pStyle w:val="TableParagraph"/>
              <w:numPr>
                <w:ilvl w:val="0"/>
                <w:numId w:val="41"/>
              </w:numPr>
              <w:spacing w:before="60" w:after="60"/>
              <w:ind w:left="357" w:hanging="357"/>
              <w:contextualSpacing/>
              <w:cnfStyle w:val="000000000000" w:firstRow="0" w:lastRow="0" w:firstColumn="0" w:lastColumn="0" w:oddVBand="0" w:evenVBand="0" w:oddHBand="0" w:evenHBand="0" w:firstRowFirstColumn="0" w:firstRowLastColumn="0" w:lastRowFirstColumn="0" w:lastRowLastColumn="0"/>
            </w:pPr>
            <w:r>
              <w:t>reducing the consequential personal and property costs of crime</w:t>
            </w:r>
          </w:p>
        </w:tc>
      </w:tr>
      <w:tr w:rsidR="005A4315" w14:paraId="428D7C2E" w14:textId="77777777" w:rsidTr="007F6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4" w:type="dxa"/>
            <w:tcBorders>
              <w:top w:val="nil"/>
              <w:left w:val="nil"/>
              <w:bottom w:val="single" w:sz="4" w:space="0" w:color="auto"/>
              <w:right w:val="nil"/>
            </w:tcBorders>
          </w:tcPr>
          <w:p w14:paraId="54546FF1" w14:textId="77777777" w:rsidR="005A4315" w:rsidRPr="00FA652C" w:rsidRDefault="005A4315" w:rsidP="00080523">
            <w:pPr>
              <w:pStyle w:val="TableParagraph"/>
              <w:numPr>
                <w:ilvl w:val="0"/>
                <w:numId w:val="41"/>
              </w:numPr>
              <w:spacing w:before="60" w:after="60"/>
              <w:ind w:left="357" w:hanging="357"/>
              <w:rPr>
                <w:b w:val="0"/>
              </w:rPr>
            </w:pPr>
            <w:bookmarkStart w:id="39" w:name="_Hlk133844528"/>
            <w:bookmarkEnd w:id="38"/>
            <w:r w:rsidRPr="00FA652C">
              <w:rPr>
                <w:b w:val="0"/>
              </w:rPr>
              <w:t>reinforcement of marginalisation and disadvantage</w:t>
            </w:r>
            <w:bookmarkEnd w:id="39"/>
          </w:p>
        </w:tc>
        <w:tc>
          <w:tcPr>
            <w:tcW w:w="7087" w:type="dxa"/>
            <w:tcBorders>
              <w:top w:val="nil"/>
              <w:left w:val="nil"/>
              <w:bottom w:val="single" w:sz="4" w:space="0" w:color="auto"/>
              <w:right w:val="nil"/>
            </w:tcBorders>
          </w:tcPr>
          <w:p w14:paraId="465760CB" w14:textId="4BB2C5D9" w:rsidR="005A4315" w:rsidRDefault="00741E39" w:rsidP="00080523">
            <w:pPr>
              <w:pStyle w:val="TableParagraph"/>
              <w:numPr>
                <w:ilvl w:val="0"/>
                <w:numId w:val="41"/>
              </w:numPr>
              <w:spacing w:before="60" w:after="60"/>
              <w:ind w:left="357" w:hanging="357"/>
              <w:contextualSpacing/>
              <w:cnfStyle w:val="000000100000" w:firstRow="0" w:lastRow="0" w:firstColumn="0" w:lastColumn="0" w:oddVBand="0" w:evenVBand="0" w:oddHBand="1" w:evenHBand="0" w:firstRowFirstColumn="0" w:firstRowLastColumn="0" w:lastRowFirstColumn="0" w:lastRowLastColumn="0"/>
            </w:pPr>
            <w:bookmarkStart w:id="40" w:name="_Hlk133844736"/>
            <w:r>
              <w:t>p</w:t>
            </w:r>
            <w:r w:rsidR="005A4315">
              <w:t>reventing the amplification of disadvantage resulting from criminal conviction and incarceration of a parent</w:t>
            </w:r>
          </w:p>
          <w:p w14:paraId="21292955" w14:textId="245CF8D0" w:rsidR="005A4315" w:rsidRDefault="00741E39" w:rsidP="00080523">
            <w:pPr>
              <w:pStyle w:val="TableParagraph"/>
              <w:numPr>
                <w:ilvl w:val="0"/>
                <w:numId w:val="41"/>
              </w:numPr>
              <w:spacing w:before="60" w:after="60"/>
              <w:ind w:left="357" w:hanging="357"/>
              <w:contextualSpacing/>
              <w:cnfStyle w:val="000000100000" w:firstRow="0" w:lastRow="0" w:firstColumn="0" w:lastColumn="0" w:oddVBand="0" w:evenVBand="0" w:oddHBand="1" w:evenHBand="0" w:firstRowFirstColumn="0" w:firstRowLastColumn="0" w:lastRowFirstColumn="0" w:lastRowLastColumn="0"/>
            </w:pPr>
            <w:r>
              <w:t>r</w:t>
            </w:r>
            <w:r w:rsidR="005A4315">
              <w:t>educing stigma and marginalisation of drug users</w:t>
            </w:r>
          </w:p>
          <w:p w14:paraId="432376B3" w14:textId="79B50D15" w:rsidR="005A4315" w:rsidRDefault="00741E39" w:rsidP="00080523">
            <w:pPr>
              <w:pStyle w:val="TableParagraph"/>
              <w:numPr>
                <w:ilvl w:val="0"/>
                <w:numId w:val="41"/>
              </w:numPr>
              <w:spacing w:before="60" w:after="60"/>
              <w:ind w:left="357" w:hanging="357"/>
              <w:contextualSpacing/>
              <w:cnfStyle w:val="000000100000" w:firstRow="0" w:lastRow="0" w:firstColumn="0" w:lastColumn="0" w:oddVBand="0" w:evenVBand="0" w:oddHBand="1" w:evenHBand="0" w:firstRowFirstColumn="0" w:firstRowLastColumn="0" w:lastRowFirstColumn="0" w:lastRowLastColumn="0"/>
            </w:pPr>
            <w:r>
              <w:t>r</w:t>
            </w:r>
            <w:r w:rsidR="005A4315">
              <w:t>educing intergenerational harm by improving the social determinants of health</w:t>
            </w:r>
            <w:r w:rsidR="003D7E3E">
              <w:t>—</w:t>
            </w:r>
            <w:r w:rsidR="005A4315" w:rsidRPr="00FA652C">
              <w:t>childhood experiences, housing, education, social supports, family income, meaningful employment, communities and access to health services</w:t>
            </w:r>
            <w:bookmarkEnd w:id="40"/>
            <w:r w:rsidR="005A4315" w:rsidRPr="00B542F0">
              <w:rPr>
                <w:sz w:val="22"/>
              </w:rPr>
              <w:t xml:space="preserve"> </w:t>
            </w:r>
          </w:p>
        </w:tc>
      </w:tr>
      <w:bookmarkEnd w:id="21"/>
    </w:tbl>
    <w:p w14:paraId="48E1D1AB" w14:textId="77777777" w:rsidR="008E530A" w:rsidRDefault="008E530A" w:rsidP="006D1DB3">
      <w:pPr>
        <w:pStyle w:val="Heading2"/>
        <w:sectPr w:rsidR="008E530A" w:rsidSect="00080523">
          <w:pgSz w:w="11910" w:h="16840"/>
          <w:pgMar w:top="720" w:right="720" w:bottom="720" w:left="720" w:header="720" w:footer="720" w:gutter="0"/>
          <w:cols w:space="720"/>
          <w:docGrid w:linePitch="326"/>
        </w:sectPr>
      </w:pPr>
    </w:p>
    <w:p w14:paraId="0DFAFA32" w14:textId="7B6E0FDE" w:rsidR="007564E2" w:rsidRDefault="007564E2" w:rsidP="006D1DB3">
      <w:pPr>
        <w:pStyle w:val="Heading2"/>
      </w:pPr>
      <w:bookmarkStart w:id="41" w:name="_Toc136851462"/>
      <w:r>
        <w:t>The evidence for this approach</w:t>
      </w:r>
      <w:bookmarkEnd w:id="41"/>
      <w:r>
        <w:t xml:space="preserve"> </w:t>
      </w:r>
    </w:p>
    <w:p w14:paraId="705D1B9D" w14:textId="77E0AC3B" w:rsidR="00463665" w:rsidRDefault="00463665" w:rsidP="0067398A">
      <w:pPr>
        <w:pStyle w:val="BodyText"/>
        <w:spacing w:before="100" w:beforeAutospacing="1" w:after="100" w:afterAutospacing="1"/>
      </w:pPr>
      <w:r>
        <w:t>Portugal is the most-cited example of the benefits to society of decriminali</w:t>
      </w:r>
      <w:r w:rsidR="00F83D7B">
        <w:t>s</w:t>
      </w:r>
      <w:r>
        <w:t xml:space="preserve">ing the possession and personal use of drugs </w:t>
      </w:r>
      <w:r w:rsidR="005D3935">
        <w:fldChar w:fldCharType="begin">
          <w:fldData xml:space="preserve">PEVuZE5vdGU+PENpdGU+PEF1dGhvcj5PcnNpbmk8L0F1dGhvcj48WWVhcj4yMDIyPC9ZZWFyPjxS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==
</w:fldData>
        </w:fldChar>
      </w:r>
      <w:r w:rsidR="00956746">
        <w:instrText xml:space="preserve"> ADDIN EN.CITE </w:instrText>
      </w:r>
      <w:r w:rsidR="00956746">
        <w:fldChar w:fldCharType="begin">
          <w:fldData xml:space="preserve">PEVuZE5vdGU+PENpdGU+PEF1dGhvcj5PcnNpbmk8L0F1dGhvcj48WWVhcj4yMDIyPC9ZZWFyPjxS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==
</w:fldData>
        </w:fldChar>
      </w:r>
      <w:r w:rsidR="00956746">
        <w:instrText xml:space="preserve"> ADDIN EN.CITE.DATA </w:instrText>
      </w:r>
      <w:r w:rsidR="00956746">
        <w:fldChar w:fldCharType="end"/>
      </w:r>
      <w:r w:rsidR="005D3935">
        <w:fldChar w:fldCharType="separate"/>
      </w:r>
      <w:r w:rsidR="00956746">
        <w:rPr>
          <w:noProof/>
        </w:rPr>
        <w:t>[15, 44, 46-49]</w:t>
      </w:r>
      <w:r w:rsidR="005D3935">
        <w:fldChar w:fldCharType="end"/>
      </w:r>
      <w:r>
        <w:t xml:space="preserve">. </w:t>
      </w:r>
      <w:r w:rsidR="001C2800">
        <w:t xml:space="preserve">Bartl </w:t>
      </w:r>
      <w:r w:rsidR="001C2800">
        <w:fldChar w:fldCharType="begin"/>
      </w:r>
      <w:r w:rsidR="00956746">
        <w:instrText xml:space="preserve"> ADDIN EN.CITE &lt;EndNote&gt;&lt;Cite ExcludeAuth="1"&gt;&lt;Author&gt;Bartl&lt;/Author&gt;&lt;Year&gt;2022&lt;/Year&gt;&lt;RecNum&gt;25&lt;/RecNum&gt;&lt;DisplayText&gt;[5]&lt;/DisplayText&gt;&lt;record&gt;&lt;rec-number&gt;25&lt;/rec-number&gt;&lt;foreign-keys&gt;&lt;key app="EN" db-id="5fz2fzfzg2w2x4efdz3xprvlzezfdv2spstv" timestamp="1676606833"&gt;25&lt;/key&gt;&lt;/foreign-keys&gt;&lt;ref-type name="Report"&gt;27&lt;/ref-type&gt;&lt;contributors&gt;&lt;authors&gt;&lt;author&gt;Bartl, Benedict&lt;/author&gt;&lt;/authors&gt;&lt;/contributors&gt;&lt;titles&gt;&lt;title&gt;The case for a health focused response to drug use in Tasmania&amp;apos;s legal system&lt;/title&gt;&lt;/titles&gt;&lt;edition&gt;Revised&lt;/edition&gt;&lt;dates&gt;&lt;year&gt;2022&lt;/year&gt;&lt;/dates&gt;&lt;pub-location&gt;Hobart, TAS&lt;/pub-location&gt;&lt;publisher&gt;Community Legal Centres Tasmania&lt;/publisher&gt;&lt;urls&gt;&lt;/urls&gt;&lt;/record&gt;&lt;/Cite&gt;&lt;/EndNote&gt;</w:instrText>
      </w:r>
      <w:r w:rsidR="001C2800">
        <w:fldChar w:fldCharType="separate"/>
      </w:r>
      <w:r w:rsidR="00956746">
        <w:rPr>
          <w:noProof/>
        </w:rPr>
        <w:t>[5]</w:t>
      </w:r>
      <w:r w:rsidR="001C2800">
        <w:fldChar w:fldCharType="end"/>
      </w:r>
      <w:r w:rsidR="001C2800">
        <w:t xml:space="preserve"> provides a clear description of the Portuguese public health and social model. </w:t>
      </w:r>
      <w:r w:rsidR="006F2A63">
        <w:t>Portuguese r</w:t>
      </w:r>
      <w:r w:rsidR="001C2800">
        <w:t xml:space="preserve">esponses to drug use are multi-factorial, and include </w:t>
      </w:r>
      <w:r w:rsidR="00EB2C93">
        <w:t>prevention, demand reduction</w:t>
      </w:r>
      <w:r w:rsidR="002B4FB3">
        <w:t>,</w:t>
      </w:r>
      <w:r w:rsidR="00EB2C93">
        <w:t xml:space="preserve"> harm minimisation via </w:t>
      </w:r>
      <w:r w:rsidR="001C2800">
        <w:t xml:space="preserve">decriminalisation of possession and consumption, citation for possession or use to a “Dissuasion Committee” rather than arrest, application of administrative responses, increasing information and education, and expanding investment in therapy and other rehabilitative measures and in social reintegration </w:t>
      </w:r>
      <w:r w:rsidR="001C2800">
        <w:fldChar w:fldCharType="begin"/>
      </w:r>
      <w:r w:rsidR="00956746">
        <w:instrText xml:space="preserve"> ADDIN EN.CITE &lt;EndNote&gt;&lt;Cite&gt;&lt;Author&gt;Hughes&lt;/Author&gt;&lt;Year&gt;2019&lt;/Year&gt;&lt;RecNum&gt;87&lt;/RecNum&gt;&lt;DisplayText&gt;[44, 47]&lt;/DisplayText&gt;&lt;record&gt;&lt;rec-number&gt;87&lt;/rec-number&gt;&lt;foreign-keys&gt;&lt;key app="EN" db-id="5fz2fzfzg2w2x4efdz3xprvlzezfdv2spstv" timestamp="1678343592"&gt;87&lt;/key&gt;&lt;/foreign-keys&gt;&lt;ref-type name="Conference Paper"&gt;47&lt;/ref-type&gt;&lt;contributors&gt;&lt;authors&gt;&lt;author&gt;Hughes, Caitlin&lt;/author&gt;&lt;author&gt;Stevens, Alex&lt;/author&gt;&lt;author&gt;Hulme, Shann&lt;/author&gt;&lt;author&gt;Cassidy, Rebecca&lt;/author&gt;&lt;/authors&gt;&lt;/contributors&gt;&lt;titles&gt;&lt;title&gt;Models for the decriminalisation, depenalisation and diversion of illicit drug possession: An international realist review&lt;/title&gt;&lt;secondary-title&gt;2019 International Society for the Study of Drug Policy Conference&lt;/secondary-title&gt;&lt;/titles&gt;&lt;keywords&gt;&lt;keyword&gt;decriminalisation&lt;/keyword&gt;&lt;keyword&gt;diversion&lt;/keyword&gt;&lt;keyword&gt;depenalisation: illicit drugs&lt;/keyword&gt;&lt;/keywords&gt;&lt;dates&gt;&lt;year&gt;2019&lt;/year&gt;&lt;pub-dates&gt;&lt;date&gt;22-24 May&lt;/date&gt;&lt;/pub-dates&gt;&lt;/dates&gt;&lt;pub-location&gt;Paris&lt;/pub-location&gt;&lt;urls&gt;&lt;/urls&gt;&lt;/record&gt;&lt;/Cite&gt;&lt;Cite&gt;&lt;Author&gt;Greenwald&lt;/Author&gt;&lt;Year&gt;2009&lt;/Year&gt;&lt;RecNum&gt;28&lt;/RecNum&gt;&lt;record&gt;&lt;rec-number&gt;28&lt;/rec-number&gt;&lt;foreign-keys&gt;&lt;key app="EN" db-id="5fz2fzfzg2w2x4efdz3xprvlzezfdv2spstv" timestamp="1676609251"&gt;28&lt;/key&gt;&lt;/foreign-keys&gt;&lt;ref-type name="Report"&gt;27&lt;/ref-type&gt;&lt;contributors&gt;&lt;authors&gt;&lt;author&gt;Greenwald, Glenn&lt;/author&gt;&lt;/authors&gt;&lt;/contributors&gt;&lt;titles&gt;&lt;title&gt; Drug decriminalization in Portugal: Lessons for creating fair and successful drug policies&lt;/title&gt;&lt;/titles&gt;&lt;dates&gt;&lt;year&gt;2009&lt;/year&gt;&lt;/dates&gt;&lt;pub-location&gt;Washington, DC&lt;/pub-location&gt;&lt;publisher&gt;Cato Institute&lt;/publisher&gt;&lt;urls&gt;&lt;/urls&gt;&lt;/record&gt;&lt;/Cite&gt;&lt;/EndNote&gt;</w:instrText>
      </w:r>
      <w:r w:rsidR="001C2800">
        <w:fldChar w:fldCharType="separate"/>
      </w:r>
      <w:r w:rsidR="00956746">
        <w:rPr>
          <w:noProof/>
        </w:rPr>
        <w:t>[44, 47]</w:t>
      </w:r>
      <w:r w:rsidR="001C2800">
        <w:fldChar w:fldCharType="end"/>
      </w:r>
      <w:r w:rsidR="001C2800">
        <w:t xml:space="preserve">. </w:t>
      </w:r>
      <w:r>
        <w:t xml:space="preserve">Since decriminalisation came into force in 2001, </w:t>
      </w:r>
      <w:r w:rsidR="001C2800">
        <w:t>Portugal has recorded</w:t>
      </w:r>
      <w:r>
        <w:t xml:space="preserve"> </w:t>
      </w:r>
      <w:r>
        <w:rPr>
          <w:b/>
          <w:bCs/>
        </w:rPr>
        <w:t xml:space="preserve">declines </w:t>
      </w:r>
      <w:r w:rsidRPr="00E41E23">
        <w:t>in</w:t>
      </w:r>
      <w:r>
        <w:t>:</w:t>
      </w:r>
    </w:p>
    <w:p w14:paraId="3EF952DE" w14:textId="31C3CC2D" w:rsidR="00463665" w:rsidRDefault="00463665" w:rsidP="00463665">
      <w:pPr>
        <w:pStyle w:val="BodyText"/>
        <w:numPr>
          <w:ilvl w:val="0"/>
          <w:numId w:val="23"/>
        </w:numPr>
      </w:pPr>
      <w:r>
        <w:t xml:space="preserve">drug use by young people (the most at-risk group for the development of drug use disorders) </w:t>
      </w:r>
    </w:p>
    <w:p w14:paraId="7DECD9CC" w14:textId="77777777" w:rsidR="00463665" w:rsidRDefault="00463665" w:rsidP="00463665">
      <w:pPr>
        <w:pStyle w:val="BodyText"/>
        <w:numPr>
          <w:ilvl w:val="0"/>
          <w:numId w:val="23"/>
        </w:numPr>
      </w:pPr>
      <w:r>
        <w:t xml:space="preserve">drug use disorders and </w:t>
      </w:r>
      <w:r w:rsidR="00E41E23">
        <w:t xml:space="preserve">drug-related </w:t>
      </w:r>
      <w:r>
        <w:t>deaths overall</w:t>
      </w:r>
    </w:p>
    <w:p w14:paraId="026C6E6F" w14:textId="3F7CA367" w:rsidR="00463665" w:rsidRDefault="00463665" w:rsidP="00463665">
      <w:pPr>
        <w:pStyle w:val="BodyText"/>
        <w:numPr>
          <w:ilvl w:val="0"/>
          <w:numId w:val="23"/>
        </w:numPr>
      </w:pPr>
      <w:r>
        <w:t>imprisonment for drug offences</w:t>
      </w:r>
      <w:r w:rsidR="00E41E23">
        <w:t xml:space="preserve"> and recidivism</w:t>
      </w:r>
    </w:p>
    <w:p w14:paraId="14D54D9A" w14:textId="77777777" w:rsidR="00463665" w:rsidRDefault="00463665" w:rsidP="00463665">
      <w:pPr>
        <w:pStyle w:val="BodyText"/>
        <w:numPr>
          <w:ilvl w:val="0"/>
          <w:numId w:val="23"/>
        </w:numPr>
      </w:pPr>
      <w:r>
        <w:t xml:space="preserve">HIV </w:t>
      </w:r>
      <w:r w:rsidR="00E41E23">
        <w:t xml:space="preserve">and hepatitis </w:t>
      </w:r>
      <w:r>
        <w:t>infections</w:t>
      </w:r>
    </w:p>
    <w:p w14:paraId="560EC60B" w14:textId="01870162" w:rsidR="00463665" w:rsidRDefault="00463665" w:rsidP="00463665">
      <w:pPr>
        <w:pStyle w:val="BodyText"/>
        <w:numPr>
          <w:ilvl w:val="0"/>
          <w:numId w:val="23"/>
        </w:numPr>
      </w:pPr>
      <w:r>
        <w:t xml:space="preserve">social costs (health and criminal justice system costs): 12% after 5 years and 18% after 11 years </w:t>
      </w:r>
      <w:r w:rsidR="00CC52E1">
        <w:fldChar w:fldCharType="begin">
          <w:fldData xml:space="preserve">PEVuZE5vdGU+PENpdGU+PEF1dGhvcj5Hb27Dp2FsdmVzPC9BdXRob3I+PFllYXI+MjAxNTwvWWVh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</w:fldData>
        </w:fldChar>
      </w:r>
      <w:r w:rsidR="00956746">
        <w:instrText xml:space="preserve"> ADDIN EN.CITE </w:instrText>
      </w:r>
      <w:r w:rsidR="00956746">
        <w:fldChar w:fldCharType="begin">
          <w:fldData xml:space="preserve">PEVuZE5vdGU+PENpdGU+PEF1dGhvcj5Hb27Dp2FsdmVzPC9BdXRob3I+PFllYXI+MjAxNTwvWWVh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</w:fldData>
        </w:fldChar>
      </w:r>
      <w:r w:rsidR="00956746">
        <w:instrText xml:space="preserve"> ADDIN EN.CITE.DATA </w:instrText>
      </w:r>
      <w:r w:rsidR="00956746">
        <w:fldChar w:fldCharType="end"/>
      </w:r>
      <w:r w:rsidR="00CC52E1">
        <w:fldChar w:fldCharType="separate"/>
      </w:r>
      <w:r w:rsidR="00956746">
        <w:rPr>
          <w:noProof/>
        </w:rPr>
        <w:t>[45, 48, 50]</w:t>
      </w:r>
      <w:r w:rsidR="00CC52E1">
        <w:fldChar w:fldCharType="end"/>
      </w:r>
    </w:p>
    <w:p w14:paraId="0FD06E37" w14:textId="77777777" w:rsidR="00463665" w:rsidRDefault="00463665" w:rsidP="00463665">
      <w:pPr>
        <w:pStyle w:val="BodyText"/>
        <w:numPr>
          <w:ilvl w:val="0"/>
          <w:numId w:val="23"/>
        </w:numPr>
      </w:pPr>
      <w:r>
        <w:t>stigma associated with drug use (leading to more people accessing and undertaking treatment)</w:t>
      </w:r>
    </w:p>
    <w:p w14:paraId="4A20DBC4" w14:textId="77777777" w:rsidR="00E41E23" w:rsidRDefault="00E41E23" w:rsidP="00463665">
      <w:pPr>
        <w:pStyle w:val="BodyText"/>
        <w:numPr>
          <w:ilvl w:val="0"/>
          <w:numId w:val="23"/>
        </w:numPr>
      </w:pPr>
      <w:r>
        <w:t xml:space="preserve">effective restoration of people to their communities and work. </w:t>
      </w:r>
    </w:p>
    <w:p w14:paraId="699BD959" w14:textId="02CA265D" w:rsidR="009D197C" w:rsidRDefault="001C2800" w:rsidP="0067398A">
      <w:pPr>
        <w:pStyle w:val="BodyText"/>
        <w:spacing w:before="100" w:beforeAutospacing="1" w:after="100" w:afterAutospacing="1"/>
      </w:pPr>
      <w:r>
        <w:t xml:space="preserve">As well, younger police officers are now more likely to intervene in drug usage, viewing the administrative processes as “the best hope for containing addiction” </w:t>
      </w:r>
      <w:r>
        <w:fldChar w:fldCharType="begin"/>
      </w:r>
      <w:r w:rsidR="00956746">
        <w:instrText xml:space="preserve"> ADDIN EN.CITE &lt;EndNote&gt;&lt;Cite&gt;&lt;Author&gt;Greenwald&lt;/Author&gt;&lt;Year&gt;2009&lt;/Year&gt;&lt;RecNum&gt;28&lt;/RecNum&gt;&lt;DisplayText&gt;[44]&lt;/DisplayText&gt;&lt;record&gt;&lt;rec-number&gt;28&lt;/rec-number&gt;&lt;foreign-keys&gt;&lt;key app="EN" db-id="5fz2fzfzg2w2x4efdz3xprvlzezfdv2spstv" timestamp="1676609251"&gt;28&lt;/key&gt;&lt;/foreign-keys&gt;&lt;ref-type name="Report"&gt;27&lt;/ref-type&gt;&lt;contributors&gt;&lt;authors&gt;&lt;author&gt;Greenwald, Glenn&lt;/author&gt;&lt;/authors&gt;&lt;/contributors&gt;&lt;titles&gt;&lt;title&gt; Drug decriminalization in Portugal: Lessons for creating fair and successful drug policies&lt;/title&gt;&lt;/titles&gt;&lt;dates&gt;&lt;year&gt;2009&lt;/year&gt;&lt;/dates&gt;&lt;pub-location&gt;Washington, DC&lt;/pub-location&gt;&lt;publisher&gt;Cato Institute&lt;/publisher&gt;&lt;urls&gt;&lt;/urls&gt;&lt;/record&gt;&lt;/Cite&gt;&lt;/EndNote&gt;</w:instrText>
      </w:r>
      <w:r>
        <w:fldChar w:fldCharType="separate"/>
      </w:r>
      <w:r w:rsidR="00956746">
        <w:rPr>
          <w:noProof/>
        </w:rPr>
        <w:t>[44]</w:t>
      </w:r>
      <w:r>
        <w:fldChar w:fldCharType="end"/>
      </w:r>
      <w:r>
        <w:t xml:space="preserve">. </w:t>
      </w:r>
    </w:p>
    <w:p w14:paraId="1AEE21CC" w14:textId="77777777" w:rsidR="005C6AA4" w:rsidRDefault="00F83D7B" w:rsidP="007E536B">
      <w:pPr>
        <w:pStyle w:val="Heading3"/>
      </w:pPr>
      <w:bookmarkStart w:id="42" w:name="_Toc136851463"/>
      <w:r>
        <w:t>Decriminalisation</w:t>
      </w:r>
      <w:r w:rsidR="005C6AA4">
        <w:t xml:space="preserve"> is associated with less harmful drug use</w:t>
      </w:r>
      <w:bookmarkEnd w:id="42"/>
    </w:p>
    <w:p w14:paraId="038867A3" w14:textId="61E9D88C" w:rsidR="0067398A" w:rsidRDefault="00463665" w:rsidP="0067398A">
      <w:pPr>
        <w:pStyle w:val="BodyText"/>
        <w:spacing w:before="100" w:beforeAutospacing="1" w:after="100" w:afterAutospacing="1"/>
      </w:pPr>
      <w:r w:rsidRPr="00080523">
        <w:rPr>
          <w:rStyle w:val="Strong"/>
        </w:rPr>
        <w:t>There are now more than 30 nations with decriminalisation</w:t>
      </w:r>
      <w:r w:rsidR="00E41E23">
        <w:t xml:space="preserve"> </w:t>
      </w:r>
      <w:r w:rsidR="00D05752">
        <w:fldChar w:fldCharType="begin"/>
      </w:r>
      <w:r w:rsidR="00956746">
        <w:instrText xml:space="preserve"> ADDIN EN.CITE &lt;EndNote&gt;&lt;Cite&gt;&lt;Author&gt;Release LEADS Ltd.&lt;/Author&gt;&lt;Year&gt;2023&lt;/Year&gt;&lt;RecNum&gt;156&lt;/RecNum&gt;&lt;DisplayText&gt;[51]&lt;/DisplayText&gt;&lt;record&gt;&lt;rec-number&gt;156&lt;/rec-number&gt;&lt;foreign-keys&gt;&lt;key app="EN" db-id="5fz2fzfzg2w2x4efdz3xprvlzezfdv2spstv" timestamp="1679524291"&gt;156&lt;/key&gt;&lt;/foreign-keys&gt;&lt;ref-type name="Web Page"&gt;12&lt;/ref-type&gt;&lt;contributors&gt;&lt;authors&gt;&lt;author&gt;Release LEADS Ltd.,&lt;/author&gt;&lt;/authors&gt;&lt;/contributors&gt;&lt;titles&gt;&lt;title&gt;Drug decriminalisation across the world&lt;/title&gt;&lt;secondary-title&gt;Talking Drugs&lt;/secondary-title&gt;&lt;/titles&gt;&lt;periodical&gt;&lt;full-title&gt;Talking Drugs&lt;/full-title&gt;&lt;/periodical&gt;&lt;dates&gt;&lt;year&gt;2023&lt;/year&gt;&lt;pub-dates&gt;&lt;date&gt;Retrieved 15 February 2023&lt;/date&gt;&lt;/pub-dates&gt;&lt;/dates&gt;&lt;urls&gt;&lt;related-urls&gt;&lt;url&gt;https://www.talkingdrugs.org/drug-decriminalisation&lt;/url&gt;&lt;/related-urls&gt;&lt;/urls&gt;&lt;/record&gt;&lt;/Cite&gt;&lt;/EndNote&gt;</w:instrText>
      </w:r>
      <w:r w:rsidR="00D05752">
        <w:fldChar w:fldCharType="separate"/>
      </w:r>
      <w:r w:rsidR="00956746">
        <w:rPr>
          <w:noProof/>
        </w:rPr>
        <w:t>[51]</w:t>
      </w:r>
      <w:r w:rsidR="00D05752">
        <w:fldChar w:fldCharType="end"/>
      </w:r>
      <w:r>
        <w:t>.</w:t>
      </w:r>
      <w:r w:rsidR="00F83D7B">
        <w:t xml:space="preserve"> </w:t>
      </w:r>
      <w:r w:rsidR="00963F1C">
        <w:t xml:space="preserve">They share many of the </w:t>
      </w:r>
      <w:r w:rsidR="00963F1C" w:rsidRPr="001C2800">
        <w:t>beneficial</w:t>
      </w:r>
      <w:r w:rsidR="00963F1C">
        <w:t xml:space="preserve"> changes seen in Portugal. </w:t>
      </w:r>
      <w:r w:rsidR="00B54E39">
        <w:t xml:space="preserve">Changes include </w:t>
      </w:r>
      <w:r w:rsidR="008661D0">
        <w:t xml:space="preserve">reduced </w:t>
      </w:r>
      <w:r w:rsidR="00963F1C">
        <w:t xml:space="preserve">HIV </w:t>
      </w:r>
      <w:r w:rsidR="004A0E10">
        <w:t>infection rate</w:t>
      </w:r>
      <w:r w:rsidR="008661D0">
        <w:t>s</w:t>
      </w:r>
      <w:r w:rsidR="004A0E10">
        <w:t xml:space="preserve"> </w:t>
      </w:r>
      <w:r w:rsidR="00963F1C">
        <w:t xml:space="preserve">among intravenous drug users </w:t>
      </w:r>
      <w:r w:rsidR="00D05752">
        <w:fldChar w:fldCharType="begin"/>
      </w:r>
      <w:r w:rsidR="00956746">
        <w:instrText xml:space="preserve"> ADDIN EN.CITE &lt;EndNote&gt;&lt;Cite&gt;&lt;Author&gt;Fischer&lt;/Author&gt;&lt;Year&gt;2022&lt;/Year&gt;&lt;RecNum&gt;66&lt;/RecNum&gt;&lt;DisplayText&gt;[52]&lt;/DisplayText&gt;&lt;record&gt;&lt;rec-number&gt;66&lt;/rec-number&gt;&lt;foreign-keys&gt;&lt;key app="EN" db-id="5fz2fzfzg2w2x4efdz3xprvlzezfdv2spstv" timestamp="1678334101"&gt;66&lt;/key&gt;&lt;/foreign-keys&gt;&lt;ref-type name="Journal Article"&gt;17&lt;/ref-type&gt;&lt;contributors&gt;&lt;authors&gt;&lt;author&gt;Fischer, Benedikt&lt;/author&gt;&lt;author&gt;Boyd, Neil&lt;/author&gt;&lt;author&gt;Brochu, Serge&lt;/author&gt;&lt;/authors&gt;&lt;/contributors&gt;&lt;titles&gt;&lt;title&gt;Proposals for decriminalization of illicit drug use: Considering a combination of déjà-vu, diversion and devil-with-many-details for health-oriented policy reform&lt;/title&gt;&lt;secondary-title&gt;The Canadian Journal of Psychiatry&lt;/secondary-title&gt;&lt;/titles&gt;&lt;periodical&gt;&lt;full-title&gt;The Canadian Journal of Psychiatry&lt;/full-title&gt;&lt;/periodical&gt;&lt;pages&gt;13-15&lt;/pages&gt;&lt;volume&gt;67&lt;/volume&gt;&lt;number&gt;1&lt;/number&gt;&lt;section&gt;13&lt;/section&gt;&lt;dates&gt;&lt;year&gt;2022&lt;/year&gt;&lt;/dates&gt;&lt;isbn&gt;0706-7437&amp;#xD;1497-0015&lt;/isbn&gt;&lt;urls&gt;&lt;/urls&gt;&lt;electronic-resource-num&gt;10.1177/07067437211019656&lt;/electronic-resource-num&gt;&lt;/record&gt;&lt;/Cite&gt;&lt;/EndNote&gt;</w:instrText>
      </w:r>
      <w:r w:rsidR="00D05752">
        <w:fldChar w:fldCharType="separate"/>
      </w:r>
      <w:r w:rsidR="00956746">
        <w:rPr>
          <w:noProof/>
        </w:rPr>
        <w:t>[52]</w:t>
      </w:r>
      <w:r w:rsidR="00D05752">
        <w:fldChar w:fldCharType="end"/>
      </w:r>
      <w:r w:rsidR="004A0E10">
        <w:t xml:space="preserve"> and</w:t>
      </w:r>
      <w:r w:rsidR="009D197C">
        <w:t>,</w:t>
      </w:r>
      <w:r w:rsidR="004A0E10">
        <w:t xml:space="preserve"> </w:t>
      </w:r>
      <w:r w:rsidR="00476A80">
        <w:t>with fewer minor offences to process,</w:t>
      </w:r>
      <w:r w:rsidR="008661D0">
        <w:t xml:space="preserve"> overcrowding in the criminal justice system is reduced</w:t>
      </w:r>
      <w:r w:rsidR="00B54E39">
        <w:t xml:space="preserve">, </w:t>
      </w:r>
      <w:r w:rsidR="008661D0">
        <w:t>freeing up additional resources</w:t>
      </w:r>
      <w:r w:rsidR="00476A80">
        <w:t xml:space="preserve"> </w:t>
      </w:r>
      <w:r w:rsidR="008661D0">
        <w:t xml:space="preserve">for </w:t>
      </w:r>
      <w:r w:rsidR="00476A80">
        <w:t>target</w:t>
      </w:r>
      <w:r w:rsidR="008661D0">
        <w:t>ing</w:t>
      </w:r>
      <w:r w:rsidR="00476A80">
        <w:t xml:space="preserve"> drug trafficking </w:t>
      </w:r>
      <w:r w:rsidR="00D05752">
        <w:fldChar w:fldCharType="begin"/>
      </w:r>
      <w:r w:rsidR="00956746">
        <w:instrText xml:space="preserve"> ADDIN EN.CITE &lt;EndNote&gt;&lt;Cite&gt;&lt;Author&gt;Hughes&lt;/Author&gt;&lt;Year&gt;2019&lt;/Year&gt;&lt;RecNum&gt;87&lt;/RecNum&gt;&lt;DisplayText&gt;[47]&lt;/DisplayText&gt;&lt;record&gt;&lt;rec-number&gt;87&lt;/rec-number&gt;&lt;foreign-keys&gt;&lt;key app="EN" db-id="5fz2fzfzg2w2x4efdz3xprvlzezfdv2spstv" timestamp="1678343592"&gt;87&lt;/key&gt;&lt;/foreign-keys&gt;&lt;ref-type name="Conference Paper"&gt;47&lt;/ref-type&gt;&lt;contributors&gt;&lt;authors&gt;&lt;author&gt;Hughes, Caitlin&lt;/author&gt;&lt;author&gt;Stevens, Alex&lt;/author&gt;&lt;author&gt;Hulme, Shann&lt;/author&gt;&lt;author&gt;Cassidy, Rebecca&lt;/author&gt;&lt;/authors&gt;&lt;/contributors&gt;&lt;titles&gt;&lt;title&gt;Models for the decriminalisation, depenalisation and diversion of illicit drug possession: An international realist review&lt;/title&gt;&lt;secondary-title&gt;2019 International Society for the Study of Drug Policy Conference&lt;/secondary-title&gt;&lt;/titles&gt;&lt;keywords&gt;&lt;keyword&gt;decriminalisation&lt;/keyword&gt;&lt;keyword&gt;diversion&lt;/keyword&gt;&lt;keyword&gt;depenalisation: illicit drugs&lt;/keyword&gt;&lt;/keywords&gt;&lt;dates&gt;&lt;year&gt;2019&lt;/year&gt;&lt;pub-dates&gt;&lt;date&gt;22-24 May&lt;/date&gt;&lt;/pub-dates&gt;&lt;/dates&gt;&lt;pub-location&gt;Paris&lt;/pub-location&gt;&lt;urls&gt;&lt;/urls&gt;&lt;/record&gt;&lt;/Cite&gt;&lt;/EndNote&gt;</w:instrText>
      </w:r>
      <w:r w:rsidR="00D05752">
        <w:fldChar w:fldCharType="separate"/>
      </w:r>
      <w:r w:rsidR="00956746">
        <w:rPr>
          <w:noProof/>
        </w:rPr>
        <w:t>[47]</w:t>
      </w:r>
      <w:r w:rsidR="00D05752">
        <w:fldChar w:fldCharType="end"/>
      </w:r>
      <w:r w:rsidR="009D197C">
        <w:t xml:space="preserve"> and support</w:t>
      </w:r>
      <w:r w:rsidR="008661D0">
        <w:t xml:space="preserve">ing </w:t>
      </w:r>
      <w:r w:rsidR="009D197C">
        <w:t xml:space="preserve">people with complex needs </w:t>
      </w:r>
      <w:r w:rsidR="00D05752">
        <w:fldChar w:fldCharType="begin"/>
      </w:r>
      <w:r w:rsidR="00956746">
        <w:instrText xml:space="preserve"> ADDIN EN.CITE &lt;EndNote&gt;&lt;Cite&gt;&lt;Author&gt;Bhui&lt;/Author&gt;&lt;Year&gt;2019&lt;/Year&gt;&lt;RecNum&gt;121&lt;/RecNum&gt;&lt;DisplayText&gt;[53]&lt;/DisplayText&gt;&lt;record&gt;&lt;rec-number&gt;121&lt;/rec-number&gt;&lt;foreign-keys&gt;&lt;key app="EN" db-id="5fz2fzfzg2w2x4efdz3xprvlzezfdv2spstv" timestamp="1678428029"&gt;121&lt;/key&gt;&lt;/foreign-keys&gt;&lt;ref-type name="Journal Article"&gt;17&lt;/ref-type&gt;&lt;contributors&gt;&lt;authors&gt;&lt;author&gt;Bhui, Kamaldeep S.&lt;/author&gt;&lt;author&gt;Byrne, Peter&lt;/author&gt;&lt;author&gt;Goslar, Diane&lt;/author&gt;&lt;author&gt;Sinclair, Julia&lt;/author&gt;&lt;/authors&gt;&lt;/contributors&gt;&lt;titles&gt;&lt;title&gt;Addiction care in crisis: Evidence should drive progressive policy and practice&lt;/title&gt;&lt;secondary-title&gt;British Journal of Psychiatry&lt;/secondary-title&gt;&lt;/titles&gt;&lt;periodical&gt;&lt;full-title&gt;British Journal of Psychiatry&lt;/full-title&gt;&lt;/periodical&gt;&lt;pages&gt;702-703&lt;/pages&gt;&lt;volume&gt;215&lt;/volume&gt;&lt;number&gt;6&lt;/number&gt;&lt;section&gt;702&lt;/section&gt;&lt;dates&gt;&lt;year&gt;2019&lt;/year&gt;&lt;/dates&gt;&lt;isbn&gt;0007-1250&amp;#xD;1472-1465&lt;/isbn&gt;&lt;urls&gt;&lt;/urls&gt;&lt;electronic-resource-num&gt;10.1192/bjp.2019.158&lt;/electronic-resource-num&gt;&lt;/record&gt;&lt;/Cite&gt;&lt;/EndNote&gt;</w:instrText>
      </w:r>
      <w:r w:rsidR="00D05752">
        <w:fldChar w:fldCharType="separate"/>
      </w:r>
      <w:r w:rsidR="00956746">
        <w:rPr>
          <w:noProof/>
        </w:rPr>
        <w:t>[53]</w:t>
      </w:r>
      <w:r w:rsidR="00D05752">
        <w:fldChar w:fldCharType="end"/>
      </w:r>
      <w:r w:rsidR="00476A80">
        <w:t xml:space="preserve">. </w:t>
      </w:r>
    </w:p>
    <w:p w14:paraId="796E1AA7" w14:textId="21F8CF0E" w:rsidR="00476A80" w:rsidRPr="00080523" w:rsidRDefault="008661D0" w:rsidP="0067398A">
      <w:pPr>
        <w:pStyle w:val="BodyText"/>
        <w:spacing w:before="100" w:beforeAutospacing="1" w:after="100" w:afterAutospacing="1"/>
        <w:rPr>
          <w:rStyle w:val="Strong"/>
          <w:b w:val="0"/>
        </w:rPr>
      </w:pPr>
      <w:r w:rsidRPr="00080523">
        <w:rPr>
          <w:rStyle w:val="Strong"/>
          <w:b w:val="0"/>
        </w:rPr>
        <w:t>Importantly, d</w:t>
      </w:r>
      <w:r w:rsidR="00F83D7B" w:rsidRPr="00080523">
        <w:rPr>
          <w:rStyle w:val="Strong"/>
          <w:b w:val="0"/>
        </w:rPr>
        <w:t>ecriminalisation is associated with</w:t>
      </w:r>
      <w:r w:rsidR="00F83D7B" w:rsidRPr="00080523">
        <w:rPr>
          <w:rStyle w:val="Strong"/>
        </w:rPr>
        <w:t xml:space="preserve"> </w:t>
      </w:r>
      <w:r w:rsidR="00F83D7B" w:rsidRPr="00080523">
        <w:rPr>
          <w:rStyle w:val="Strong"/>
          <w:b w:val="0"/>
        </w:rPr>
        <w:t>reductions in the prevalence of drug use disorders and deaths cause</w:t>
      </w:r>
      <w:r w:rsidR="008E3309">
        <w:rPr>
          <w:rStyle w:val="Strong"/>
          <w:b w:val="0"/>
        </w:rPr>
        <w:t>d</w:t>
      </w:r>
      <w:r w:rsidR="00F83D7B" w:rsidRPr="00080523">
        <w:rPr>
          <w:rStyle w:val="Strong"/>
          <w:b w:val="0"/>
        </w:rPr>
        <w:t xml:space="preserve"> by drugs.</w:t>
      </w:r>
    </w:p>
    <w:p w14:paraId="203C9ABA" w14:textId="06CEC323" w:rsidR="00403BA9" w:rsidRPr="00080523" w:rsidRDefault="00F83D7B" w:rsidP="0067398A">
      <w:pPr>
        <w:pStyle w:val="BodyText"/>
        <w:spacing w:before="100" w:beforeAutospacing="1" w:after="100" w:afterAutospacing="1"/>
        <w:rPr>
          <w:rStyle w:val="IntenseEmphasis"/>
          <w:b/>
          <w:sz w:val="28"/>
          <w:szCs w:val="28"/>
        </w:rPr>
      </w:pPr>
      <w:r w:rsidRPr="00080523">
        <w:rPr>
          <w:rStyle w:val="IntenseEmphasis"/>
          <w:b/>
          <w:i w:val="0"/>
          <w:iCs w:val="0"/>
          <w:color w:val="575F61"/>
        </w:rPr>
        <w:t xml:space="preserve">Despite multiple versions of decriminalisation operating internationally, there are better health and social cost outcomes associated with drug use in countries with decriminalisation than in those without. </w:t>
      </w:r>
    </w:p>
    <w:p w14:paraId="76A4D853" w14:textId="77777777" w:rsidR="0010318A" w:rsidRDefault="0010318A" w:rsidP="007E536B">
      <w:pPr>
        <w:pStyle w:val="Heading3"/>
      </w:pPr>
      <w:bookmarkStart w:id="43" w:name="_Toc136851464"/>
      <w:r>
        <w:t xml:space="preserve">Decriminalisation </w:t>
      </w:r>
      <w:r w:rsidR="00C0360F">
        <w:t xml:space="preserve">reduces the </w:t>
      </w:r>
      <w:r>
        <w:t>prevalence of drug use disorders</w:t>
      </w:r>
      <w:bookmarkEnd w:id="43"/>
    </w:p>
    <w:p w14:paraId="2D0BD70C" w14:textId="30963090" w:rsidR="0010318A" w:rsidRDefault="00463665" w:rsidP="0010318A">
      <w:pPr>
        <w:pStyle w:val="BodyText"/>
      </w:pPr>
      <w:r>
        <w:t xml:space="preserve">The </w:t>
      </w:r>
      <w:r w:rsidR="001C1900">
        <w:t xml:space="preserve">Global Burden of Disease study </w:t>
      </w:r>
      <w:r w:rsidR="00B542F0">
        <w:fldChar w:fldCharType="begin"/>
      </w:r>
      <w:r w:rsidR="00956746">
        <w:instrText xml:space="preserve"> ADDIN EN.CITE &lt;EndNote&gt;&lt;Cite&gt;&lt;Author&gt;Institute for Health Metrics and Evaluation (IHME)&lt;/Author&gt;&lt;Year&gt;2019&lt;/Year&gt;&lt;RecNum&gt;159&lt;/RecNum&gt;&lt;DisplayText&gt;[54]&lt;/DisplayText&gt;&lt;record&gt;&lt;rec-number&gt;159&lt;/rec-number&gt;&lt;foreign-keys&gt;&lt;key app="EN" db-id="5fz2fzfzg2w2x4efdz3xprvlzezfdv2spstv" timestamp="1679530255"&gt;159&lt;/key&gt;&lt;/foreign-keys&gt;&lt;ref-type name="Web Page"&gt;12&lt;/ref-type&gt;&lt;contributors&gt;&lt;authors&gt;&lt;author&gt;Institute for Health Metrics and Evaluation (IHME),&lt;/author&gt;&lt;/authors&gt;&lt;/contributors&gt;&lt;titles&gt;&lt;title&gt;GBD Compare&lt;/title&gt;&lt;/titles&gt;&lt;number&gt;Retrieved 1st March 2023&lt;/number&gt;&lt;dates&gt;&lt;year&gt;2019&lt;/year&gt;&lt;/dates&gt;&lt;pub-location&gt;Seattle, WA&lt;/pub-location&gt;&lt;publisher&gt;IHME, University of Washington&lt;/publisher&gt;&lt;urls&gt;&lt;related-urls&gt;&lt;url&gt;https://vizhub.healthdata.org/gbd-compare/&lt;/url&gt;&lt;/related-urls&gt;&lt;/urls&gt;&lt;/record&gt;&lt;/Cite&gt;&lt;/EndNote&gt;</w:instrText>
      </w:r>
      <w:r w:rsidR="00B542F0">
        <w:fldChar w:fldCharType="separate"/>
      </w:r>
      <w:r w:rsidR="00956746">
        <w:rPr>
          <w:noProof/>
        </w:rPr>
        <w:t>[54]</w:t>
      </w:r>
      <w:r w:rsidR="00B542F0">
        <w:fldChar w:fldCharType="end"/>
      </w:r>
      <w:r w:rsidR="008661D0">
        <w:t xml:space="preserve"> provides prevalence </w:t>
      </w:r>
      <w:r w:rsidR="002B4FB3">
        <w:t>data for</w:t>
      </w:r>
      <w:r w:rsidR="008661D0">
        <w:t xml:space="preserve"> drug use disorders and drug use deaths in countries broadly comparable with Australia (OECD nations)</w:t>
      </w:r>
      <w:r w:rsidR="001C1900">
        <w:t xml:space="preserve">. </w:t>
      </w:r>
    </w:p>
    <w:p w14:paraId="7B243848" w14:textId="77777777" w:rsidR="00D10191" w:rsidRDefault="00D10191">
      <w:pPr>
        <w:spacing w:before="0" w:after="0"/>
        <w:rPr>
          <w:szCs w:val="24"/>
        </w:rPr>
      </w:pPr>
      <w:r>
        <w:br w:type="page"/>
      </w:r>
    </w:p>
    <w:p w14:paraId="3A45BA9B" w14:textId="07475F75" w:rsidR="00463665" w:rsidRDefault="008661D0" w:rsidP="0010318A">
      <w:pPr>
        <w:pStyle w:val="BodyText"/>
      </w:pPr>
      <w:r>
        <w:t>B</w:t>
      </w:r>
      <w:r w:rsidR="00D43B2A">
        <w:t xml:space="preserve">etween 1990 and 2019, the prevalence of drug use disorders </w:t>
      </w:r>
      <w:r w:rsidR="00476A80">
        <w:t xml:space="preserve">(DUD) </w:t>
      </w:r>
      <w:r w:rsidR="00D43B2A">
        <w:t xml:space="preserve">declined in </w:t>
      </w:r>
      <w:r w:rsidR="004A0E10">
        <w:t xml:space="preserve">OECD </w:t>
      </w:r>
      <w:r w:rsidR="00D43B2A">
        <w:t xml:space="preserve">countries with decriminalisation (Figure </w:t>
      </w:r>
      <w:r w:rsidR="00410432">
        <w:t>2</w:t>
      </w:r>
      <w:r w:rsidR="00D43B2A">
        <w:t>)</w:t>
      </w:r>
      <w:r w:rsidR="00DA5278">
        <w:t xml:space="preserve"> and </w:t>
      </w:r>
      <w:r w:rsidR="004A0E10">
        <w:t>rose</w:t>
      </w:r>
      <w:r w:rsidR="00DA5278">
        <w:t xml:space="preserve"> in countries without</w:t>
      </w:r>
      <w:r w:rsidR="00476A80">
        <w:t xml:space="preserve">. </w:t>
      </w:r>
    </w:p>
    <w:p w14:paraId="20149E95" w14:textId="77777777" w:rsidR="008E530A" w:rsidRPr="0010318A" w:rsidRDefault="008E530A" w:rsidP="0010318A">
      <w:pPr>
        <w:pStyle w:val="BodyText"/>
      </w:pPr>
      <w:r>
        <w:rPr>
          <w:noProof/>
        </w:rPr>
        <w:drawing>
          <wp:anchor distT="0" distB="0" distL="114300" distR="114300" simplePos="0" relativeHeight="251729920" behindDoc="1" locked="0" layoutInCell="1" allowOverlap="1" wp14:anchorId="5980AE89" wp14:editId="70F9A69B">
            <wp:simplePos x="0" y="0"/>
            <wp:positionH relativeFrom="margin">
              <wp:align>left</wp:align>
            </wp:positionH>
            <wp:positionV relativeFrom="paragraph">
              <wp:posOffset>243840</wp:posOffset>
            </wp:positionV>
            <wp:extent cx="5942965" cy="3164205"/>
            <wp:effectExtent l="0" t="0" r="635" b="17145"/>
            <wp:wrapTight wrapText="bothSides">
              <wp:wrapPolygon edited="0">
                <wp:start x="0" y="0"/>
                <wp:lineTo x="0" y="21587"/>
                <wp:lineTo x="21533" y="21587"/>
                <wp:lineTo x="21533" y="0"/>
                <wp:lineTo x="0" y="0"/>
              </wp:wrapPolygon>
            </wp:wrapTight>
            <wp:docPr id="28" name="Chart 28" descr="Figure 2 is a line chart that shows the average prevalence of drug use disorders from 1990 to 2019 in all OECD countries, OECD countries in which illicit drug use is decriminalised and OECD countries in which illicit drug use is criminalised. The mean prevalence of drug use disorder is around 1000 people per 100,000 population. Mean prevalence in countries with decriminalisation is higher than the OECD average over the whole period and growing to be 8% higher than the OECD average in 2019. Mean prevalence in countries with decriminalisation is lower than the OECD average over the entire period and falling. In 2019, it was 12% lower than the OECD average. ">
              <a:extLst xmlns:a="http://schemas.openxmlformats.org/drawingml/2006/main">
                <a:ext uri="{FF2B5EF4-FFF2-40B4-BE49-F238E27FC236}">
                  <a16:creationId xmlns:a16="http://schemas.microsoft.com/office/drawing/2014/main" id="{E73C567E-8AA7-45B7-8A4B-D2AD9EC04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774747C0" w14:textId="3383E36B" w:rsidR="00D43B2A" w:rsidRDefault="00D43B2A" w:rsidP="00D10191">
      <w:pPr>
        <w:pStyle w:val="Captions"/>
        <w:spacing w:before="100" w:beforeAutospacing="1" w:after="100" w:afterAutospacing="1"/>
        <w:rPr>
          <w:lang w:val="en-AU"/>
        </w:rPr>
      </w:pPr>
      <w:r w:rsidRPr="00D43B2A">
        <w:t xml:space="preserve">Figure </w:t>
      </w:r>
      <w:r w:rsidR="00A30FE3">
        <w:t>2</w:t>
      </w:r>
      <w:r w:rsidRPr="00D43B2A">
        <w:t xml:space="preserve">: </w:t>
      </w:r>
      <w:r w:rsidRPr="00D43B2A">
        <w:rPr>
          <w:lang w:val="en-AU"/>
        </w:rPr>
        <w:t>Comparison of mean prevalence rate of DUDs per 100,000 population, OECD</w:t>
      </w:r>
    </w:p>
    <w:p w14:paraId="049885DE" w14:textId="3D6C9A37" w:rsidR="00CB468F" w:rsidRDefault="00CB468F" w:rsidP="00D10191">
      <w:pPr>
        <w:pStyle w:val="BodyText"/>
        <w:spacing w:before="100" w:beforeAutospacing="1" w:after="100" w:afterAutospacing="1"/>
        <w:rPr>
          <w:lang w:val="en-AU"/>
        </w:rPr>
      </w:pPr>
      <w:r>
        <w:rPr>
          <w:lang w:val="en-AU"/>
        </w:rPr>
        <w:t xml:space="preserve">The reduction in prevalence of drug use disorders in countries with decriminalisation is small, but markedly different from the increase experienced in countries without decriminalisation (Figure </w:t>
      </w:r>
      <w:r w:rsidR="00410432">
        <w:rPr>
          <w:lang w:val="en-AU"/>
        </w:rPr>
        <w:t>3</w:t>
      </w:r>
      <w:r>
        <w:rPr>
          <w:lang w:val="en-AU"/>
        </w:rPr>
        <w:t xml:space="preserve">). </w:t>
      </w:r>
    </w:p>
    <w:p w14:paraId="3DFC2881" w14:textId="0147F135" w:rsidR="00403BA9" w:rsidRPr="00D43B2A" w:rsidRDefault="00403BA9" w:rsidP="00476A80">
      <w:pPr>
        <w:pStyle w:val="Captions"/>
        <w:rPr>
          <w:lang w:val="en-AU"/>
        </w:rPr>
      </w:pPr>
      <w:r>
        <w:rPr>
          <w:b w:val="0"/>
          <w:bCs w:val="0"/>
          <w:i w:val="0"/>
          <w:noProof/>
        </w:rPr>
        <w:drawing>
          <wp:anchor distT="0" distB="0" distL="114300" distR="114300" simplePos="0" relativeHeight="251728896" behindDoc="1" locked="0" layoutInCell="1" allowOverlap="1" wp14:anchorId="043D00EF" wp14:editId="7E44EAB8">
            <wp:simplePos x="0" y="0"/>
            <wp:positionH relativeFrom="margin">
              <wp:align>left</wp:align>
            </wp:positionH>
            <wp:positionV relativeFrom="paragraph">
              <wp:posOffset>228600</wp:posOffset>
            </wp:positionV>
            <wp:extent cx="5942965" cy="1571625"/>
            <wp:effectExtent l="0" t="0" r="635" b="9525"/>
            <wp:wrapTopAndBottom/>
            <wp:docPr id="14" name="Chart 14" descr="Figure 3 is a bar chart showing the change in prevalence of drug use disorders between 1990 and 2019 in OECD nations with decriminalisation and OECD nations without decriminalisation. Prevalence has fallen by 0.48% in OECD nations with decriminalisation and prevalence has risen by 0.1% in countries with criminalisation.">
              <a:extLst xmlns:a="http://schemas.openxmlformats.org/drawingml/2006/main">
                <a:ext uri="{FF2B5EF4-FFF2-40B4-BE49-F238E27FC236}">
                  <a16:creationId xmlns:a16="http://schemas.microsoft.com/office/drawing/2014/main" id="{379B54BA-3C69-42DA-9EBD-69694D55E9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14:paraId="6A049F7D" w14:textId="0E96C92F" w:rsidR="0010318A" w:rsidRDefault="00D43B2A" w:rsidP="00D10191">
      <w:pPr>
        <w:pStyle w:val="Captions"/>
        <w:spacing w:before="100" w:beforeAutospacing="1" w:after="100" w:afterAutospacing="1"/>
      </w:pPr>
      <w:r w:rsidRPr="00D43B2A">
        <w:t xml:space="preserve">Figure </w:t>
      </w:r>
      <w:r w:rsidR="00A30FE3">
        <w:t>3</w:t>
      </w:r>
      <w:r w:rsidRPr="00D43B2A">
        <w:t xml:space="preserve">: </w:t>
      </w:r>
      <w:r w:rsidRPr="00D43B2A">
        <w:rPr>
          <w:lang w:val="en-AU"/>
        </w:rPr>
        <w:t>OECD change in prevalence of DUDs, 1990</w:t>
      </w:r>
      <w:r w:rsidR="00476A80">
        <w:rPr>
          <w:lang w:val="en-AU"/>
        </w:rPr>
        <w:t>–</w:t>
      </w:r>
      <w:r w:rsidRPr="00D43B2A">
        <w:rPr>
          <w:lang w:val="en-AU"/>
        </w:rPr>
        <w:t>2019</w:t>
      </w:r>
    </w:p>
    <w:p w14:paraId="73AA9C1E" w14:textId="77777777" w:rsidR="004C66A7" w:rsidRDefault="004C66A7" w:rsidP="007E536B">
      <w:pPr>
        <w:pStyle w:val="Heading3"/>
      </w:pPr>
      <w:bookmarkStart w:id="44" w:name="_Toc136851465"/>
      <w:r>
        <w:t xml:space="preserve">Decriminalisation </w:t>
      </w:r>
      <w:r w:rsidR="00C0360F">
        <w:t xml:space="preserve">reduces </w:t>
      </w:r>
      <w:r>
        <w:t>deaths due to drug use disorder</w:t>
      </w:r>
      <w:r w:rsidR="002B4FB3">
        <w:t>s</w:t>
      </w:r>
      <w:bookmarkEnd w:id="44"/>
    </w:p>
    <w:p w14:paraId="733424F4" w14:textId="60679845" w:rsidR="00DA5278" w:rsidRDefault="00DA5278" w:rsidP="00D10191">
      <w:pPr>
        <w:pStyle w:val="BodyText"/>
        <w:spacing w:before="100" w:beforeAutospacing="1" w:after="100" w:afterAutospacing="1"/>
      </w:pPr>
      <w:r>
        <w:t xml:space="preserve">Between 1990 and 2019 there has been an overall increase in the proportion of all </w:t>
      </w:r>
      <w:r w:rsidR="004C66A7">
        <w:t xml:space="preserve">OECD </w:t>
      </w:r>
      <w:r>
        <w:t>deaths caused by drug use disorders</w:t>
      </w:r>
      <w:r w:rsidR="004C66A7">
        <w:t xml:space="preserve">. </w:t>
      </w:r>
      <w:r w:rsidR="00337282">
        <w:t>T</w:t>
      </w:r>
      <w:r w:rsidR="00892182">
        <w:t xml:space="preserve">he OECD average </w:t>
      </w:r>
      <w:r w:rsidR="00E27852">
        <w:t xml:space="preserve">for this period </w:t>
      </w:r>
      <w:r w:rsidR="00892182">
        <w:t>is</w:t>
      </w:r>
      <w:r w:rsidR="004C66A7">
        <w:t xml:space="preserve"> very low</w:t>
      </w:r>
      <w:r w:rsidR="003F781A">
        <w:t>,</w:t>
      </w:r>
      <w:r w:rsidR="004C66A7">
        <w:t xml:space="preserve"> at</w:t>
      </w:r>
      <w:r w:rsidR="00892182">
        <w:t xml:space="preserve"> </w:t>
      </w:r>
      <w:r w:rsidR="00E27852">
        <w:t>0.24% of all death</w:t>
      </w:r>
      <w:r w:rsidR="003F781A">
        <w:t>s,</w:t>
      </w:r>
      <w:r w:rsidR="004C66A7">
        <w:t xml:space="preserve"> and countries where drug use is criminalised account for most of the increase in the death rate since 1994.</w:t>
      </w:r>
      <w:r>
        <w:t xml:space="preserve"> </w:t>
      </w:r>
      <w:r w:rsidR="00D167E0">
        <w:t>Between 1994 and 2019,</w:t>
      </w:r>
      <w:r w:rsidR="00DA1883">
        <w:t xml:space="preserve"> </w:t>
      </w:r>
      <w:r w:rsidR="00CB468F">
        <w:t>in countries where drug use is criminalised the death rate</w:t>
      </w:r>
      <w:r w:rsidR="00DA1883">
        <w:t xml:space="preserve"> increased by 110% </w:t>
      </w:r>
      <w:r>
        <w:t>(</w:t>
      </w:r>
      <w:r w:rsidR="00E24428">
        <w:t xml:space="preserve">green line, </w:t>
      </w:r>
      <w:r>
        <w:t xml:space="preserve">Figure </w:t>
      </w:r>
      <w:r w:rsidR="00410432">
        <w:t>4</w:t>
      </w:r>
      <w:r w:rsidR="00892182">
        <w:t>)</w:t>
      </w:r>
      <w:r w:rsidR="00D05752">
        <w:t xml:space="preserve">, </w:t>
      </w:r>
      <w:r w:rsidR="00CB468F">
        <w:t>compared to a</w:t>
      </w:r>
      <w:r w:rsidR="00DA1883">
        <w:t xml:space="preserve"> 17% increase where </w:t>
      </w:r>
      <w:r w:rsidR="00D05752">
        <w:t>decriminalisation is in place (red line)</w:t>
      </w:r>
      <w:r>
        <w:t xml:space="preserve">. </w:t>
      </w:r>
    </w:p>
    <w:p w14:paraId="327AA0CC" w14:textId="77777777" w:rsidR="007523EE" w:rsidRDefault="007523EE" w:rsidP="00765B28">
      <w:pPr>
        <w:pStyle w:val="BodyText"/>
        <w:rPr>
          <w:b/>
          <w:bCs/>
          <w:lang w:val="en-AU"/>
        </w:rPr>
      </w:pPr>
      <w:r>
        <w:rPr>
          <w:noProof/>
        </w:rPr>
        <w:drawing>
          <wp:anchor distT="0" distB="0" distL="114300" distR="114300" simplePos="0" relativeHeight="251730944" behindDoc="1" locked="0" layoutInCell="1" allowOverlap="1" wp14:anchorId="0A58251E" wp14:editId="3DE5AD87">
            <wp:simplePos x="0" y="0"/>
            <wp:positionH relativeFrom="margin">
              <wp:posOffset>2540</wp:posOffset>
            </wp:positionH>
            <wp:positionV relativeFrom="paragraph">
              <wp:posOffset>226060</wp:posOffset>
            </wp:positionV>
            <wp:extent cx="5934075" cy="3114675"/>
            <wp:effectExtent l="0" t="0" r="9525" b="9525"/>
            <wp:wrapTopAndBottom/>
            <wp:docPr id="32" name="Chart 32" descr="Figure 4 is a line chart showing the mean death rate as a percentage of all deaths from 1990 to 2023 in the OECD.  The mean death rate across all OECD nations has risen from 0.132 percent in 1990 to 0.321 percent in 2023 and averages 0.24 percent across the period. The average death rate in OECD nations without decriminalisation is higher throughout the period, rising from 0.145 percent in 1990 to 0.411 percent in 2023 and averages 0.298 percent across the period. The death rate in OECD countries with decriminalisation is lower than the OECD average across the entire period. It rises from 0.112 percent in 1990 to 0.184 percent in 2023 and averages 0.157 percent across the period.">
              <a:extLst xmlns:a="http://schemas.openxmlformats.org/drawingml/2006/main">
                <a:ext uri="{FF2B5EF4-FFF2-40B4-BE49-F238E27FC236}">
                  <a16:creationId xmlns:a16="http://schemas.microsoft.com/office/drawing/2014/main" id="{9DF9606D-96C9-4863-AFC1-C0B1B5B4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5778B33" w14:textId="17007BC4" w:rsidR="00892182" w:rsidRDefault="0067398A" w:rsidP="00D10191">
      <w:pPr>
        <w:pStyle w:val="Captions"/>
        <w:spacing w:before="100" w:beforeAutospacing="1" w:after="100" w:afterAutospacing="1"/>
      </w:pPr>
      <w:r>
        <w:rPr>
          <w:noProof/>
        </w:rPr>
        <w:drawing>
          <wp:anchor distT="0" distB="0" distL="114300" distR="114300" simplePos="0" relativeHeight="251954176" behindDoc="0" locked="0" layoutInCell="1" allowOverlap="1" wp14:anchorId="4A43F772" wp14:editId="6EEB0756">
            <wp:simplePos x="0" y="0"/>
            <wp:positionH relativeFrom="margin">
              <wp:align>left</wp:align>
            </wp:positionH>
            <wp:positionV relativeFrom="paragraph">
              <wp:posOffset>3657246</wp:posOffset>
            </wp:positionV>
            <wp:extent cx="5944870" cy="1609725"/>
            <wp:effectExtent l="0" t="0" r="17780" b="9525"/>
            <wp:wrapTopAndBottom/>
            <wp:docPr id="12" name="Chart 12" descr="Figure 5 is a bar chart showing the change in annual death rate due to drug use disorders as a percentage of all deaths between 1990 and 2019. In OECD countries without decriminalisation the death rate increased by 0.411 percent. In OECD countries with decriminalisation. the increase was much lower at 0.175 percent. ">
              <a:extLst xmlns:a="http://schemas.openxmlformats.org/drawingml/2006/main">
                <a:ext uri="{FF2B5EF4-FFF2-40B4-BE49-F238E27FC236}">
                  <a16:creationId xmlns:a16="http://schemas.microsoft.com/office/drawing/2014/main" id="{6E5248E1-051E-4DE5-8B96-D238573E1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892182" w:rsidRPr="00892182">
        <w:t xml:space="preserve">Figure </w:t>
      </w:r>
      <w:r w:rsidR="00A30FE3">
        <w:t>4</w:t>
      </w:r>
      <w:r w:rsidR="00337282">
        <w:t>:</w:t>
      </w:r>
      <w:r w:rsidR="00892182" w:rsidRPr="00892182">
        <w:t xml:space="preserve"> Comparison of mean death rate from DUDs per 100,000 population, OECD</w:t>
      </w:r>
    </w:p>
    <w:p w14:paraId="5D90B2C2" w14:textId="44EEE938" w:rsidR="00463665" w:rsidRDefault="00463665" w:rsidP="00463665">
      <w:pPr>
        <w:pStyle w:val="BodyText"/>
      </w:pPr>
    </w:p>
    <w:p w14:paraId="1326AD66" w14:textId="1E0D6AB3" w:rsidR="00337282" w:rsidRPr="00337282" w:rsidRDefault="00337282" w:rsidP="0067398A">
      <w:pPr>
        <w:pStyle w:val="Captions"/>
        <w:spacing w:before="0" w:after="100" w:afterAutospacing="1"/>
        <w:rPr>
          <w:lang w:val="en-AU"/>
        </w:rPr>
      </w:pPr>
      <w:r>
        <w:t xml:space="preserve">Figure </w:t>
      </w:r>
      <w:r w:rsidR="00A30FE3">
        <w:t>5</w:t>
      </w:r>
      <w:r>
        <w:t xml:space="preserve">: </w:t>
      </w:r>
      <w:r w:rsidRPr="00337282">
        <w:rPr>
          <w:lang w:val="en-AU"/>
        </w:rPr>
        <w:t xml:space="preserve">Comparison in deaths due to </w:t>
      </w:r>
      <w:r>
        <w:rPr>
          <w:lang w:val="en-AU"/>
        </w:rPr>
        <w:t>drug use disorders</w:t>
      </w:r>
      <w:r w:rsidRPr="00337282">
        <w:rPr>
          <w:lang w:val="en-AU"/>
        </w:rPr>
        <w:t>, 2019, OECD nations with and without decriminalisation</w:t>
      </w:r>
    </w:p>
    <w:p w14:paraId="4440C5CC" w14:textId="7C71EE19" w:rsidR="00CB468F" w:rsidRDefault="00CB468F" w:rsidP="00D10191">
      <w:pPr>
        <w:pStyle w:val="BodyText"/>
        <w:spacing w:before="100" w:beforeAutospacing="1" w:after="100" w:afterAutospacing="1"/>
      </w:pPr>
      <w:r>
        <w:t xml:space="preserve">The gap has widened and by 2019, the proportion of all deaths related to drug use disorders was 2.3 </w:t>
      </w:r>
      <w:r w:rsidR="003F781A">
        <w:t xml:space="preserve">times </w:t>
      </w:r>
      <w:r>
        <w:t xml:space="preserve">higher in countries where drug use is criminalised (Figure </w:t>
      </w:r>
      <w:r w:rsidR="00410432">
        <w:t>5</w:t>
      </w:r>
      <w:r>
        <w:t xml:space="preserve">) than where it is decriminalised. </w:t>
      </w:r>
    </w:p>
    <w:p w14:paraId="03F0F1A3" w14:textId="5B1AD909" w:rsidR="00CB468F" w:rsidRDefault="00CB468F" w:rsidP="007E536B">
      <w:pPr>
        <w:pStyle w:val="Heading3"/>
      </w:pPr>
      <w:bookmarkStart w:id="45" w:name="_Toc136851466"/>
      <w:r w:rsidRPr="00FA652C">
        <w:t>Decriminalisation is saving lives</w:t>
      </w:r>
      <w:bookmarkEnd w:id="45"/>
    </w:p>
    <w:p w14:paraId="5C8C79DE" w14:textId="5F04453F" w:rsidR="0067398A" w:rsidRDefault="00337282" w:rsidP="0067398A">
      <w:pPr>
        <w:spacing w:before="100" w:beforeAutospacing="1" w:after="100" w:afterAutospacing="1"/>
        <w:rPr>
          <w:szCs w:val="24"/>
        </w:rPr>
      </w:pPr>
      <w:r>
        <w:rPr>
          <w:lang w:val="en-AU"/>
        </w:rPr>
        <w:t>Internationally</w:t>
      </w:r>
      <w:r w:rsidR="00040E2A">
        <w:t xml:space="preserve">, </w:t>
      </w:r>
      <w:r w:rsidR="00765B28">
        <w:t>the United States is a clear outlier</w:t>
      </w:r>
      <w:r w:rsidR="003F781A">
        <w:t xml:space="preserve">. It continues to experience </w:t>
      </w:r>
      <w:r w:rsidR="00765B28">
        <w:t xml:space="preserve">striking increases in </w:t>
      </w:r>
      <w:r w:rsidR="003F781A">
        <w:t xml:space="preserve">the </w:t>
      </w:r>
      <w:r w:rsidR="00765B28">
        <w:t>prevalence of drug use disorders and in deaths due to drug use disorders (</w:t>
      </w:r>
      <w:r w:rsidR="00765B28" w:rsidRPr="003C4782">
        <w:t>2.23</w:t>
      </w:r>
      <w:r w:rsidR="00765B28">
        <w:t xml:space="preserve">% of the nation’s total deaths in 2019). </w:t>
      </w:r>
      <w:r>
        <w:t>This reflects a battle with illicit use of prescription opioids, as well as a very complex policing environment</w:t>
      </w:r>
      <w:r w:rsidR="00195593">
        <w:t>, some failings in healthcare provision,</w:t>
      </w:r>
      <w:r>
        <w:t xml:space="preserve"> and high levels of stigma attached to drug use</w:t>
      </w:r>
      <w:r w:rsidR="00195593">
        <w:t xml:space="preserve"> </w:t>
      </w:r>
      <w:r w:rsidR="00195593">
        <w:fldChar w:fldCharType="begin"/>
      </w:r>
      <w:r w:rsidR="00956746">
        <w:instrText xml:space="preserve"> ADDIN EN.CITE &lt;EndNote&gt;&lt;Cite&gt;&lt;Author&gt;Park&lt;/Author&gt;&lt;Year&gt;2020&lt;/Year&gt;&lt;RecNum&gt;83&lt;/RecNum&gt;&lt;DisplayText&gt;[16, 55]&lt;/DisplayText&gt;&lt;record&gt;&lt;rec-number&gt;83&lt;/rec-number&gt;&lt;foreign-keys&gt;&lt;key app="EN" db-id="5fz2fzfzg2w2x4efdz3xprvlzezfdv2spstv" timestamp="1678338994"&gt;83&lt;/key&gt;&lt;/foreign-keys&gt;&lt;ref-type name="Journal Article"&gt;17&lt;/ref-type&gt;&lt;contributors&gt;&lt;authors&gt;&lt;author&gt;Park, Ju Nyeong&lt;/author&gt;&lt;author&gt;Rouhani, Saba&lt;/author&gt;&lt;author&gt;Beletsky, L. E. O.&lt;/author&gt;&lt;author&gt;Vincent, Louise&lt;/author&gt;&lt;author&gt;Saloner, Brendan&lt;/author&gt;&lt;author&gt;Sherman, Susan G.&lt;/author&gt;&lt;/authors&gt;&lt;/contributors&gt;&lt;titles&gt;&lt;title&gt;Situating the continuum of overdose risk in the social determinants of health: A new conceptual framework&lt;/title&gt;&lt;secondary-title&gt;The Milbank Quarterly&lt;/secondary-title&gt;&lt;/titles&gt;&lt;periodical&gt;&lt;full-title&gt;The Milbank Quarterly&lt;/full-title&gt;&lt;/periodical&gt;&lt;pages&gt;700-746&lt;/pages&gt;&lt;volume&gt;98&lt;/volume&gt;&lt;number&gt;3&lt;/number&gt;&lt;section&gt;700&lt;/section&gt;&lt;dates&gt;&lt;year&gt;2020&lt;/year&gt;&lt;/dates&gt;&lt;isbn&gt;0887-378X&amp;#xD;1468-0009&lt;/isbn&gt;&lt;urls&gt;&lt;/urls&gt;&lt;electronic-resource-num&gt;10.1111/1468-0009.12470&lt;/electronic-resource-num&gt;&lt;/record&gt;&lt;/Cite&gt;&lt;Cite&gt;&lt;Author&gt;Harrington&lt;/Author&gt;&lt;Year&gt;2023&lt;/Year&gt;&lt;RecNum&gt;94&lt;/RecNum&gt;&lt;record&gt;&lt;rec-number&gt;94&lt;/rec-number&gt;&lt;foreign-keys&gt;&lt;key app="EN" db-id="5fz2fzfzg2w2x4efdz3xprvlzezfdv2spstv" timestamp="1678401374"&gt;94&lt;/key&gt;&lt;/foreign-keys&gt;&lt;ref-type name="Journal Article"&gt;17&lt;/ref-type&gt;&lt;contributors&gt;&lt;authors&gt;&lt;author&gt;Harrington, Cailin&lt;/author&gt;&lt;/authors&gt;&lt;/contributors&gt;&lt;titles&gt;&lt;title&gt;After fifty years of the War on Drugs, the nation looks west: Why Oregon required the Drug Addiction Treatment and Recovery Act and what we can learn from it&lt;/title&gt;&lt;secondary-title&gt;Seton Hall Law Review&lt;/secondary-title&gt;&lt;/titles&gt;&lt;periodical&gt;&lt;full-title&gt;Seton Hall Law Review&lt;/full-title&gt;&lt;/periodical&gt;&lt;pages&gt;1005-1033&lt;/pages&gt;&lt;volume&gt;53&lt;/volume&gt;&lt;dates&gt;&lt;year&gt;2023&lt;/year&gt;&lt;/dates&gt;&lt;urls&gt;&lt;/urls&gt;&lt;/record&gt;&lt;/Cite&gt;&lt;/EndNote&gt;</w:instrText>
      </w:r>
      <w:r w:rsidR="00195593">
        <w:fldChar w:fldCharType="separate"/>
      </w:r>
      <w:r w:rsidR="00956746">
        <w:rPr>
          <w:noProof/>
        </w:rPr>
        <w:t>[16, 55]</w:t>
      </w:r>
      <w:r w:rsidR="00195593">
        <w:fldChar w:fldCharType="end"/>
      </w:r>
      <w:r w:rsidR="00195593">
        <w:t>, especially among disadvantaged people</w:t>
      </w:r>
      <w:r>
        <w:t xml:space="preserve">. </w:t>
      </w:r>
    </w:p>
    <w:p w14:paraId="458F192D" w14:textId="52157EC5" w:rsidR="00463665" w:rsidRDefault="00337282" w:rsidP="00765B28">
      <w:pPr>
        <w:pStyle w:val="BodyText"/>
      </w:pPr>
      <w:r>
        <w:t xml:space="preserve">In 2019, Australia had the fourth highest percentage of deaths caused by drug use disorders in the OECD </w:t>
      </w:r>
      <w:r w:rsidR="00765B28">
        <w:t>(0.66%)</w:t>
      </w:r>
      <w:r>
        <w:t xml:space="preserve"> and this death rate has b</w:t>
      </w:r>
      <w:r w:rsidR="00765B28">
        <w:t>een trending up</w:t>
      </w:r>
      <w:r w:rsidR="003C4782">
        <w:t xml:space="preserve"> (Figure </w:t>
      </w:r>
      <w:r w:rsidR="00410432">
        <w:t>6</w:t>
      </w:r>
      <w:r w:rsidR="003C4782">
        <w:t xml:space="preserve">). </w:t>
      </w:r>
    </w:p>
    <w:p w14:paraId="44D98D5E" w14:textId="5A8EE517" w:rsidR="003C4782" w:rsidRDefault="0067398A" w:rsidP="00463665">
      <w:pPr>
        <w:pStyle w:val="BodyText"/>
      </w:pPr>
      <w:r>
        <w:rPr>
          <w:noProof/>
        </w:rPr>
        <w:drawing>
          <wp:anchor distT="0" distB="0" distL="114300" distR="114300" simplePos="0" relativeHeight="251955200" behindDoc="0" locked="0" layoutInCell="1" allowOverlap="1" wp14:anchorId="2B705990" wp14:editId="223CDEC6">
            <wp:simplePos x="0" y="0"/>
            <wp:positionH relativeFrom="margin">
              <wp:align>left</wp:align>
            </wp:positionH>
            <wp:positionV relativeFrom="paragraph">
              <wp:posOffset>32784</wp:posOffset>
            </wp:positionV>
            <wp:extent cx="5973445" cy="2997835"/>
            <wp:effectExtent l="0" t="0" r="8255" b="12065"/>
            <wp:wrapTopAndBottom/>
            <wp:docPr id="33" name="Chart 33" descr="Figure 6 is a line chart showing the annual deaths due to drug use disorder as a percentage of all deaths in Australia from 1990 to 2023. The annual death rate shows an overall upward trend from 0.39 percent in 1990 to 0.66 percent in 2023.">
              <a:extLst xmlns:a="http://schemas.openxmlformats.org/drawingml/2006/main">
                <a:ext uri="{FF2B5EF4-FFF2-40B4-BE49-F238E27FC236}">
                  <a16:creationId xmlns:a16="http://schemas.microsoft.com/office/drawing/2014/main" id="{CE28C85F-6ED7-EABC-C0F6-DA67D16F68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69111F18" w14:textId="1BA662B9" w:rsidR="003C4782" w:rsidRPr="003C4782" w:rsidRDefault="003C4782" w:rsidP="0067398A">
      <w:pPr>
        <w:pStyle w:val="Captions"/>
        <w:spacing w:before="0" w:after="100" w:afterAutospacing="1"/>
      </w:pPr>
      <w:r w:rsidRPr="003C4782">
        <w:t xml:space="preserve">Figure </w:t>
      </w:r>
      <w:r w:rsidR="00A30FE3">
        <w:t>6</w:t>
      </w:r>
      <w:r w:rsidRPr="003C4782">
        <w:t>: Deaths due to drug use disorders as a proportion of all deaths in Australia, 1990–2019</w:t>
      </w:r>
    </w:p>
    <w:p w14:paraId="2904EAF4" w14:textId="77777777" w:rsidR="000F054C" w:rsidRDefault="00D35278" w:rsidP="007E536B">
      <w:pPr>
        <w:pStyle w:val="Heading3"/>
      </w:pPr>
      <w:bookmarkStart w:id="46" w:name="_Toc136851467"/>
      <w:r>
        <w:t>Decriminalisation is a matter of justice</w:t>
      </w:r>
      <w:bookmarkEnd w:id="46"/>
      <w:r>
        <w:t xml:space="preserve"> </w:t>
      </w:r>
    </w:p>
    <w:p w14:paraId="3CB655C7" w14:textId="25143650" w:rsidR="003E17CC" w:rsidRDefault="003E17CC" w:rsidP="0067398A">
      <w:pPr>
        <w:spacing w:before="100" w:beforeAutospacing="1" w:after="100" w:afterAutospacing="1"/>
      </w:pPr>
      <w:r>
        <w:t xml:space="preserve">The </w:t>
      </w:r>
      <w:r w:rsidR="00063455">
        <w:t>r</w:t>
      </w:r>
      <w:r>
        <w:t xml:space="preserve">ule of </w:t>
      </w:r>
      <w:r w:rsidR="00063455">
        <w:t>l</w:t>
      </w:r>
      <w:r>
        <w:t>aw is an essential part of a functioning society.</w:t>
      </w:r>
      <w:r w:rsidR="00D35278">
        <w:t xml:space="preserve"> It can be summed up as “(1) </w:t>
      </w:r>
      <w:r w:rsidR="00D35278" w:rsidRPr="008C7D2D">
        <w:t>that the people (including, one should add, the government) should be ruled by the law and obey it and</w:t>
      </w:r>
      <w:r w:rsidR="00D35278">
        <w:t xml:space="preserve"> </w:t>
      </w:r>
      <w:r w:rsidR="00D35278" w:rsidRPr="008C7D2D">
        <w:t>(2) that the law should be such that people will be able (and, one should add, willing) to be guided by it”</w:t>
      </w:r>
      <w:r w:rsidR="00D35278">
        <w:t xml:space="preserve"> </w:t>
      </w:r>
      <w:r w:rsidR="00D35278">
        <w:fldChar w:fldCharType="begin"/>
      </w:r>
      <w:r w:rsidR="00956746">
        <w:instrText xml:space="preserve"> ADDIN EN.CITE &lt;EndNote&gt;&lt;Cite&gt;&lt;Author&gt;Walker&lt;/Author&gt;&lt;Year&gt;1988&lt;/Year&gt;&lt;RecNum&gt;288&lt;/RecNum&gt;&lt;DisplayText&gt;[56]&lt;/DisplayText&gt;&lt;record&gt;&lt;rec-number&gt;288&lt;/rec-number&gt;&lt;foreign-keys&gt;&lt;key app="EN" db-id="5fz2fzfzg2w2x4efdz3xprvlzezfdv2spstv" timestamp="1681801146"&gt;288&lt;/key&gt;&lt;/foreign-keys&gt;&lt;ref-type name="Book"&gt;6&lt;/ref-type&gt;&lt;contributors&gt;&lt;authors&gt;&lt;author&gt;Walker, Geoffrey de Qunicy &lt;/author&gt;&lt;/authors&gt;&lt;/contributors&gt;&lt;titles&gt;&lt;title&gt;The Rule of Law: Foundation of constitutional democracy&lt;/title&gt;&lt;/titles&gt;&lt;edition&gt;1st&lt;/edition&gt;&lt;dates&gt;&lt;year&gt;1988&lt;/year&gt;&lt;/dates&gt;&lt;pub-location&gt;Carlton, VIC&lt;/pub-location&gt;&lt;publisher&gt;Melbourne University Press&lt;/publisher&gt;&lt;urls&gt;&lt;/urls&gt;&lt;/record&gt;&lt;/Cite&gt;&lt;/EndNote&gt;</w:instrText>
      </w:r>
      <w:r w:rsidR="00D35278">
        <w:fldChar w:fldCharType="separate"/>
      </w:r>
      <w:r w:rsidR="00956746">
        <w:rPr>
          <w:noProof/>
        </w:rPr>
        <w:t>[56]</w:t>
      </w:r>
      <w:r w:rsidR="00D35278">
        <w:fldChar w:fldCharType="end"/>
      </w:r>
      <w:r w:rsidR="00D35278">
        <w:t xml:space="preserve">. </w:t>
      </w:r>
      <w:r>
        <w:t xml:space="preserve">The </w:t>
      </w:r>
      <w:r w:rsidR="00063455">
        <w:t>r</w:t>
      </w:r>
      <w:r>
        <w:t xml:space="preserve">ule of </w:t>
      </w:r>
      <w:r w:rsidR="00063455">
        <w:t>l</w:t>
      </w:r>
      <w:r>
        <w:t xml:space="preserve">aw is </w:t>
      </w:r>
      <w:r w:rsidR="00D35278">
        <w:t>under threat</w:t>
      </w:r>
      <w:r>
        <w:t xml:space="preserve"> in those places where poorer people have reduced access to prevention and treatment</w:t>
      </w:r>
      <w:r w:rsidR="00D35278">
        <w:t xml:space="preserve"> (and so are more likely to commit offences)</w:t>
      </w:r>
      <w:r>
        <w:t xml:space="preserve">, and where some groups are more likely to be </w:t>
      </w:r>
      <w:r w:rsidR="000A5C71">
        <w:t xml:space="preserve">arrested and </w:t>
      </w:r>
      <w:r>
        <w:t xml:space="preserve">imprisoned. This is true for disadvantaged people in Tasmania, and for Aboriginal Tasmanians in particular </w:t>
      </w:r>
      <w:r>
        <w:fldChar w:fldCharType="begin">
          <w:fldData xml:space="preserve">PEVuZE5vdGU+PENpdGU+PEF1dGhvcj5BdXN0cmFsaWFuIEluc3RpdHV0ZSBvZiBIZWFsdGggYW5k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</w:fldData>
        </w:fldChar>
      </w:r>
      <w:r w:rsidR="00956746">
        <w:instrText xml:space="preserve"> ADDIN EN.CITE </w:instrText>
      </w:r>
      <w:r w:rsidR="00956746">
        <w:fldChar w:fldCharType="begin">
          <w:fldData xml:space="preserve">PEVuZE5vdGU+PENpdGU+PEF1dGhvcj5BdXN0cmFsaWFuIEluc3RpdHV0ZSBvZiBIZWFsdGggYW5k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</w:fldData>
        </w:fldChar>
      </w:r>
      <w:r w:rsidR="00956746">
        <w:instrText xml:space="preserve"> ADDIN EN.CITE.DATA </w:instrText>
      </w:r>
      <w:r w:rsidR="00956746">
        <w:fldChar w:fldCharType="end"/>
      </w:r>
      <w:r>
        <w:fldChar w:fldCharType="separate"/>
      </w:r>
      <w:r w:rsidR="00956746">
        <w:rPr>
          <w:noProof/>
        </w:rPr>
        <w:t>[33, 34, 57]</w:t>
      </w:r>
      <w:r>
        <w:fldChar w:fldCharType="end"/>
      </w:r>
      <w:r>
        <w:t xml:space="preserve">. </w:t>
      </w:r>
      <w:r w:rsidR="003556AA">
        <w:t xml:space="preserve">States and nations </w:t>
      </w:r>
      <w:r>
        <w:t xml:space="preserve">where decriminalisation has </w:t>
      </w:r>
      <w:r w:rsidR="003556AA">
        <w:t>been less effective are characteri</w:t>
      </w:r>
      <w:r w:rsidR="00063455">
        <w:t>s</w:t>
      </w:r>
      <w:r w:rsidR="003556AA">
        <w:t xml:space="preserve">ed by discriminatory policing </w:t>
      </w:r>
      <w:r w:rsidR="003556AA">
        <w:fldChar w:fldCharType="begin"/>
      </w:r>
      <w:r w:rsidR="00956746">
        <w:instrText xml:space="preserve"> ADDIN EN.CITE &lt;EndNote&gt;&lt;Cite&gt;&lt;Author&gt;Harrington&lt;/Author&gt;&lt;Year&gt;2023&lt;/Year&gt;&lt;RecNum&gt;94&lt;/RecNum&gt;&lt;Prefix&gt;e.g.`, &lt;/Prefix&gt;&lt;DisplayText&gt;[e.g., 55]&lt;/DisplayText&gt;&lt;record&gt;&lt;rec-number&gt;94&lt;/rec-number&gt;&lt;foreign-keys&gt;&lt;key app="EN" db-id="5fz2fzfzg2w2x4efdz3xprvlzezfdv2spstv" timestamp="1678401374"&gt;94&lt;/key&gt;&lt;/foreign-keys&gt;&lt;ref-type name="Journal Article"&gt;17&lt;/ref-type&gt;&lt;contributors&gt;&lt;authors&gt;&lt;author&gt;Harrington, Cailin&lt;/author&gt;&lt;/authors&gt;&lt;/contributors&gt;&lt;titles&gt;&lt;title&gt;After fifty years of the War on Drugs, the nation looks west: Why Oregon required the Drug Addiction Treatment and Recovery Act and what we can learn from it&lt;/title&gt;&lt;secondary-title&gt;Seton Hall Law Review&lt;/secondary-title&gt;&lt;/titles&gt;&lt;periodical&gt;&lt;full-title&gt;Seton Hall Law Review&lt;/full-title&gt;&lt;/periodical&gt;&lt;pages&gt;1005-1033&lt;/pages&gt;&lt;volume&gt;53&lt;/volume&gt;&lt;dates&gt;&lt;year&gt;2023&lt;/year&gt;&lt;/dates&gt;&lt;urls&gt;&lt;/urls&gt;&lt;/record&gt;&lt;/Cite&gt;&lt;/EndNote&gt;</w:instrText>
      </w:r>
      <w:r w:rsidR="003556AA">
        <w:fldChar w:fldCharType="separate"/>
      </w:r>
      <w:r w:rsidR="00956746">
        <w:rPr>
          <w:noProof/>
        </w:rPr>
        <w:t>[e.g., 55]</w:t>
      </w:r>
      <w:r w:rsidR="003556AA">
        <w:fldChar w:fldCharType="end"/>
      </w:r>
      <w:r w:rsidR="00D35278">
        <w:t>.</w:t>
      </w:r>
      <w:r w:rsidR="003556AA">
        <w:t xml:space="preserve"> </w:t>
      </w:r>
    </w:p>
    <w:p w14:paraId="3A05838B" w14:textId="71548606" w:rsidR="00D2355A" w:rsidRDefault="00D35278" w:rsidP="0067398A">
      <w:pPr>
        <w:spacing w:before="100" w:beforeAutospacing="1" w:after="100" w:afterAutospacing="1"/>
      </w:pPr>
      <w:r>
        <w:t>Drugs</w:t>
      </w:r>
      <w:r w:rsidR="003E17CC">
        <w:t xml:space="preserve"> which are presently illegal would remain so with decriminalisation. The important change is that </w:t>
      </w:r>
      <w:r w:rsidR="000278BA">
        <w:t xml:space="preserve">in the approach proposed </w:t>
      </w:r>
      <w:r w:rsidR="001C3605">
        <w:t>by Anglicare</w:t>
      </w:r>
      <w:r w:rsidR="000278BA">
        <w:t xml:space="preserve">, </w:t>
      </w:r>
      <w:r w:rsidR="003E17CC">
        <w:t xml:space="preserve">a person found in possession of or using illicit substances would—assuming they were not involved in trafficking or dealing—receive </w:t>
      </w:r>
      <w:r>
        <w:t xml:space="preserve">an </w:t>
      </w:r>
      <w:r w:rsidRPr="00080523">
        <w:rPr>
          <w:b/>
          <w:color w:val="31849B" w:themeColor="accent5" w:themeShade="BF"/>
        </w:rPr>
        <w:t>administrative or civil</w:t>
      </w:r>
      <w:r w:rsidRPr="00080523">
        <w:rPr>
          <w:color w:val="31849B" w:themeColor="accent5" w:themeShade="BF"/>
        </w:rPr>
        <w:t xml:space="preserve"> </w:t>
      </w:r>
      <w:r w:rsidR="003E17CC">
        <w:t xml:space="preserve">penalty rather than a criminal conviction. </w:t>
      </w:r>
      <w:r w:rsidR="00D2355A">
        <w:t>That is, when police encounter a person using or in possession of a non-trafficable quantity of an illicit drug, they could choose to: </w:t>
      </w:r>
    </w:p>
    <w:p w14:paraId="00943395" w14:textId="52A68FE3" w:rsidR="00D2355A" w:rsidRDefault="00063455" w:rsidP="0067398A">
      <w:pPr>
        <w:pStyle w:val="BodyText"/>
        <w:numPr>
          <w:ilvl w:val="0"/>
          <w:numId w:val="57"/>
        </w:numPr>
        <w:ind w:left="714" w:hanging="357"/>
      </w:pPr>
      <w:r>
        <w:t>i</w:t>
      </w:r>
      <w:r w:rsidR="00D2355A">
        <w:t>ssue an informal or formal caution</w:t>
      </w:r>
    </w:p>
    <w:p w14:paraId="508B8490" w14:textId="5AEACD1B" w:rsidR="00D2355A" w:rsidRDefault="00063455" w:rsidP="0067398A">
      <w:pPr>
        <w:pStyle w:val="BodyText"/>
        <w:numPr>
          <w:ilvl w:val="0"/>
          <w:numId w:val="57"/>
        </w:numPr>
        <w:ind w:left="714" w:hanging="357"/>
      </w:pPr>
      <w:r>
        <w:rPr>
          <w:b/>
          <w:color w:val="31849B" w:themeColor="accent5" w:themeShade="BF"/>
        </w:rPr>
        <w:t>d</w:t>
      </w:r>
      <w:r w:rsidR="00D2355A" w:rsidRPr="00080523">
        <w:rPr>
          <w:b/>
          <w:color w:val="31849B" w:themeColor="accent5" w:themeShade="BF"/>
        </w:rPr>
        <w:t>eflect</w:t>
      </w:r>
      <w:r w:rsidR="00D2355A" w:rsidRPr="00080523">
        <w:rPr>
          <w:color w:val="31849B" w:themeColor="accent5" w:themeShade="BF"/>
        </w:rPr>
        <w:t xml:space="preserve"> </w:t>
      </w:r>
      <w:r w:rsidR="00D2355A">
        <w:t>the person (e.g., calling a case worker to assesses the person’s needs and find a suitable treatment program)</w:t>
      </w:r>
    </w:p>
    <w:p w14:paraId="13697350" w14:textId="7CCB763F" w:rsidR="00272A2B" w:rsidRDefault="00063455" w:rsidP="0067398A">
      <w:pPr>
        <w:pStyle w:val="BodyText"/>
        <w:numPr>
          <w:ilvl w:val="0"/>
          <w:numId w:val="57"/>
        </w:numPr>
        <w:ind w:left="714" w:hanging="357"/>
      </w:pPr>
      <w:r>
        <w:t>i</w:t>
      </w:r>
      <w:r w:rsidR="00D2355A">
        <w:t xml:space="preserve">ssue a citation to a specialist drug court that applies </w:t>
      </w:r>
      <w:r w:rsidR="00D2355A" w:rsidRPr="00080523">
        <w:rPr>
          <w:b/>
          <w:color w:val="31849B" w:themeColor="accent5" w:themeShade="BF"/>
        </w:rPr>
        <w:t>therapeutic</w:t>
      </w:r>
      <w:r w:rsidR="00D2355A" w:rsidRPr="00080523">
        <w:rPr>
          <w:color w:val="31849B" w:themeColor="accent5" w:themeShade="BF"/>
        </w:rPr>
        <w:t xml:space="preserve"> </w:t>
      </w:r>
      <w:r w:rsidR="00D2355A">
        <w:t xml:space="preserve">principles. </w:t>
      </w:r>
    </w:p>
    <w:p w14:paraId="4F7991B0" w14:textId="36509300" w:rsidR="00D2355A" w:rsidRDefault="00272A2B" w:rsidP="0067398A">
      <w:pPr>
        <w:pStyle w:val="BodyText"/>
        <w:spacing w:before="100" w:beforeAutospacing="1" w:after="100" w:afterAutospacing="1"/>
      </w:pPr>
      <w:r>
        <w:t>These elements build on Tasmania’s existing court processes</w:t>
      </w:r>
      <w:r w:rsidR="0025096F">
        <w:t xml:space="preserve"> </w:t>
      </w:r>
      <w:r w:rsidR="0025096F">
        <w:fldChar w:fldCharType="begin"/>
      </w:r>
      <w:r w:rsidR="00956746">
        <w:instrText xml:space="preserve"> ADDIN EN.CITE &lt;EndNote&gt;&lt;Cite&gt;&lt;Author&gt;Tasmanian Law Reform Institute&lt;/Author&gt;&lt;Year&gt;2006&lt;/Year&gt;&lt;RecNum&gt;290&lt;/RecNum&gt;&lt;DisplayText&gt;[58]&lt;/DisplayText&gt;&lt;record&gt;&lt;rec-number&gt;290&lt;/rec-number&gt;&lt;foreign-keys&gt;&lt;key app="EN" db-id="5fz2fzfzg2w2x4efdz3xprvlzezfdv2spstv" timestamp="1681860926"&gt;290&lt;/key&gt;&lt;/foreign-keys&gt;&lt;ref-type name="Report"&gt;27&lt;/ref-type&gt;&lt;contributors&gt;&lt;authors&gt;&lt;author&gt;Tasmanian Law Reform Institute,&lt;/author&gt;&lt;/authors&gt;&lt;/contributors&gt;&lt;titles&gt;&lt;title&gt;The Establishment of a Drug Court Pilot in Tasmania&lt;/title&gt;&lt;/titles&gt;&lt;number&gt;Research Paper No. 2&lt;/number&gt;&lt;dates&gt;&lt;year&gt;2006&lt;/year&gt;&lt;/dates&gt;&lt;pub-location&gt;Hobart, TAS&lt;/pub-location&gt;&lt;publisher&gt;Tasmanian Law Reform Insitute&lt;/publisher&gt;&lt;urls&gt;&lt;/urls&gt;&lt;/record&gt;&lt;/Cite&gt;&lt;/EndNote&gt;</w:instrText>
      </w:r>
      <w:r w:rsidR="0025096F">
        <w:fldChar w:fldCharType="separate"/>
      </w:r>
      <w:r w:rsidR="00956746">
        <w:rPr>
          <w:noProof/>
        </w:rPr>
        <w:t>[58]</w:t>
      </w:r>
      <w:r w:rsidR="0025096F">
        <w:fldChar w:fldCharType="end"/>
      </w:r>
      <w:r>
        <w:t xml:space="preserve">. </w:t>
      </w:r>
      <w:r w:rsidR="00EB5D57">
        <w:t xml:space="preserve">Importantly, </w:t>
      </w:r>
      <w:r w:rsidR="001C3605">
        <w:t xml:space="preserve">criminal </w:t>
      </w:r>
      <w:r w:rsidR="001A4212">
        <w:t>justice</w:t>
      </w:r>
      <w:r w:rsidR="00D35278">
        <w:t xml:space="preserve"> responses need to impact all equally</w:t>
      </w:r>
      <w:r w:rsidR="00077D4B">
        <w:t xml:space="preserve">. </w:t>
      </w:r>
      <w:r w:rsidR="003E17CC">
        <w:t xml:space="preserve">Adding </w:t>
      </w:r>
      <w:r w:rsidR="003E17CC" w:rsidRPr="00FC0664">
        <w:rPr>
          <w:b/>
          <w:color w:val="31849B" w:themeColor="accent5" w:themeShade="BF"/>
        </w:rPr>
        <w:t>day fines</w:t>
      </w:r>
      <w:r w:rsidR="003E17CC">
        <w:rPr>
          <w:b/>
          <w:color w:val="31849B" w:themeColor="accent5" w:themeShade="BF"/>
        </w:rPr>
        <w:t xml:space="preserve"> </w:t>
      </w:r>
      <w:r w:rsidR="003E17CC">
        <w:t>and a ‘</w:t>
      </w:r>
      <w:r w:rsidR="003E17CC" w:rsidRPr="00FC0664">
        <w:rPr>
          <w:b/>
          <w:color w:val="31849B" w:themeColor="accent5" w:themeShade="BF"/>
        </w:rPr>
        <w:t>work and development order</w:t>
      </w:r>
      <w:r w:rsidR="003E17CC" w:rsidRPr="00FC0664">
        <w:rPr>
          <w:color w:val="auto"/>
        </w:rPr>
        <w:t xml:space="preserve">’ </w:t>
      </w:r>
      <w:r w:rsidR="003E17CC">
        <w:t>option to existing strategies would</w:t>
      </w:r>
      <w:r w:rsidR="0025096F">
        <w:t xml:space="preserve"> support a</w:t>
      </w:r>
      <w:r w:rsidR="003E17CC">
        <w:t xml:space="preserve"> </w:t>
      </w:r>
      <w:r w:rsidR="003E17CC" w:rsidRPr="00080523">
        <w:rPr>
          <w:b/>
          <w:color w:val="31849B" w:themeColor="accent5" w:themeShade="BF"/>
        </w:rPr>
        <w:t>restorative justice</w:t>
      </w:r>
      <w:r w:rsidR="003E17CC" w:rsidRPr="00080523">
        <w:rPr>
          <w:color w:val="31849B" w:themeColor="accent5" w:themeShade="BF"/>
        </w:rPr>
        <w:t xml:space="preserve"> </w:t>
      </w:r>
      <w:r w:rsidR="003E17CC">
        <w:t>approach</w:t>
      </w:r>
      <w:r w:rsidR="0025096F">
        <w:t xml:space="preserve"> </w:t>
      </w:r>
      <w:r w:rsidR="0025096F">
        <w:fldChar w:fldCharType="begin"/>
      </w:r>
      <w:r w:rsidR="00BA4D9B">
        <w:instrText xml:space="preserve"> ADDIN EN.CITE &lt;EndNote&gt;&lt;Cite&gt;&lt;Author&gt;White&lt;/Author&gt;&lt;Year&gt;2023&lt;/Year&gt;&lt;RecNum&gt;58&lt;/RecNum&gt;&lt;DisplayText&gt;[17]&lt;/DisplayText&gt;&lt;record&gt;&lt;rec-number&gt;58&lt;/rec-number&gt;&lt;foreign-keys&gt;&lt;key app="EN" db-id="5fz2fzfzg2w2x4efdz3xprvlzezfdv2spstv" timestamp="1678141774"&gt;58&lt;/key&gt;&lt;/foreign-keys&gt;&lt;ref-type name="Conference Paper"&gt;47&lt;/ref-type&gt;&lt;contributors&gt;&lt;authors&gt;&lt;author&gt;White, Robert D.&lt;/author&gt;&lt;/authors&gt;&lt;/contributors&gt;&lt;titles&gt;&lt;title&gt;Treating offenders seriously&lt;/title&gt;&lt;secondary-title&gt;University of the Third Age (U3A)&lt;/secondary-title&gt;&lt;/titles&gt;&lt;dates&gt;&lt;year&gt;2023&lt;/year&gt;&lt;pub-dates&gt;&lt;date&gt;23 March&lt;/date&gt;&lt;/pub-dates&gt;&lt;/dates&gt;&lt;pub-location&gt;Hobart, TAS&lt;/pub-location&gt;&lt;urls&gt;&lt;/urls&gt;&lt;/record&gt;&lt;/Cite&gt;&lt;/EndNote&gt;</w:instrText>
      </w:r>
      <w:r w:rsidR="0025096F">
        <w:fldChar w:fldCharType="separate"/>
      </w:r>
      <w:r w:rsidR="00BA4D9B">
        <w:rPr>
          <w:noProof/>
        </w:rPr>
        <w:t>[17]</w:t>
      </w:r>
      <w:r w:rsidR="0025096F">
        <w:fldChar w:fldCharType="end"/>
      </w:r>
      <w:r w:rsidR="003E17CC">
        <w:t>, and enhanc</w:t>
      </w:r>
      <w:r w:rsidR="0025096F">
        <w:t>e</w:t>
      </w:r>
      <w:r w:rsidR="003E17CC">
        <w:t xml:space="preserve"> opportunities for social reintegration. </w:t>
      </w:r>
    </w:p>
    <w:p w14:paraId="05D6EDAC" w14:textId="02E0B6D9" w:rsidR="000F054C" w:rsidRDefault="000F054C" w:rsidP="0067398A">
      <w:pPr>
        <w:pStyle w:val="BodyText"/>
        <w:spacing w:before="100" w:beforeAutospacing="1" w:after="100" w:afterAutospacing="1"/>
        <w:rPr>
          <w:rStyle w:val="IntenseEmphasis"/>
          <w:b/>
          <w:i w:val="0"/>
          <w:iCs w:val="0"/>
          <w:color w:val="575F61"/>
        </w:rPr>
      </w:pPr>
      <w:r w:rsidRPr="00080523">
        <w:rPr>
          <w:rStyle w:val="IntenseEmphasis"/>
          <w:b/>
          <w:i w:val="0"/>
          <w:iCs w:val="0"/>
          <w:color w:val="575F61"/>
        </w:rPr>
        <w:t xml:space="preserve">Stigma and hardship can be reduced through fairer penalties, which reinforce the </w:t>
      </w:r>
      <w:r w:rsidR="00063455">
        <w:rPr>
          <w:rStyle w:val="IntenseEmphasis"/>
          <w:b/>
          <w:i w:val="0"/>
          <w:iCs w:val="0"/>
          <w:color w:val="575F61"/>
        </w:rPr>
        <w:t>r</w:t>
      </w:r>
      <w:r w:rsidRPr="00080523">
        <w:rPr>
          <w:rStyle w:val="IntenseEmphasis"/>
          <w:b/>
          <w:i w:val="0"/>
          <w:iCs w:val="0"/>
          <w:color w:val="575F61"/>
        </w:rPr>
        <w:t xml:space="preserve">ule of </w:t>
      </w:r>
      <w:r w:rsidR="00063455">
        <w:rPr>
          <w:rStyle w:val="IntenseEmphasis"/>
          <w:b/>
          <w:i w:val="0"/>
          <w:iCs w:val="0"/>
          <w:color w:val="575F61"/>
        </w:rPr>
        <w:t>l</w:t>
      </w:r>
      <w:r w:rsidRPr="00080523">
        <w:rPr>
          <w:rStyle w:val="IntenseEmphasis"/>
          <w:b/>
          <w:i w:val="0"/>
          <w:iCs w:val="0"/>
          <w:color w:val="575F61"/>
        </w:rPr>
        <w:t xml:space="preserve">aw, the foundational principle that laws are applied equally and fairly to all in a society. </w:t>
      </w:r>
    </w:p>
    <w:p w14:paraId="2168A612" w14:textId="77777777" w:rsidR="008E530A" w:rsidRDefault="008E530A" w:rsidP="007E536B">
      <w:pPr>
        <w:pStyle w:val="Heading3"/>
        <w:sectPr w:rsidR="008E530A" w:rsidSect="008E530A">
          <w:pgSz w:w="11910" w:h="16840"/>
          <w:pgMar w:top="1134" w:right="1134" w:bottom="1134" w:left="1134" w:header="720" w:footer="720" w:gutter="0"/>
          <w:cols w:space="720"/>
          <w:docGrid w:linePitch="326"/>
        </w:sectPr>
      </w:pPr>
    </w:p>
    <w:p w14:paraId="027E44DA" w14:textId="1592A6A6" w:rsidR="008E530A" w:rsidRDefault="008258D3" w:rsidP="007E536B">
      <w:pPr>
        <w:pStyle w:val="Heading3"/>
      </w:pPr>
      <w:bookmarkStart w:id="47" w:name="_Toc136851468"/>
      <w:r w:rsidRPr="00C867F8">
        <w:rPr>
          <w:noProof/>
        </w:rPr>
        <mc:AlternateContent>
          <mc:Choice Requires="wps">
            <w:drawing>
              <wp:anchor distT="0" distB="0" distL="114300" distR="114300" simplePos="0" relativeHeight="251968512" behindDoc="0" locked="0" layoutInCell="1" allowOverlap="1" wp14:anchorId="0595FAEA" wp14:editId="5F38B859">
                <wp:simplePos x="0" y="0"/>
                <wp:positionH relativeFrom="margin">
                  <wp:align>left</wp:align>
                </wp:positionH>
                <wp:positionV relativeFrom="paragraph">
                  <wp:posOffset>364121</wp:posOffset>
                </wp:positionV>
                <wp:extent cx="6236335" cy="4114800"/>
                <wp:effectExtent l="0" t="0" r="12065" b="0"/>
                <wp:wrapTopAndBottom/>
                <wp:docPr id="13" name="docshape3" descr="Case study&#10;Christina&#10;Christina is in home detention, living in a caravan on a relative’s property near a rural town. This is the third place she’s tried to ‘park’ the caravan as she needed to find somewhere legal and long-term in order for home detention option to be allowed. She lives in the caravan with her long-term partner, and is very happy to not be in prison. She was convicted of drug possession after spending 18 months on bail. The home detention sentence is a bright spot; she’s managed to stay out of jail.&#10;How did she get here? She had a violent and abusive childhood and adolescence characterised by poverty, crime and sex work. She managed to escape this traumatic life, and to form and maintain a long relationship with the father of her children, despite patches of violence. He doesn’t use drugs, but for Christina, using may have been a form of self-medication. &#10;Christina has lost custody of her children, each of whom has suffered the impacts of traumatic beginnings. The kids have significant physical and mental health conditions—all of which are beyond her capacity to support or manage. She wants to maintain their relationship and visits them when she can, relying on public transport. Christina’s very long-term drug use means that she has impairments of her own that require treatment. But the services she needs are a long way from where she lives, transport is expensive and infrequent, and appointments are on a first come first served basis. &#10;She can feel hopeless at times but has been clean since before the home detention order was put in place. Now, she’s taking things one day at a time. The opportunity of home detention rather than a prison term gives her hope of staying clean.&#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236335"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11A1E" w14:textId="26642681" w:rsidR="005A3B94" w:rsidRPr="00146A5B" w:rsidRDefault="005A3B94" w:rsidP="009E14D9">
                            <w:pPr>
                              <w:spacing w:before="0"/>
                              <w:rPr>
                                <w:b/>
                              </w:rPr>
                            </w:pPr>
                            <w:r w:rsidRPr="00146A5B">
                              <w:rPr>
                                <w:b/>
                              </w:rPr>
                              <w:t>Christina</w:t>
                            </w:r>
                          </w:p>
                          <w:p w14:paraId="62C3EAA8" w14:textId="77777777" w:rsidR="005A3B94" w:rsidRDefault="005A3B94" w:rsidP="008258D3">
                            <w:pPr>
                              <w:pStyle w:val="BodyText"/>
                              <w:spacing w:before="0"/>
                            </w:pPr>
                            <w:r>
                              <w:t>Christina is in home detention, living in a caravan on a relative’s property near a rural town. This is the third place she’s tried to ‘park’ the caravan as she needed to find somewhere legal and long-term in order for home detention option to be allowed. She lives in the caravan with her long-term partner, and is very happy to not be in prison.</w:t>
                            </w:r>
                            <w:r w:rsidRPr="004A55F7">
                              <w:t xml:space="preserve"> </w:t>
                            </w:r>
                            <w:r>
                              <w:t>She was convicted of drug possession after spending 18 months on bail. The home detention sentence is a bright spot; she’s managed to stay out of jail.</w:t>
                            </w:r>
                          </w:p>
                          <w:p w14:paraId="110E0F3E" w14:textId="77777777" w:rsidR="005A3B94" w:rsidRDefault="005A3B94" w:rsidP="008258D3">
                            <w:pPr>
                              <w:pStyle w:val="BodyText"/>
                            </w:pPr>
                            <w:r>
                              <w:t xml:space="preserve">How did she get here? She had a violent and abusive childhood and adolescence characterised by poverty, crime and sex work. She managed to escape this traumatic life, and to form and maintain a long relationship with the father of her children, despite patches of violence. He doesn’t use drugs, but for Christina, using may have been a form of self-medication. </w:t>
                            </w:r>
                          </w:p>
                          <w:p w14:paraId="636B79B0" w14:textId="77777777" w:rsidR="005A3B94" w:rsidRDefault="005A3B94" w:rsidP="008258D3">
                            <w:pPr>
                              <w:pStyle w:val="BodyText"/>
                            </w:pPr>
                            <w:r>
                              <w:t xml:space="preserve">Christina has lost custody of her children, each of whom has suffered the impacts of traumatic beginnings. The kids have significant physical and mental health conditions—all of which are beyond her capacity to support or manage. She wants to maintain their relationship and visits them when she can, relying on public transport. Christina’s very long-term drug use means that she has impairments of her own that require treatment. But the services she needs are a long way from where she lives, transport is expensive and infrequent, and appointments are on a first come first served basis. </w:t>
                            </w:r>
                          </w:p>
                          <w:p w14:paraId="2D284FAC" w14:textId="1470C134" w:rsidR="005A3B94" w:rsidRDefault="005A3B94" w:rsidP="008258D3">
                            <w:pPr>
                              <w:pStyle w:val="BodyText"/>
                            </w:pPr>
                            <w:r>
                              <w:t xml:space="preserve">She can feel hopeless at times but has </w:t>
                            </w:r>
                            <w:r w:rsidR="00EC225E">
                              <w:t>not used drugs</w:t>
                            </w:r>
                            <w:r>
                              <w:t xml:space="preserve"> since before the home detention order was put in place. Now, she’s taking things one day at a time. The opportunity of home detention rather than a prison term gives her hope of staying </w:t>
                            </w:r>
                            <w:r w:rsidR="00EC225E">
                              <w:t>away from drug use</w:t>
                            </w:r>
                            <w:r>
                              <w:t>.</w:t>
                            </w:r>
                          </w:p>
                          <w:p w14:paraId="5B710720" w14:textId="233C5261" w:rsidR="005A3B94" w:rsidRDefault="005A3B94" w:rsidP="007E536B">
                            <w:pPr>
                              <w:pStyle w:val="BodyText"/>
                              <w:spacing w:before="100" w:beforeAutospacing="1" w:after="100" w:afterAutospacing="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95FAEA" id="_x0000_t202" coordsize="21600,21600" o:spt="202" path="m,l,21600r21600,l21600,xe">
                <v:stroke joinstyle="miter"/>
                <v:path gradientshapeok="t" o:connecttype="rect"/>
              </v:shapetype>
              <v:shape id="_x0000_s1034" type="#_x0000_t202" alt="Case study&#10;Christina&#10;Christina is in home detention, living in a caravan on a relative’s property near a rural town. This is the third place she’s tried to ‘park’ the caravan as she needed to find somewhere legal and long-term in order for home detention option to be allowed. She lives in the caravan with her long-term partner, and is very happy to not be in prison. She was convicted of drug possession after spending 18 months on bail. The home detention sentence is a bright spot; she’s managed to stay out of jail.&#10;How did she get here? She had a violent and abusive childhood and adolescence characterised by poverty, crime and sex work. She managed to escape this traumatic life, and to form and maintain a long relationship with the father of her children, despite patches of violence. He doesn’t use drugs, but for Christina, using may have been a form of self-medication. &#10;Christina has lost custody of her children, each of whom has suffered the impacts of traumatic beginnings. The kids have significant physical and mental health conditions—all of which are beyond her capacity to support or manage. She wants to maintain their relationship and visits them when she can, relying on public transport. Christina’s very long-term drug use means that she has impairments of her own that require treatment. But the services she needs are a long way from where she lives, transport is expensive and infrequent, and appointments are on a first come first served basis. &#10;She can feel hopeless at times but has been clean since before the home detention order was put in place. Now, she’s taking things one day at a time. The opportunity of home detention rather than a prison term gives her hope of staying clean.&#10;" style="position:absolute;margin-left:0;margin-top:28.65pt;width:491.05pt;height:324pt;z-index:25196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" filled="f" stroked="f">
                <o:lock v:ext="edit" aspectratio="t" verticies="t" text="t" shapetype="t"/>
                <v:textbox inset="0,0,0,0">
                  <w:txbxContent>
                    <w:p w14:paraId="5C311A1E" w14:textId="26642681" w:rsidR="005A3B94" w:rsidRPr="00146A5B" w:rsidRDefault="005A3B94" w:rsidP="009E14D9">
                      <w:pPr>
                        <w:spacing w:before="0"/>
                        <w:rPr>
                          <w:b/>
                        </w:rPr>
                      </w:pPr>
                      <w:r w:rsidRPr="00146A5B">
                        <w:rPr>
                          <w:b/>
                        </w:rPr>
                        <w:t>Christina</w:t>
                      </w:r>
                    </w:p>
                    <w:p w14:paraId="62C3EAA8" w14:textId="77777777" w:rsidR="005A3B94" w:rsidRDefault="005A3B94" w:rsidP="008258D3">
                      <w:pPr>
                        <w:pStyle w:val="BodyText"/>
                        <w:spacing w:before="0"/>
                      </w:pPr>
                      <w:r>
                        <w:t>Christina is in home detention, living in a caravan on a relative’s property near a rural town. This is the third place she’s tried to ‘park’ the caravan as she needed to find somewhere legal and long-term in order for home detention option to be allowed. She lives in the caravan with her long-term partner, and is very happy to not be in prison.</w:t>
                      </w:r>
                      <w:r w:rsidRPr="004A55F7">
                        <w:t xml:space="preserve"> </w:t>
                      </w:r>
                      <w:r>
                        <w:t>She was convicted of drug possession after spending 18 months on bail. The home detention sentence is a bright spot; she’s managed to stay out of jail.</w:t>
                      </w:r>
                    </w:p>
                    <w:p w14:paraId="110E0F3E" w14:textId="77777777" w:rsidR="005A3B94" w:rsidRDefault="005A3B94" w:rsidP="008258D3">
                      <w:pPr>
                        <w:pStyle w:val="BodyText"/>
                      </w:pPr>
                      <w:r>
                        <w:t xml:space="preserve">How did she get here? She had a violent and abusive childhood and adolescence characterised by poverty, crime and sex work. She managed to escape this traumatic life, and to form and maintain a long relationship with the father of her children, despite patches of violence. He doesn’t use drugs, but for Christina, using may have been a form of self-medication. </w:t>
                      </w:r>
                    </w:p>
                    <w:p w14:paraId="636B79B0" w14:textId="77777777" w:rsidR="005A3B94" w:rsidRDefault="005A3B94" w:rsidP="008258D3">
                      <w:pPr>
                        <w:pStyle w:val="BodyText"/>
                      </w:pPr>
                      <w:r>
                        <w:t xml:space="preserve">Christina has lost custody of her children, each of whom has suffered the impacts of traumatic beginnings. The kids have significant physical and mental health conditions—all of which are beyond her capacity to support or manage. She wants to maintain their relationship and visits them when she can, relying on public transport. Christina’s very long-term drug use means that she has impairments of her own that require treatment. But the services she needs are a long way from where she lives, transport is expensive and infrequent, and appointments are on a first come first served basis. </w:t>
                      </w:r>
                    </w:p>
                    <w:p w14:paraId="2D284FAC" w14:textId="1470C134" w:rsidR="005A3B94" w:rsidRDefault="005A3B94" w:rsidP="008258D3">
                      <w:pPr>
                        <w:pStyle w:val="BodyText"/>
                      </w:pPr>
                      <w:r>
                        <w:t xml:space="preserve">She can feel hopeless at times but has </w:t>
                      </w:r>
                      <w:r w:rsidR="00EC225E">
                        <w:t>not used drugs</w:t>
                      </w:r>
                      <w:r>
                        <w:t xml:space="preserve"> since before the home detention order was put in place. Now, she’s taking things one day at a time. The opportunity of home detention rather than a prison term gives her hope of staying </w:t>
                      </w:r>
                      <w:r w:rsidR="00EC225E">
                        <w:t>away from drug use</w:t>
                      </w:r>
                      <w:r>
                        <w:t>.</w:t>
                      </w:r>
                    </w:p>
                    <w:p w14:paraId="5B710720" w14:textId="233C5261" w:rsidR="005A3B94" w:rsidRDefault="005A3B94" w:rsidP="007E536B">
                      <w:pPr>
                        <w:pStyle w:val="BodyText"/>
                        <w:spacing w:before="100" w:beforeAutospacing="1" w:after="100" w:afterAutospacing="1"/>
                      </w:pPr>
                    </w:p>
                  </w:txbxContent>
                </v:textbox>
                <w10:wrap type="topAndBottom" anchorx="margin"/>
              </v:shape>
            </w:pict>
          </mc:Fallback>
        </mc:AlternateContent>
      </w:r>
      <w:r w:rsidR="007E536B" w:rsidRPr="00C867F8">
        <w:rPr>
          <w:noProof/>
        </w:rPr>
        <mc:AlternateContent>
          <mc:Choice Requires="wps">
            <w:drawing>
              <wp:anchor distT="0" distB="0" distL="114300" distR="114300" simplePos="0" relativeHeight="251952128" behindDoc="1" locked="0" layoutInCell="1" allowOverlap="1" wp14:anchorId="060A49E5" wp14:editId="3654AC62">
                <wp:simplePos x="0" y="0"/>
                <wp:positionH relativeFrom="page">
                  <wp:align>right</wp:align>
                </wp:positionH>
                <wp:positionV relativeFrom="paragraph">
                  <wp:posOffset>-730250</wp:posOffset>
                </wp:positionV>
                <wp:extent cx="7564755" cy="5263117"/>
                <wp:effectExtent l="0" t="0" r="0" b="0"/>
                <wp:wrapNone/>
                <wp:docPr id="129" name="Rectangle 129"/>
                <wp:cNvGraphicFramePr/>
                <a:graphic xmlns:a="http://schemas.openxmlformats.org/drawingml/2006/main">
                  <a:graphicData uri="http://schemas.microsoft.com/office/word/2010/wordprocessingShape">
                    <wps:wsp>
                      <wps:cNvSpPr/>
                      <wps:spPr>
                        <a:xfrm>
                          <a:off x="0" y="0"/>
                          <a:ext cx="7564755" cy="5263117"/>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CAE8" id="Rectangle 129" o:spid="_x0000_s1026" style="position:absolute;margin-left:544.45pt;margin-top:-57.5pt;width:595.65pt;height:414.4pt;z-index:-2513643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" fillcolor="#e6e3d9" stroked="f" strokeweight="2pt">
                <w10:wrap anchorx="page"/>
              </v:rect>
            </w:pict>
          </mc:Fallback>
        </mc:AlternateContent>
      </w:r>
      <w:r w:rsidR="008E530A">
        <w:t>Decriminalisation delivers net economic benefits</w:t>
      </w:r>
      <w:bookmarkEnd w:id="47"/>
    </w:p>
    <w:p w14:paraId="41241179" w14:textId="66903FEB" w:rsidR="008E530A" w:rsidRDefault="008E530A" w:rsidP="00077D4B">
      <w:pPr>
        <w:pStyle w:val="BodyText"/>
        <w:rPr>
          <w:rStyle w:val="IntenseEmphasis"/>
          <w:b/>
          <w:i w:val="0"/>
          <w:iCs w:val="0"/>
          <w:color w:val="575F61"/>
        </w:rPr>
      </w:pPr>
      <w:r>
        <w:t xml:space="preserve">Blacklow </w:t>
      </w:r>
      <w:r>
        <w:fldChar w:fldCharType="begin"/>
      </w:r>
      <w:r w:rsidR="00956746">
        <w:instrText xml:space="preserve"> ADDIN EN.CITE &lt;EndNote&gt;&lt;Cite&gt;&lt;Author&gt;Bartl&lt;/Author&gt;&lt;Year&gt;2022&lt;/Year&gt;&lt;RecNum&gt;25&lt;/RecNum&gt;&lt;DisplayText&gt;[5]&lt;/DisplayText&gt;&lt;record&gt;&lt;rec-number&gt;25&lt;/rec-number&gt;&lt;foreign-keys&gt;&lt;key app="EN" db-id="5fz2fzfzg2w2x4efdz3xprvlzezfdv2spstv" timestamp="1676606833"&gt;25&lt;/key&gt;&lt;/foreign-keys&gt;&lt;ref-type name="Report"&gt;27&lt;/ref-type&gt;&lt;contributors&gt;&lt;authors&gt;&lt;author&gt;Bartl, Benedict&lt;/author&gt;&lt;/authors&gt;&lt;/contributors&gt;&lt;titles&gt;&lt;title&gt;The case for a health focused response to drug use in Tasmania&amp;apos;s legal system&lt;/title&gt;&lt;/titles&gt;&lt;edition&gt;Revised&lt;/edition&gt;&lt;dates&gt;&lt;year&gt;2022&lt;/year&gt;&lt;/dates&gt;&lt;pub-location&gt;Hobart, TAS&lt;/pub-location&gt;&lt;publisher&gt;Community Legal Centres Tasmania&lt;/publisher&gt;&lt;urls&gt;&lt;/urls&gt;&lt;/record&gt;&lt;/Cite&gt;&lt;/EndNote&gt;</w:instrText>
      </w:r>
      <w:r>
        <w:fldChar w:fldCharType="separate"/>
      </w:r>
      <w:r w:rsidR="00956746">
        <w:rPr>
          <w:noProof/>
        </w:rPr>
        <w:t>[5]</w:t>
      </w:r>
      <w:r>
        <w:fldChar w:fldCharType="end"/>
      </w:r>
      <w:r>
        <w:t xml:space="preserve"> estimated the annual cost of drug use (in 2021–22 dollars) under the current Tasmanian legal framework and compared it to the annual cost of illicit drug use under decriminalisation. Basing his assumptions on data from coun</w:t>
      </w:r>
      <w:bookmarkStart w:id="48" w:name="_GoBack"/>
      <w:bookmarkEnd w:id="48"/>
      <w:r>
        <w:t xml:space="preserve">tries that have decriminalised drug use and drawing on available quantifiable Tasmanian data, </w:t>
      </w:r>
      <w:r w:rsidRPr="00AE62BC">
        <w:t>Blacklow estimated that</w:t>
      </w:r>
      <w:r w:rsidRPr="00F83FB1">
        <w:rPr>
          <w:b/>
        </w:rPr>
        <w:t xml:space="preserve"> decriminalisation of </w:t>
      </w:r>
      <w:r>
        <w:rPr>
          <w:b/>
        </w:rPr>
        <w:t>i</w:t>
      </w:r>
      <w:r w:rsidRPr="00F83FB1">
        <w:rPr>
          <w:b/>
        </w:rPr>
        <w:t xml:space="preserve">llicit </w:t>
      </w:r>
      <w:r>
        <w:rPr>
          <w:b/>
        </w:rPr>
        <w:t>d</w:t>
      </w:r>
      <w:r w:rsidRPr="00F83FB1">
        <w:rPr>
          <w:b/>
        </w:rPr>
        <w:t xml:space="preserve">rug </w:t>
      </w:r>
      <w:r>
        <w:rPr>
          <w:b/>
        </w:rPr>
        <w:t>u</w:t>
      </w:r>
      <w:r w:rsidRPr="00F83FB1">
        <w:rPr>
          <w:b/>
        </w:rPr>
        <w:t>se in Tasmania in 2021-22 would save $61.8 million or 10.4% of the 2021</w:t>
      </w:r>
      <w:r>
        <w:rPr>
          <w:b/>
        </w:rPr>
        <w:t>–</w:t>
      </w:r>
      <w:r w:rsidRPr="00F83FB1">
        <w:rPr>
          <w:b/>
        </w:rPr>
        <w:t>22</w:t>
      </w:r>
      <w:r>
        <w:t xml:space="preserve"> cost annually </w:t>
      </w:r>
      <w:r>
        <w:fldChar w:fldCharType="begin"/>
      </w:r>
      <w:r w:rsidR="00956746">
        <w:instrText xml:space="preserve"> ADDIN EN.CITE &lt;EndNote&gt;&lt;Cite&gt;&lt;Author&gt;Bartl&lt;/Author&gt;&lt;Year&gt;2022&lt;/Year&gt;&lt;RecNum&gt;25&lt;/RecNum&gt;&lt;DisplayText&gt;[5]&lt;/DisplayText&gt;&lt;record&gt;&lt;rec-number&gt;25&lt;/rec-number&gt;&lt;foreign-keys&gt;&lt;key app="EN" db-id="5fz2fzfzg2w2x4efdz3xprvlzezfdv2spstv" timestamp="1676606833"&gt;25&lt;/key&gt;&lt;/foreign-keys&gt;&lt;ref-type name="Report"&gt;27&lt;/ref-type&gt;&lt;contributors&gt;&lt;authors&gt;&lt;author&gt;Bartl, Benedict&lt;/author&gt;&lt;/authors&gt;&lt;/contributors&gt;&lt;titles&gt;&lt;title&gt;The case for a health focused response to drug use in Tasmania&amp;apos;s legal system&lt;/title&gt;&lt;/titles&gt;&lt;edition&gt;Revised&lt;/edition&gt;&lt;dates&gt;&lt;year&gt;2022&lt;/year&gt;&lt;/dates&gt;&lt;pub-location&gt;Hobart, TAS&lt;/pub-location&gt;&lt;publisher&gt;Community Legal Centres Tasmania&lt;/publisher&gt;&lt;urls&gt;&lt;/urls&gt;&lt;/record&gt;&lt;/Cite&gt;&lt;/EndNote&gt;</w:instrText>
      </w:r>
      <w:r>
        <w:fldChar w:fldCharType="separate"/>
      </w:r>
      <w:r w:rsidR="00956746">
        <w:rPr>
          <w:noProof/>
        </w:rPr>
        <w:t>[5]</w:t>
      </w:r>
      <w:r>
        <w:fldChar w:fldCharType="end"/>
      </w:r>
      <w:r>
        <w:t xml:space="preserve">. </w:t>
      </w:r>
    </w:p>
    <w:p w14:paraId="1FBF243B" w14:textId="77777777" w:rsidR="007D73A2" w:rsidRDefault="007D73A2" w:rsidP="007D73A2">
      <w:pPr>
        <w:pStyle w:val="BodyText"/>
      </w:pPr>
      <w:r>
        <w:t xml:space="preserve">Blacklow’s estimates of quantifiable costs are summarised in Table 3. </w:t>
      </w:r>
    </w:p>
    <w:p w14:paraId="02DDAAAD" w14:textId="77777777" w:rsidR="007D73A2" w:rsidRPr="00080523" w:rsidRDefault="007D73A2" w:rsidP="007D73A2">
      <w:pPr>
        <w:pStyle w:val="Captions"/>
        <w:rPr>
          <w:rStyle w:val="Strong"/>
          <w:b/>
          <w:bCs/>
        </w:rPr>
      </w:pPr>
      <w:r w:rsidRPr="00080523">
        <w:rPr>
          <w:rStyle w:val="Strong"/>
          <w:b/>
          <w:bCs/>
        </w:rPr>
        <w:t>Table 3: Quantifiable costs of illicit drug use 2021</w:t>
      </w:r>
      <w:r>
        <w:rPr>
          <w:rStyle w:val="Strong"/>
          <w:b/>
          <w:bCs/>
        </w:rPr>
        <w:t>–</w:t>
      </w:r>
      <w:r w:rsidRPr="00080523">
        <w:rPr>
          <w:rStyle w:val="Strong"/>
          <w:b/>
          <w:bCs/>
        </w:rPr>
        <w:t xml:space="preserve">22 under current law and decriminalisation </w:t>
      </w:r>
    </w:p>
    <w:tbl>
      <w:tblPr>
        <w:tblW w:w="5000" w:type="pct"/>
        <w:tblBorders>
          <w:top w:val="single" w:sz="2" w:space="0" w:color="575F61"/>
          <w:bottom w:val="single" w:sz="2" w:space="0" w:color="575F61"/>
          <w:insideH w:val="single" w:sz="2" w:space="0" w:color="575F61"/>
        </w:tblBorders>
        <w:tblLayout w:type="fixed"/>
        <w:tblCellMar>
          <w:left w:w="57" w:type="dxa"/>
          <w:right w:w="0" w:type="dxa"/>
        </w:tblCellMar>
        <w:tblLook w:val="01E0" w:firstRow="1" w:lastRow="1" w:firstColumn="1" w:lastColumn="1" w:noHBand="0" w:noVBand="0"/>
        <w:tblCaption w:val="Table 3: Quantifiable costs of illicit drug use 2021–22 under current law and decriminalisation "/>
        <w:tblDescription w:val="The total quantifiable costs to Tasmania are estimated to fall by $61.8 million dollars (10.4%) from $591.9 million dollars under current law to $530.1 million dollars under decriminalisation. The contributors to this are total crime costs, cost of death and disease, total health costs amd the costs of road crashes. Total Tasmanian crime costs are estimated to fall by $4 million (2.5%) from $160.2 million dollars under current law to $156.2 million under decriminalisation. Total health costs are estimated to increase by $5.6 million dollars (10.2%) from $54.8 million dollars under current law to $60.3 million dollars under decriminalisation. The cost of road accidents is estimated to increase by $1.0 million dollars (10.0%) from $10.0 million under current law to $11.0 million under decriminalisation."/>
      </w:tblPr>
      <w:tblGrid>
        <w:gridCol w:w="3677"/>
        <w:gridCol w:w="1433"/>
        <w:gridCol w:w="2044"/>
        <w:gridCol w:w="1169"/>
        <w:gridCol w:w="1319"/>
      </w:tblGrid>
      <w:tr w:rsidR="007D73A2" w14:paraId="07FD1217" w14:textId="77777777" w:rsidTr="007D73A2">
        <w:trPr>
          <w:trHeight w:val="445"/>
        </w:trPr>
        <w:tc>
          <w:tcPr>
            <w:tcW w:w="1907" w:type="pct"/>
            <w:tcBorders>
              <w:top w:val="single" w:sz="4" w:space="0" w:color="auto"/>
              <w:bottom w:val="nil"/>
            </w:tcBorders>
            <w:shd w:val="clear" w:color="auto" w:fill="E6E3D9"/>
            <w:vAlign w:val="center"/>
          </w:tcPr>
          <w:p w14:paraId="0CE96E04" w14:textId="77777777" w:rsidR="007D73A2" w:rsidRPr="00F83FB1" w:rsidRDefault="007D73A2" w:rsidP="007D73A2">
            <w:pPr>
              <w:pStyle w:val="BodyText"/>
              <w:spacing w:before="0" w:after="0"/>
              <w:rPr>
                <w:rFonts w:ascii="Avenir Next LT Pro" w:hAnsi="Avenir Next LT Pro"/>
                <w:b/>
                <w:sz w:val="20"/>
                <w:szCs w:val="20"/>
              </w:rPr>
            </w:pPr>
          </w:p>
        </w:tc>
        <w:tc>
          <w:tcPr>
            <w:tcW w:w="743" w:type="pct"/>
            <w:tcBorders>
              <w:top w:val="single" w:sz="4" w:space="0" w:color="auto"/>
              <w:bottom w:val="nil"/>
            </w:tcBorders>
            <w:shd w:val="clear" w:color="auto" w:fill="E6E3D9"/>
            <w:vAlign w:val="center"/>
          </w:tcPr>
          <w:p w14:paraId="722E47A6" w14:textId="77777777" w:rsidR="007D73A2" w:rsidRPr="00F83FB1" w:rsidRDefault="007D73A2" w:rsidP="007D73A2">
            <w:pPr>
              <w:pStyle w:val="BodyText"/>
              <w:spacing w:before="0" w:after="0"/>
              <w:jc w:val="center"/>
              <w:rPr>
                <w:rFonts w:ascii="Avenir Next LT Pro" w:hAnsi="Avenir Next LT Pro"/>
                <w:b/>
                <w:sz w:val="20"/>
                <w:szCs w:val="20"/>
              </w:rPr>
            </w:pPr>
            <w:r w:rsidRPr="00F83FB1">
              <w:rPr>
                <w:rFonts w:ascii="Avenir Next LT Pro" w:hAnsi="Avenir Next LT Pro"/>
                <w:b/>
                <w:sz w:val="20"/>
                <w:szCs w:val="20"/>
              </w:rPr>
              <w:t>Current law</w:t>
            </w:r>
          </w:p>
        </w:tc>
        <w:tc>
          <w:tcPr>
            <w:tcW w:w="1060" w:type="pct"/>
            <w:tcBorders>
              <w:top w:val="single" w:sz="4" w:space="0" w:color="auto"/>
              <w:bottom w:val="nil"/>
            </w:tcBorders>
            <w:shd w:val="clear" w:color="auto" w:fill="E6E3D9"/>
            <w:vAlign w:val="center"/>
          </w:tcPr>
          <w:p w14:paraId="747FA4FA" w14:textId="77777777" w:rsidR="007D73A2" w:rsidRPr="00F83FB1" w:rsidRDefault="007D73A2" w:rsidP="007D73A2">
            <w:pPr>
              <w:pStyle w:val="BodyText"/>
              <w:spacing w:before="0" w:after="0"/>
              <w:jc w:val="center"/>
              <w:rPr>
                <w:rFonts w:ascii="Avenir Next LT Pro" w:hAnsi="Avenir Next LT Pro"/>
                <w:b/>
                <w:sz w:val="20"/>
                <w:szCs w:val="20"/>
              </w:rPr>
            </w:pPr>
            <w:r w:rsidRPr="00F83FB1">
              <w:rPr>
                <w:rFonts w:ascii="Avenir Next LT Pro" w:hAnsi="Avenir Next LT Pro"/>
                <w:b/>
                <w:sz w:val="20"/>
                <w:szCs w:val="20"/>
              </w:rPr>
              <w:t>Decriminalisation</w:t>
            </w:r>
          </w:p>
        </w:tc>
        <w:tc>
          <w:tcPr>
            <w:tcW w:w="1290" w:type="pct"/>
            <w:gridSpan w:val="2"/>
            <w:shd w:val="clear" w:color="auto" w:fill="E6E3D9"/>
            <w:vAlign w:val="center"/>
          </w:tcPr>
          <w:p w14:paraId="5FE8FB49" w14:textId="77777777" w:rsidR="007D73A2" w:rsidRPr="00F83FB1" w:rsidRDefault="007D73A2" w:rsidP="007D73A2">
            <w:pPr>
              <w:pStyle w:val="BodyText"/>
              <w:spacing w:before="0" w:after="0"/>
              <w:jc w:val="center"/>
              <w:rPr>
                <w:rFonts w:ascii="Avenir Next LT Pro" w:hAnsi="Avenir Next LT Pro"/>
                <w:b/>
                <w:sz w:val="20"/>
                <w:szCs w:val="20"/>
              </w:rPr>
            </w:pPr>
            <w:r w:rsidRPr="00F83FB1">
              <w:rPr>
                <w:rFonts w:ascii="Avenir Next LT Pro" w:hAnsi="Avenir Next LT Pro"/>
                <w:b/>
                <w:sz w:val="20"/>
                <w:szCs w:val="20"/>
              </w:rPr>
              <w:t>Difference</w:t>
            </w:r>
          </w:p>
        </w:tc>
      </w:tr>
      <w:tr w:rsidR="007D73A2" w14:paraId="03ADD534" w14:textId="77777777" w:rsidTr="007D73A2">
        <w:trPr>
          <w:trHeight w:val="448"/>
        </w:trPr>
        <w:tc>
          <w:tcPr>
            <w:tcW w:w="1907" w:type="pct"/>
            <w:tcBorders>
              <w:top w:val="nil"/>
              <w:bottom w:val="single" w:sz="4" w:space="0" w:color="auto"/>
            </w:tcBorders>
            <w:shd w:val="clear" w:color="auto" w:fill="E6E3D9"/>
            <w:vAlign w:val="center"/>
          </w:tcPr>
          <w:p w14:paraId="12ABA56B" w14:textId="77777777" w:rsidR="007D73A2" w:rsidRPr="00F83FB1" w:rsidDel="00343548" w:rsidRDefault="007D73A2" w:rsidP="007D73A2">
            <w:pPr>
              <w:pStyle w:val="BodyText"/>
              <w:spacing w:before="0" w:after="0"/>
              <w:rPr>
                <w:rFonts w:ascii="Avenir Next LT Pro" w:hAnsi="Avenir Next LT Pro"/>
                <w:sz w:val="20"/>
                <w:szCs w:val="20"/>
              </w:rPr>
            </w:pPr>
          </w:p>
        </w:tc>
        <w:tc>
          <w:tcPr>
            <w:tcW w:w="743" w:type="pct"/>
            <w:tcBorders>
              <w:top w:val="nil"/>
              <w:bottom w:val="single" w:sz="4" w:space="0" w:color="auto"/>
            </w:tcBorders>
            <w:shd w:val="clear" w:color="auto" w:fill="E6E3D9"/>
            <w:vAlign w:val="center"/>
          </w:tcPr>
          <w:p w14:paraId="5DF5C207" w14:textId="77777777" w:rsidR="007D73A2" w:rsidRPr="00F83FB1" w:rsidRDefault="007D73A2" w:rsidP="007D73A2">
            <w:pPr>
              <w:pStyle w:val="BodyText"/>
              <w:spacing w:before="0" w:after="0"/>
              <w:jc w:val="center"/>
              <w:rPr>
                <w:rFonts w:ascii="Avenir Next LT Pro" w:hAnsi="Avenir Next LT Pro"/>
                <w:b/>
                <w:sz w:val="20"/>
                <w:szCs w:val="20"/>
              </w:rPr>
            </w:pPr>
            <w:r w:rsidRPr="00F83FB1">
              <w:rPr>
                <w:rFonts w:ascii="Avenir Next LT Pro" w:hAnsi="Avenir Next LT Pro"/>
                <w:b/>
                <w:sz w:val="20"/>
                <w:szCs w:val="20"/>
              </w:rPr>
              <w:t>($m)</w:t>
            </w:r>
          </w:p>
        </w:tc>
        <w:tc>
          <w:tcPr>
            <w:tcW w:w="1060" w:type="pct"/>
            <w:tcBorders>
              <w:top w:val="nil"/>
              <w:bottom w:val="single" w:sz="4" w:space="0" w:color="auto"/>
            </w:tcBorders>
            <w:shd w:val="clear" w:color="auto" w:fill="E6E3D9"/>
            <w:vAlign w:val="center"/>
          </w:tcPr>
          <w:p w14:paraId="38215D50" w14:textId="77777777" w:rsidR="007D73A2" w:rsidRPr="00F83FB1" w:rsidRDefault="007D73A2" w:rsidP="007D73A2">
            <w:pPr>
              <w:pStyle w:val="BodyText"/>
              <w:spacing w:before="0" w:after="0"/>
              <w:jc w:val="center"/>
              <w:rPr>
                <w:rFonts w:ascii="Avenir Next LT Pro" w:hAnsi="Avenir Next LT Pro"/>
                <w:b/>
                <w:sz w:val="20"/>
                <w:szCs w:val="20"/>
              </w:rPr>
            </w:pPr>
            <w:r w:rsidRPr="00F83FB1">
              <w:rPr>
                <w:rFonts w:ascii="Avenir Next LT Pro" w:hAnsi="Avenir Next LT Pro"/>
                <w:b/>
                <w:sz w:val="20"/>
                <w:szCs w:val="20"/>
              </w:rPr>
              <w:t>($m)</w:t>
            </w:r>
          </w:p>
        </w:tc>
        <w:tc>
          <w:tcPr>
            <w:tcW w:w="606" w:type="pct"/>
            <w:tcBorders>
              <w:bottom w:val="single" w:sz="4" w:space="0" w:color="auto"/>
            </w:tcBorders>
            <w:shd w:val="clear" w:color="auto" w:fill="E6E3D9"/>
            <w:vAlign w:val="center"/>
          </w:tcPr>
          <w:p w14:paraId="73058693" w14:textId="77777777" w:rsidR="007D73A2" w:rsidRPr="00F83FB1" w:rsidRDefault="007D73A2" w:rsidP="007D73A2">
            <w:pPr>
              <w:pStyle w:val="BodyText"/>
              <w:spacing w:before="0" w:after="0"/>
              <w:jc w:val="center"/>
              <w:rPr>
                <w:rFonts w:ascii="Avenir Next LT Pro" w:hAnsi="Avenir Next LT Pro"/>
                <w:b/>
                <w:sz w:val="20"/>
                <w:szCs w:val="20"/>
              </w:rPr>
            </w:pPr>
            <w:r w:rsidRPr="00F83FB1">
              <w:rPr>
                <w:rFonts w:ascii="Avenir Next LT Pro" w:hAnsi="Avenir Next LT Pro"/>
                <w:b/>
                <w:sz w:val="20"/>
                <w:szCs w:val="20"/>
              </w:rPr>
              <w:t>($m)</w:t>
            </w:r>
          </w:p>
        </w:tc>
        <w:tc>
          <w:tcPr>
            <w:tcW w:w="683" w:type="pct"/>
            <w:tcBorders>
              <w:bottom w:val="single" w:sz="4" w:space="0" w:color="auto"/>
            </w:tcBorders>
            <w:shd w:val="clear" w:color="auto" w:fill="E6E3D9"/>
            <w:vAlign w:val="center"/>
          </w:tcPr>
          <w:p w14:paraId="36089E4E" w14:textId="77777777" w:rsidR="007D73A2" w:rsidRPr="00F83FB1" w:rsidRDefault="007D73A2" w:rsidP="007D73A2">
            <w:pPr>
              <w:pStyle w:val="BodyText"/>
              <w:spacing w:before="0" w:after="0"/>
              <w:jc w:val="center"/>
              <w:rPr>
                <w:rFonts w:ascii="Avenir Next LT Pro" w:hAnsi="Avenir Next LT Pro"/>
                <w:b/>
                <w:sz w:val="20"/>
                <w:szCs w:val="20"/>
              </w:rPr>
            </w:pPr>
            <w:r w:rsidRPr="00F83FB1">
              <w:rPr>
                <w:rFonts w:ascii="Avenir Next LT Pro" w:hAnsi="Avenir Next LT Pro"/>
                <w:b/>
                <w:sz w:val="20"/>
                <w:szCs w:val="20"/>
              </w:rPr>
              <w:t>(%)</w:t>
            </w:r>
          </w:p>
        </w:tc>
      </w:tr>
      <w:tr w:rsidR="007D73A2" w14:paraId="6926D509" w14:textId="77777777" w:rsidTr="007D73A2">
        <w:trPr>
          <w:trHeight w:val="572"/>
        </w:trPr>
        <w:tc>
          <w:tcPr>
            <w:tcW w:w="1907" w:type="pct"/>
            <w:tcBorders>
              <w:top w:val="single" w:sz="4" w:space="0" w:color="auto"/>
            </w:tcBorders>
            <w:vAlign w:val="center"/>
          </w:tcPr>
          <w:p w14:paraId="3ED8EE94" w14:textId="77777777" w:rsidR="007D73A2" w:rsidRPr="00F83FB1" w:rsidRDefault="007D73A2" w:rsidP="007D73A2">
            <w:pPr>
              <w:pStyle w:val="BodyText"/>
              <w:rPr>
                <w:rFonts w:ascii="Avenir Next LT Pro" w:hAnsi="Avenir Next LT Pro"/>
                <w:sz w:val="20"/>
                <w:szCs w:val="20"/>
              </w:rPr>
            </w:pPr>
            <w:r w:rsidRPr="00F83FB1">
              <w:rPr>
                <w:rFonts w:ascii="Avenir Next LT Pro" w:hAnsi="Avenir Next LT Pro"/>
                <w:sz w:val="20"/>
                <w:szCs w:val="20"/>
              </w:rPr>
              <w:t xml:space="preserve">Total crime </w:t>
            </w:r>
          </w:p>
        </w:tc>
        <w:tc>
          <w:tcPr>
            <w:tcW w:w="743" w:type="pct"/>
            <w:tcBorders>
              <w:top w:val="single" w:sz="4" w:space="0" w:color="auto"/>
            </w:tcBorders>
            <w:vAlign w:val="center"/>
          </w:tcPr>
          <w:p w14:paraId="23457092" w14:textId="77777777" w:rsidR="007D73A2" w:rsidRPr="00F83FB1" w:rsidRDefault="007D73A2" w:rsidP="007D73A2">
            <w:pPr>
              <w:pStyle w:val="BodyText"/>
              <w:ind w:right="287"/>
              <w:jc w:val="right"/>
              <w:rPr>
                <w:rFonts w:ascii="Avenir Next LT Pro" w:hAnsi="Avenir Next LT Pro"/>
                <w:sz w:val="20"/>
                <w:szCs w:val="20"/>
              </w:rPr>
            </w:pPr>
            <w:r w:rsidRPr="00F83FB1">
              <w:rPr>
                <w:rFonts w:ascii="Avenir Next LT Pro" w:hAnsi="Avenir Next LT Pro"/>
                <w:sz w:val="20"/>
                <w:szCs w:val="20"/>
              </w:rPr>
              <w:t>$160.2</w:t>
            </w:r>
          </w:p>
        </w:tc>
        <w:tc>
          <w:tcPr>
            <w:tcW w:w="1060" w:type="pct"/>
            <w:tcBorders>
              <w:top w:val="single" w:sz="4" w:space="0" w:color="auto"/>
            </w:tcBorders>
            <w:vAlign w:val="center"/>
          </w:tcPr>
          <w:p w14:paraId="39FC4B7C" w14:textId="77777777" w:rsidR="007D73A2" w:rsidRPr="00F83FB1" w:rsidRDefault="007D73A2" w:rsidP="007D73A2">
            <w:pPr>
              <w:pStyle w:val="BodyText"/>
              <w:ind w:right="574"/>
              <w:jc w:val="right"/>
              <w:rPr>
                <w:rFonts w:ascii="Avenir Next LT Pro" w:hAnsi="Avenir Next LT Pro"/>
                <w:sz w:val="20"/>
                <w:szCs w:val="20"/>
              </w:rPr>
            </w:pPr>
            <w:r w:rsidRPr="00F83FB1">
              <w:rPr>
                <w:rFonts w:ascii="Avenir Next LT Pro" w:hAnsi="Avenir Next LT Pro"/>
                <w:sz w:val="20"/>
                <w:szCs w:val="20"/>
              </w:rPr>
              <w:t>$156.2</w:t>
            </w:r>
          </w:p>
        </w:tc>
        <w:tc>
          <w:tcPr>
            <w:tcW w:w="606" w:type="pct"/>
            <w:tcBorders>
              <w:top w:val="single" w:sz="4" w:space="0" w:color="auto"/>
            </w:tcBorders>
            <w:vAlign w:val="center"/>
          </w:tcPr>
          <w:p w14:paraId="1EE8A19A" w14:textId="77777777" w:rsidR="007D73A2" w:rsidRPr="00F83FB1" w:rsidRDefault="007D73A2" w:rsidP="007D73A2">
            <w:pPr>
              <w:pStyle w:val="BodyText"/>
              <w:tabs>
                <w:tab w:val="left" w:pos="642"/>
              </w:tabs>
              <w:ind w:right="245"/>
              <w:jc w:val="right"/>
              <w:rPr>
                <w:rFonts w:ascii="Avenir Next LT Pro" w:hAnsi="Avenir Next LT Pro"/>
                <w:sz w:val="20"/>
                <w:szCs w:val="20"/>
              </w:rPr>
            </w:pPr>
            <w:r w:rsidRPr="00F83FB1">
              <w:rPr>
                <w:rFonts w:ascii="Avenir Next LT Pro" w:hAnsi="Avenir Next LT Pro"/>
                <w:sz w:val="20"/>
                <w:szCs w:val="20"/>
              </w:rPr>
              <w:t>-$4.0</w:t>
            </w:r>
          </w:p>
        </w:tc>
        <w:tc>
          <w:tcPr>
            <w:tcW w:w="683" w:type="pct"/>
            <w:tcBorders>
              <w:top w:val="single" w:sz="4" w:space="0" w:color="auto"/>
            </w:tcBorders>
            <w:shd w:val="clear" w:color="auto" w:fill="auto"/>
            <w:vAlign w:val="center"/>
          </w:tcPr>
          <w:p w14:paraId="5D8C4458" w14:textId="77777777" w:rsidR="007D73A2" w:rsidRPr="00F83FB1" w:rsidRDefault="007D73A2" w:rsidP="007D73A2">
            <w:pPr>
              <w:pStyle w:val="BodyText"/>
              <w:jc w:val="center"/>
              <w:rPr>
                <w:rFonts w:ascii="Avenir Next LT Pro" w:hAnsi="Avenir Next LT Pro"/>
                <w:sz w:val="20"/>
                <w:szCs w:val="20"/>
              </w:rPr>
            </w:pPr>
            <w:r w:rsidRPr="00F83FB1">
              <w:rPr>
                <w:rFonts w:ascii="Avenir Next LT Pro" w:hAnsi="Avenir Next LT Pro"/>
                <w:sz w:val="20"/>
                <w:szCs w:val="20"/>
              </w:rPr>
              <w:t>-2.5%</w:t>
            </w:r>
          </w:p>
        </w:tc>
      </w:tr>
      <w:tr w:rsidR="007D73A2" w14:paraId="067F7159" w14:textId="77777777" w:rsidTr="007D73A2">
        <w:trPr>
          <w:trHeight w:val="352"/>
        </w:trPr>
        <w:tc>
          <w:tcPr>
            <w:tcW w:w="1907" w:type="pct"/>
            <w:vAlign w:val="center"/>
          </w:tcPr>
          <w:p w14:paraId="11C797C8" w14:textId="77777777" w:rsidR="007D73A2" w:rsidRPr="00F83FB1" w:rsidRDefault="007D73A2" w:rsidP="007D73A2">
            <w:pPr>
              <w:pStyle w:val="BodyText"/>
              <w:rPr>
                <w:rFonts w:ascii="Avenir Next LT Pro" w:hAnsi="Avenir Next LT Pro"/>
                <w:sz w:val="20"/>
                <w:szCs w:val="20"/>
              </w:rPr>
            </w:pPr>
            <w:r w:rsidRPr="00F83FB1">
              <w:rPr>
                <w:rFonts w:ascii="Avenir Next LT Pro" w:hAnsi="Avenir Next LT Pro"/>
                <w:sz w:val="20"/>
                <w:szCs w:val="20"/>
              </w:rPr>
              <w:t>Total death and disease</w:t>
            </w:r>
          </w:p>
        </w:tc>
        <w:tc>
          <w:tcPr>
            <w:tcW w:w="743" w:type="pct"/>
            <w:vAlign w:val="center"/>
          </w:tcPr>
          <w:p w14:paraId="3116A182" w14:textId="77777777" w:rsidR="007D73A2" w:rsidRPr="00F83FB1" w:rsidRDefault="007D73A2" w:rsidP="007D73A2">
            <w:pPr>
              <w:pStyle w:val="BodyText"/>
              <w:ind w:right="287"/>
              <w:jc w:val="right"/>
              <w:rPr>
                <w:rFonts w:ascii="Avenir Next LT Pro" w:hAnsi="Avenir Next LT Pro"/>
                <w:sz w:val="20"/>
                <w:szCs w:val="20"/>
              </w:rPr>
            </w:pPr>
            <w:r w:rsidRPr="00F83FB1">
              <w:rPr>
                <w:rFonts w:ascii="Avenir Next LT Pro" w:hAnsi="Avenir Next LT Pro"/>
                <w:sz w:val="20"/>
                <w:szCs w:val="20"/>
              </w:rPr>
              <w:t>$367.0</w:t>
            </w:r>
          </w:p>
        </w:tc>
        <w:tc>
          <w:tcPr>
            <w:tcW w:w="1060" w:type="pct"/>
            <w:vAlign w:val="center"/>
          </w:tcPr>
          <w:p w14:paraId="4C3EC780" w14:textId="77777777" w:rsidR="007D73A2" w:rsidRPr="00F83FB1" w:rsidRDefault="007D73A2" w:rsidP="007D73A2">
            <w:pPr>
              <w:pStyle w:val="BodyText"/>
              <w:ind w:right="574"/>
              <w:jc w:val="right"/>
              <w:rPr>
                <w:rFonts w:ascii="Avenir Next LT Pro" w:hAnsi="Avenir Next LT Pro"/>
                <w:sz w:val="20"/>
                <w:szCs w:val="20"/>
              </w:rPr>
            </w:pPr>
            <w:r w:rsidRPr="00F83FB1">
              <w:rPr>
                <w:rFonts w:ascii="Avenir Next LT Pro" w:hAnsi="Avenir Next LT Pro"/>
                <w:sz w:val="20"/>
                <w:szCs w:val="20"/>
              </w:rPr>
              <w:t>$302.6</w:t>
            </w:r>
          </w:p>
        </w:tc>
        <w:tc>
          <w:tcPr>
            <w:tcW w:w="606" w:type="pct"/>
            <w:vAlign w:val="center"/>
          </w:tcPr>
          <w:p w14:paraId="1F785A16" w14:textId="77777777" w:rsidR="007D73A2" w:rsidRPr="00F83FB1" w:rsidRDefault="007D73A2" w:rsidP="007D73A2">
            <w:pPr>
              <w:pStyle w:val="BodyText"/>
              <w:tabs>
                <w:tab w:val="left" w:pos="810"/>
              </w:tabs>
              <w:ind w:right="245"/>
              <w:jc w:val="right"/>
              <w:rPr>
                <w:rFonts w:ascii="Avenir Next LT Pro" w:hAnsi="Avenir Next LT Pro"/>
                <w:sz w:val="20"/>
                <w:szCs w:val="20"/>
              </w:rPr>
            </w:pPr>
            <w:r w:rsidRPr="00F83FB1">
              <w:rPr>
                <w:rFonts w:ascii="Avenir Next LT Pro" w:hAnsi="Avenir Next LT Pro"/>
                <w:sz w:val="20"/>
                <w:szCs w:val="20"/>
              </w:rPr>
              <w:t>-$64.3</w:t>
            </w:r>
          </w:p>
        </w:tc>
        <w:tc>
          <w:tcPr>
            <w:tcW w:w="683" w:type="pct"/>
            <w:shd w:val="clear" w:color="auto" w:fill="auto"/>
            <w:vAlign w:val="center"/>
          </w:tcPr>
          <w:p w14:paraId="6724B6A3" w14:textId="77777777" w:rsidR="007D73A2" w:rsidRPr="00F83FB1" w:rsidRDefault="007D73A2" w:rsidP="007D73A2">
            <w:pPr>
              <w:pStyle w:val="BodyText"/>
              <w:jc w:val="center"/>
              <w:rPr>
                <w:rFonts w:ascii="Avenir Next LT Pro" w:hAnsi="Avenir Next LT Pro"/>
                <w:sz w:val="20"/>
                <w:szCs w:val="20"/>
              </w:rPr>
            </w:pPr>
            <w:r w:rsidRPr="00F83FB1">
              <w:rPr>
                <w:rFonts w:ascii="Avenir Next LT Pro" w:hAnsi="Avenir Next LT Pro"/>
                <w:sz w:val="20"/>
                <w:szCs w:val="20"/>
              </w:rPr>
              <w:t>-17.5%</w:t>
            </w:r>
          </w:p>
        </w:tc>
      </w:tr>
      <w:tr w:rsidR="007D73A2" w14:paraId="51F05FF1" w14:textId="77777777" w:rsidTr="007D73A2">
        <w:trPr>
          <w:trHeight w:val="352"/>
        </w:trPr>
        <w:tc>
          <w:tcPr>
            <w:tcW w:w="1907" w:type="pct"/>
            <w:vAlign w:val="center"/>
          </w:tcPr>
          <w:p w14:paraId="622C068C" w14:textId="77777777" w:rsidR="007D73A2" w:rsidRPr="00F83FB1" w:rsidRDefault="007D73A2" w:rsidP="007D73A2">
            <w:pPr>
              <w:pStyle w:val="BodyText"/>
              <w:rPr>
                <w:rFonts w:ascii="Avenir Next LT Pro" w:hAnsi="Avenir Next LT Pro"/>
                <w:sz w:val="20"/>
                <w:szCs w:val="20"/>
              </w:rPr>
            </w:pPr>
            <w:r w:rsidRPr="00F83FB1">
              <w:rPr>
                <w:rFonts w:ascii="Avenir Next LT Pro" w:hAnsi="Avenir Next LT Pro"/>
                <w:sz w:val="20"/>
                <w:szCs w:val="20"/>
              </w:rPr>
              <w:t xml:space="preserve">Total </w:t>
            </w:r>
            <w:r>
              <w:rPr>
                <w:rFonts w:ascii="Avenir Next LT Pro" w:hAnsi="Avenir Next LT Pro"/>
                <w:sz w:val="20"/>
                <w:szCs w:val="20"/>
              </w:rPr>
              <w:t>h</w:t>
            </w:r>
            <w:r w:rsidRPr="00F83FB1">
              <w:rPr>
                <w:rFonts w:ascii="Avenir Next LT Pro" w:hAnsi="Avenir Next LT Pro"/>
                <w:sz w:val="20"/>
                <w:szCs w:val="20"/>
              </w:rPr>
              <w:t>ealth</w:t>
            </w:r>
          </w:p>
        </w:tc>
        <w:tc>
          <w:tcPr>
            <w:tcW w:w="743" w:type="pct"/>
            <w:vAlign w:val="center"/>
          </w:tcPr>
          <w:p w14:paraId="4E0410EF" w14:textId="77777777" w:rsidR="007D73A2" w:rsidRPr="00F83FB1" w:rsidRDefault="007D73A2" w:rsidP="007D73A2">
            <w:pPr>
              <w:pStyle w:val="BodyText"/>
              <w:ind w:right="287"/>
              <w:jc w:val="right"/>
              <w:rPr>
                <w:rFonts w:ascii="Avenir Next LT Pro" w:hAnsi="Avenir Next LT Pro"/>
                <w:sz w:val="20"/>
                <w:szCs w:val="20"/>
              </w:rPr>
            </w:pPr>
            <w:r w:rsidRPr="00F83FB1">
              <w:rPr>
                <w:rFonts w:ascii="Avenir Next LT Pro" w:hAnsi="Avenir Next LT Pro"/>
                <w:sz w:val="20"/>
                <w:szCs w:val="20"/>
              </w:rPr>
              <w:t>$54.8</w:t>
            </w:r>
          </w:p>
        </w:tc>
        <w:tc>
          <w:tcPr>
            <w:tcW w:w="1060" w:type="pct"/>
            <w:vAlign w:val="center"/>
          </w:tcPr>
          <w:p w14:paraId="0D0A8621" w14:textId="77777777" w:rsidR="007D73A2" w:rsidRPr="00F83FB1" w:rsidRDefault="007D73A2" w:rsidP="007D73A2">
            <w:pPr>
              <w:pStyle w:val="BodyText"/>
              <w:ind w:right="574"/>
              <w:jc w:val="right"/>
              <w:rPr>
                <w:rFonts w:ascii="Avenir Next LT Pro" w:hAnsi="Avenir Next LT Pro"/>
                <w:sz w:val="20"/>
                <w:szCs w:val="20"/>
              </w:rPr>
            </w:pPr>
            <w:r w:rsidRPr="00F83FB1">
              <w:rPr>
                <w:rFonts w:ascii="Avenir Next LT Pro" w:hAnsi="Avenir Next LT Pro"/>
                <w:sz w:val="20"/>
                <w:szCs w:val="20"/>
              </w:rPr>
              <w:t>$60.3</w:t>
            </w:r>
          </w:p>
        </w:tc>
        <w:tc>
          <w:tcPr>
            <w:tcW w:w="606" w:type="pct"/>
            <w:vAlign w:val="center"/>
          </w:tcPr>
          <w:p w14:paraId="67C869A4" w14:textId="77777777" w:rsidR="007D73A2" w:rsidRPr="00F83FB1" w:rsidRDefault="007D73A2" w:rsidP="007D73A2">
            <w:pPr>
              <w:pStyle w:val="BodyText"/>
              <w:tabs>
                <w:tab w:val="left" w:pos="642"/>
              </w:tabs>
              <w:ind w:right="245"/>
              <w:jc w:val="right"/>
              <w:rPr>
                <w:rFonts w:ascii="Avenir Next LT Pro" w:hAnsi="Avenir Next LT Pro"/>
                <w:sz w:val="20"/>
                <w:szCs w:val="20"/>
              </w:rPr>
            </w:pPr>
            <w:r w:rsidRPr="00F83FB1">
              <w:rPr>
                <w:rFonts w:ascii="Avenir Next LT Pro" w:hAnsi="Avenir Next LT Pro"/>
                <w:sz w:val="20"/>
                <w:szCs w:val="20"/>
              </w:rPr>
              <w:t>$5.6</w:t>
            </w:r>
          </w:p>
        </w:tc>
        <w:tc>
          <w:tcPr>
            <w:tcW w:w="683" w:type="pct"/>
            <w:shd w:val="clear" w:color="auto" w:fill="auto"/>
            <w:vAlign w:val="center"/>
          </w:tcPr>
          <w:p w14:paraId="0E89A7A0" w14:textId="77777777" w:rsidR="007D73A2" w:rsidRPr="00F83FB1" w:rsidRDefault="007D73A2" w:rsidP="007D73A2">
            <w:pPr>
              <w:pStyle w:val="BodyText"/>
              <w:jc w:val="center"/>
              <w:rPr>
                <w:rFonts w:ascii="Avenir Next LT Pro" w:hAnsi="Avenir Next LT Pro"/>
                <w:sz w:val="20"/>
                <w:szCs w:val="20"/>
              </w:rPr>
            </w:pPr>
            <w:r w:rsidRPr="00F83FB1">
              <w:rPr>
                <w:rFonts w:ascii="Avenir Next LT Pro" w:hAnsi="Avenir Next LT Pro"/>
                <w:sz w:val="20"/>
                <w:szCs w:val="20"/>
              </w:rPr>
              <w:t>10.2%</w:t>
            </w:r>
          </w:p>
        </w:tc>
      </w:tr>
      <w:tr w:rsidR="007D73A2" w14:paraId="2EC93234" w14:textId="77777777" w:rsidTr="007D73A2">
        <w:trPr>
          <w:trHeight w:val="352"/>
        </w:trPr>
        <w:tc>
          <w:tcPr>
            <w:tcW w:w="1907" w:type="pct"/>
            <w:vAlign w:val="center"/>
          </w:tcPr>
          <w:p w14:paraId="0D9D90F2" w14:textId="77777777" w:rsidR="007D73A2" w:rsidRPr="00F83FB1" w:rsidDel="00BF548E" w:rsidRDefault="007D73A2" w:rsidP="007D73A2">
            <w:pPr>
              <w:pStyle w:val="BodyText"/>
              <w:rPr>
                <w:rFonts w:ascii="Avenir Next LT Pro" w:hAnsi="Avenir Next LT Pro"/>
                <w:sz w:val="20"/>
                <w:szCs w:val="20"/>
              </w:rPr>
            </w:pPr>
            <w:r w:rsidRPr="00F83FB1">
              <w:rPr>
                <w:rFonts w:ascii="Avenir Next LT Pro" w:hAnsi="Avenir Next LT Pro"/>
                <w:sz w:val="20"/>
                <w:szCs w:val="20"/>
              </w:rPr>
              <w:t>Total road crashes</w:t>
            </w:r>
          </w:p>
        </w:tc>
        <w:tc>
          <w:tcPr>
            <w:tcW w:w="743" w:type="pct"/>
            <w:vAlign w:val="center"/>
          </w:tcPr>
          <w:p w14:paraId="70CE5912" w14:textId="77777777" w:rsidR="007D73A2" w:rsidRPr="00F83FB1" w:rsidRDefault="007D73A2" w:rsidP="007D73A2">
            <w:pPr>
              <w:pStyle w:val="BodyText"/>
              <w:ind w:right="287"/>
              <w:jc w:val="right"/>
              <w:rPr>
                <w:rFonts w:ascii="Avenir Next LT Pro" w:hAnsi="Avenir Next LT Pro"/>
                <w:sz w:val="20"/>
                <w:szCs w:val="20"/>
              </w:rPr>
            </w:pPr>
            <w:r w:rsidRPr="00F83FB1">
              <w:rPr>
                <w:rFonts w:ascii="Avenir Next LT Pro" w:hAnsi="Avenir Next LT Pro"/>
                <w:sz w:val="20"/>
                <w:szCs w:val="20"/>
              </w:rPr>
              <w:t>$10.0</w:t>
            </w:r>
          </w:p>
        </w:tc>
        <w:tc>
          <w:tcPr>
            <w:tcW w:w="1060" w:type="pct"/>
            <w:vAlign w:val="center"/>
          </w:tcPr>
          <w:p w14:paraId="373BFA7B" w14:textId="77777777" w:rsidR="007D73A2" w:rsidRPr="00F83FB1" w:rsidRDefault="007D73A2" w:rsidP="007D73A2">
            <w:pPr>
              <w:pStyle w:val="BodyText"/>
              <w:ind w:right="574"/>
              <w:jc w:val="right"/>
              <w:rPr>
                <w:rFonts w:ascii="Avenir Next LT Pro" w:hAnsi="Avenir Next LT Pro"/>
                <w:sz w:val="20"/>
                <w:szCs w:val="20"/>
              </w:rPr>
            </w:pPr>
            <w:r w:rsidRPr="00F83FB1">
              <w:rPr>
                <w:rFonts w:ascii="Avenir Next LT Pro" w:hAnsi="Avenir Next LT Pro"/>
                <w:sz w:val="20"/>
                <w:szCs w:val="20"/>
              </w:rPr>
              <w:t>$11.0</w:t>
            </w:r>
          </w:p>
        </w:tc>
        <w:tc>
          <w:tcPr>
            <w:tcW w:w="606" w:type="pct"/>
            <w:vAlign w:val="center"/>
          </w:tcPr>
          <w:p w14:paraId="13050CBD" w14:textId="77777777" w:rsidR="007D73A2" w:rsidRPr="00F83FB1" w:rsidRDefault="007D73A2" w:rsidP="007D73A2">
            <w:pPr>
              <w:pStyle w:val="BodyText"/>
              <w:tabs>
                <w:tab w:val="left" w:pos="642"/>
              </w:tabs>
              <w:ind w:right="245"/>
              <w:jc w:val="right"/>
              <w:rPr>
                <w:rFonts w:ascii="Avenir Next LT Pro" w:hAnsi="Avenir Next LT Pro"/>
                <w:sz w:val="20"/>
                <w:szCs w:val="20"/>
              </w:rPr>
            </w:pPr>
            <w:r w:rsidRPr="00F83FB1">
              <w:rPr>
                <w:rFonts w:ascii="Avenir Next LT Pro" w:hAnsi="Avenir Next LT Pro"/>
                <w:sz w:val="20"/>
                <w:szCs w:val="20"/>
              </w:rPr>
              <w:t>$1.0</w:t>
            </w:r>
          </w:p>
        </w:tc>
        <w:tc>
          <w:tcPr>
            <w:tcW w:w="683" w:type="pct"/>
            <w:shd w:val="clear" w:color="auto" w:fill="auto"/>
            <w:vAlign w:val="center"/>
          </w:tcPr>
          <w:p w14:paraId="43C67026" w14:textId="77777777" w:rsidR="007D73A2" w:rsidRPr="00F83FB1" w:rsidRDefault="007D73A2" w:rsidP="007D73A2">
            <w:pPr>
              <w:pStyle w:val="BodyText"/>
              <w:jc w:val="center"/>
              <w:rPr>
                <w:rFonts w:ascii="Avenir Next LT Pro" w:hAnsi="Avenir Next LT Pro"/>
                <w:sz w:val="20"/>
                <w:szCs w:val="20"/>
              </w:rPr>
            </w:pPr>
            <w:r w:rsidRPr="00F83FB1">
              <w:rPr>
                <w:rFonts w:ascii="Avenir Next LT Pro" w:hAnsi="Avenir Next LT Pro"/>
                <w:sz w:val="20"/>
                <w:szCs w:val="20"/>
              </w:rPr>
              <w:t>10.0%</w:t>
            </w:r>
          </w:p>
        </w:tc>
      </w:tr>
      <w:tr w:rsidR="007D73A2" w14:paraId="25BEA81A" w14:textId="77777777" w:rsidTr="007D73A2">
        <w:trPr>
          <w:trHeight w:val="572"/>
        </w:trPr>
        <w:tc>
          <w:tcPr>
            <w:tcW w:w="1907" w:type="pct"/>
            <w:shd w:val="clear" w:color="auto" w:fill="E6E3D9"/>
            <w:vAlign w:val="center"/>
          </w:tcPr>
          <w:p w14:paraId="7797CAE8" w14:textId="77777777" w:rsidR="007D73A2" w:rsidRPr="00F83FB1" w:rsidRDefault="007D73A2" w:rsidP="007D73A2">
            <w:pPr>
              <w:pStyle w:val="BodyText"/>
              <w:rPr>
                <w:rFonts w:ascii="Avenir Next LT Pro" w:hAnsi="Avenir Next LT Pro"/>
                <w:b/>
                <w:sz w:val="20"/>
                <w:szCs w:val="20"/>
              </w:rPr>
            </w:pPr>
            <w:r w:rsidRPr="00F83FB1">
              <w:rPr>
                <w:rFonts w:ascii="Avenir Next LT Pro" w:hAnsi="Avenir Next LT Pro"/>
                <w:b/>
                <w:sz w:val="20"/>
                <w:szCs w:val="20"/>
              </w:rPr>
              <w:t xml:space="preserve">Total quantifiable cost </w:t>
            </w:r>
          </w:p>
        </w:tc>
        <w:tc>
          <w:tcPr>
            <w:tcW w:w="743" w:type="pct"/>
            <w:shd w:val="clear" w:color="auto" w:fill="E6E3D9"/>
            <w:vAlign w:val="center"/>
          </w:tcPr>
          <w:p w14:paraId="15501434" w14:textId="77777777" w:rsidR="007D73A2" w:rsidRPr="00F83FB1" w:rsidRDefault="007D73A2" w:rsidP="007D73A2">
            <w:pPr>
              <w:pStyle w:val="BodyText"/>
              <w:ind w:right="287"/>
              <w:jc w:val="right"/>
              <w:rPr>
                <w:rFonts w:ascii="Avenir Next LT Pro" w:hAnsi="Avenir Next LT Pro"/>
                <w:b/>
                <w:sz w:val="20"/>
                <w:szCs w:val="20"/>
              </w:rPr>
            </w:pPr>
            <w:r w:rsidRPr="00F83FB1">
              <w:rPr>
                <w:rFonts w:ascii="Avenir Next LT Pro" w:hAnsi="Avenir Next LT Pro"/>
                <w:b/>
                <w:sz w:val="20"/>
                <w:szCs w:val="20"/>
              </w:rPr>
              <w:t>$591.9</w:t>
            </w:r>
          </w:p>
        </w:tc>
        <w:tc>
          <w:tcPr>
            <w:tcW w:w="1060" w:type="pct"/>
            <w:shd w:val="clear" w:color="auto" w:fill="E6E3D9"/>
            <w:vAlign w:val="center"/>
          </w:tcPr>
          <w:p w14:paraId="3C23D45A" w14:textId="77777777" w:rsidR="007D73A2" w:rsidRPr="00F83FB1" w:rsidRDefault="007D73A2" w:rsidP="007D73A2">
            <w:pPr>
              <w:pStyle w:val="BodyText"/>
              <w:ind w:right="574"/>
              <w:jc w:val="right"/>
              <w:rPr>
                <w:rFonts w:ascii="Avenir Next LT Pro" w:hAnsi="Avenir Next LT Pro"/>
                <w:b/>
                <w:sz w:val="20"/>
                <w:szCs w:val="20"/>
              </w:rPr>
            </w:pPr>
            <w:r w:rsidRPr="00F83FB1">
              <w:rPr>
                <w:rFonts w:ascii="Avenir Next LT Pro" w:hAnsi="Avenir Next LT Pro"/>
                <w:b/>
                <w:sz w:val="20"/>
                <w:szCs w:val="20"/>
              </w:rPr>
              <w:t>$530.1</w:t>
            </w:r>
          </w:p>
        </w:tc>
        <w:tc>
          <w:tcPr>
            <w:tcW w:w="606" w:type="pct"/>
            <w:shd w:val="clear" w:color="auto" w:fill="E6E3D9"/>
            <w:vAlign w:val="center"/>
          </w:tcPr>
          <w:p w14:paraId="459642C8" w14:textId="77777777" w:rsidR="007D73A2" w:rsidRPr="00F83FB1" w:rsidRDefault="007D73A2" w:rsidP="007D73A2">
            <w:pPr>
              <w:pStyle w:val="BodyText"/>
              <w:ind w:right="245"/>
              <w:jc w:val="right"/>
              <w:rPr>
                <w:rFonts w:ascii="Avenir Next LT Pro" w:hAnsi="Avenir Next LT Pro"/>
                <w:b/>
                <w:sz w:val="20"/>
                <w:szCs w:val="20"/>
              </w:rPr>
            </w:pPr>
            <w:r w:rsidRPr="00F83FB1">
              <w:rPr>
                <w:rFonts w:ascii="Avenir Next LT Pro" w:hAnsi="Avenir Next LT Pro"/>
                <w:b/>
                <w:sz w:val="20"/>
                <w:szCs w:val="20"/>
              </w:rPr>
              <w:t>-$61.8</w:t>
            </w:r>
          </w:p>
        </w:tc>
        <w:tc>
          <w:tcPr>
            <w:tcW w:w="683" w:type="pct"/>
            <w:shd w:val="clear" w:color="auto" w:fill="E6E3D9"/>
            <w:vAlign w:val="center"/>
          </w:tcPr>
          <w:p w14:paraId="308CD470" w14:textId="77777777" w:rsidR="007D73A2" w:rsidRPr="00F83FB1" w:rsidRDefault="007D73A2" w:rsidP="007D73A2">
            <w:pPr>
              <w:pStyle w:val="BodyText"/>
              <w:jc w:val="center"/>
              <w:rPr>
                <w:rFonts w:ascii="Avenir Next LT Pro" w:hAnsi="Avenir Next LT Pro"/>
                <w:b/>
                <w:bCs/>
                <w:sz w:val="20"/>
                <w:szCs w:val="20"/>
              </w:rPr>
            </w:pPr>
            <w:r w:rsidRPr="00F83FB1">
              <w:rPr>
                <w:rFonts w:ascii="Avenir Next LT Pro" w:hAnsi="Avenir Next LT Pro"/>
                <w:b/>
                <w:bCs/>
                <w:sz w:val="20"/>
                <w:szCs w:val="20"/>
              </w:rPr>
              <w:t>-10.4%</w:t>
            </w:r>
          </w:p>
        </w:tc>
      </w:tr>
    </w:tbl>
    <w:p w14:paraId="1E43B800" w14:textId="5EF85E0C" w:rsidR="007D73A2" w:rsidRPr="00146A5B" w:rsidRDefault="007D73A2" w:rsidP="00146A5B">
      <w:pPr>
        <w:pStyle w:val="BodyText"/>
        <w:jc w:val="right"/>
        <w:rPr>
          <w:i/>
          <w:sz w:val="22"/>
          <w:szCs w:val="22"/>
        </w:rPr>
      </w:pPr>
      <w:r w:rsidRPr="00146A5B">
        <w:rPr>
          <w:i/>
          <w:sz w:val="22"/>
          <w:szCs w:val="22"/>
        </w:rPr>
        <w:t xml:space="preserve">Source: Blacklow in </w:t>
      </w:r>
      <w:r w:rsidRPr="00146A5B">
        <w:rPr>
          <w:i/>
          <w:sz w:val="22"/>
          <w:szCs w:val="22"/>
        </w:rPr>
        <w:fldChar w:fldCharType="begin"/>
      </w:r>
      <w:r w:rsidR="00956746" w:rsidRPr="00146A5B">
        <w:rPr>
          <w:i/>
          <w:sz w:val="22"/>
          <w:szCs w:val="22"/>
        </w:rPr>
        <w:instrText xml:space="preserve"> ADDIN EN.CITE &lt;EndNote&gt;&lt;Cite&gt;&lt;Author&gt;Bartl&lt;/Author&gt;&lt;Year&gt;2022&lt;/Year&gt;&lt;RecNum&gt;25&lt;/RecNum&gt;&lt;Pages&gt;31&lt;/Pages&gt;&lt;DisplayText&gt;[5]&lt;/DisplayText&gt;&lt;record&gt;&lt;rec-number&gt;25&lt;/rec-number&gt;&lt;foreign-keys&gt;&lt;key app="EN" db-id="5fz2fzfzg2w2x4efdz3xprvlzezfdv2spstv" timestamp="1676606833"&gt;25&lt;/key&gt;&lt;/foreign-keys&gt;&lt;ref-type name="Report"&gt;27&lt;/ref-type&gt;&lt;contributors&gt;&lt;authors&gt;&lt;author&gt;Bartl, Benedict&lt;/author&gt;&lt;/authors&gt;&lt;/contributors&gt;&lt;titles&gt;&lt;title&gt;The case for a health focused response to drug use in Tasmania&amp;apos;s legal system&lt;/title&gt;&lt;/titles&gt;&lt;edition&gt;Revised&lt;/edition&gt;&lt;dates&gt;&lt;year&gt;2022&lt;/year&gt;&lt;/dates&gt;&lt;pub-location&gt;Hobart, TAS&lt;/pub-location&gt;&lt;publisher&gt;Community Legal Centres Tasmania&lt;/publisher&gt;&lt;urls&gt;&lt;/urls&gt;&lt;/record&gt;&lt;/Cite&gt;&lt;/EndNote&gt;</w:instrText>
      </w:r>
      <w:r w:rsidRPr="00146A5B">
        <w:rPr>
          <w:i/>
          <w:sz w:val="22"/>
          <w:szCs w:val="22"/>
        </w:rPr>
        <w:fldChar w:fldCharType="separate"/>
      </w:r>
      <w:r w:rsidR="00956746" w:rsidRPr="00146A5B">
        <w:rPr>
          <w:i/>
          <w:sz w:val="22"/>
          <w:szCs w:val="22"/>
        </w:rPr>
        <w:t>[5]</w:t>
      </w:r>
      <w:r w:rsidRPr="00146A5B">
        <w:rPr>
          <w:i/>
          <w:sz w:val="22"/>
          <w:szCs w:val="22"/>
        </w:rPr>
        <w:fldChar w:fldCharType="end"/>
      </w:r>
      <w:r w:rsidRPr="00146A5B">
        <w:rPr>
          <w:i/>
          <w:sz w:val="22"/>
          <w:szCs w:val="22"/>
        </w:rPr>
        <w:t>.</w:t>
      </w:r>
    </w:p>
    <w:p w14:paraId="26F6A793" w14:textId="09A17930" w:rsidR="008E530A" w:rsidRDefault="008E530A" w:rsidP="007E536B">
      <w:pPr>
        <w:pStyle w:val="BodyText"/>
        <w:spacing w:before="100" w:beforeAutospacing="1" w:after="100" w:afterAutospacing="1"/>
      </w:pPr>
      <w:r>
        <w:t xml:space="preserve">With an estimated cost of $367.0 million, </w:t>
      </w:r>
      <w:r w:rsidRPr="00F83FB1">
        <w:rPr>
          <w:b/>
        </w:rPr>
        <w:t>death and disease accounts for almost two thirds (62%)</w:t>
      </w:r>
      <w:r>
        <w:t xml:space="preserve"> </w:t>
      </w:r>
      <w:r w:rsidRPr="00F83FB1">
        <w:rPr>
          <w:b/>
        </w:rPr>
        <w:t>of the $591.9 million cost</w:t>
      </w:r>
      <w:r>
        <w:t xml:space="preserve"> of illicit drug use under current law.</w:t>
      </w:r>
      <w:r w:rsidR="00F603E6">
        <w:t xml:space="preserve"> </w:t>
      </w:r>
      <w:r>
        <w:t xml:space="preserve">This includes the contribution of illicit drug use to liver disease, liver cancer and suicide as well as direct impacts of illicit drug use. </w:t>
      </w:r>
    </w:p>
    <w:p w14:paraId="5F87887E" w14:textId="0681B32F" w:rsidR="007D73A2" w:rsidRDefault="007D73A2" w:rsidP="007E536B">
      <w:pPr>
        <w:pStyle w:val="BodyText"/>
        <w:spacing w:before="100" w:beforeAutospacing="1" w:after="100" w:afterAutospacing="1"/>
      </w:pPr>
      <w:r>
        <w:t xml:space="preserve">Tasmania—and Tasmanian families—are losing people to drug-induced deaths (39 people in 2020 </w:t>
      </w:r>
      <w:r>
        <w:fldChar w:fldCharType="begin"/>
      </w:r>
      <w:r w:rsidR="00956746">
        <w:instrText xml:space="preserve"> ADDIN EN.CITE &lt;EndNote&gt;&lt;Cite&gt;&lt;Author&gt;Chrzanowska&lt;/Author&gt;&lt;Year&gt;2022&lt;/Year&gt;&lt;RecNum&gt;22&lt;/RecNum&gt;&lt;DisplayText&gt;[59]&lt;/DisplayText&gt;&lt;record&gt;&lt;rec-number&gt;22&lt;/rec-number&gt;&lt;foreign-keys&gt;&lt;key app="EN" db-id="5fz2fzfzg2w2x4efdz3xprvlzezfdv2spstv" timestamp="1676605279"&gt;22&lt;/key&gt;&lt;/foreign-keys&gt;&lt;ref-type name="Report"&gt;27&lt;/ref-type&gt;&lt;contributors&gt;&lt;authors&gt;&lt;author&gt;Chrzanowska, Agata&lt;/author&gt;&lt;author&gt;Man, Nicola&lt;/author&gt;&lt;author&gt;Sutherland, Rachel&lt;/author&gt;&lt;author&gt;Degenhardt, Louisa&lt;/author&gt;&lt;author&gt;Peacock, Amy&lt;/author&gt;&lt;/authors&gt;&lt;/contributors&gt;&lt;titles&gt;&lt;title&gt;Trends in overdose and other drug-induced deaths in Australia, 1997-2020&lt;/title&gt;&lt;/titles&gt;&lt;dates&gt;&lt;year&gt;2022&lt;/year&gt;&lt;/dates&gt;&lt;pub-location&gt;Sydney. NSW&lt;/pub-location&gt;&lt;publisher&gt;National Drug and Alcohol Research Centre (NDARC), UNSW Sydney&lt;/publisher&gt;&lt;urls&gt;&lt;/urls&gt;&lt;electronic-resource-num&gt; 10.26190/ke9y-4731&lt;/electronic-resource-num&gt;&lt;/record&gt;&lt;/Cite&gt;&lt;/EndNote&gt;</w:instrText>
      </w:r>
      <w:r>
        <w:fldChar w:fldCharType="separate"/>
      </w:r>
      <w:r w:rsidR="00956746">
        <w:rPr>
          <w:noProof/>
        </w:rPr>
        <w:t>[59]</w:t>
      </w:r>
      <w:r>
        <w:fldChar w:fldCharType="end"/>
      </w:r>
      <w:r>
        <w:t xml:space="preserve">) and to illness and long-term </w:t>
      </w:r>
      <w:r w:rsidRPr="000A6897">
        <w:t>disability</w:t>
      </w:r>
      <w:r>
        <w:t>. Evidence indicates that decriminalisation would reduce that loss as a result of drug users seeking earlier treatment which is more effective. The resultant $64.3</w:t>
      </w:r>
      <w:r w:rsidR="00063455">
        <w:t xml:space="preserve"> </w:t>
      </w:r>
      <w:r>
        <w:t xml:space="preserve">million (17.5%) reduction in the cost </w:t>
      </w:r>
      <w:r w:rsidR="00063455">
        <w:t xml:space="preserve">of </w:t>
      </w:r>
      <w:r>
        <w:t xml:space="preserve">death and disease is over ten times greater than the $5.6 million (10.2%) increase in health costs. </w:t>
      </w:r>
    </w:p>
    <w:p w14:paraId="6D8C3EA9" w14:textId="38C3CFF8" w:rsidR="007D73A2" w:rsidRDefault="007D73A2" w:rsidP="007E536B">
      <w:pPr>
        <w:pStyle w:val="BodyText"/>
        <w:spacing w:before="100" w:beforeAutospacing="1" w:after="100" w:afterAutospacing="1"/>
      </w:pPr>
      <w:r>
        <w:t xml:space="preserve">Total crime costs include costs of policing, costs to victims of crime and prison costs. Prison costs alone are $122,144 per inmate per year (the second highest in Australia) </w:t>
      </w:r>
      <w:r>
        <w:fldChar w:fldCharType="begin"/>
      </w:r>
      <w:r>
        <w:instrText xml:space="preserve"> ADDIN EN.CITE &lt;EndNote&gt;&lt;Cite&gt;&lt;Author&gt;Justice Reform Initiative&lt;/Author&gt;&lt;Year&gt;2021&lt;/Year&gt;&lt;RecNum&gt;44&lt;/RecNum&gt;&lt;DisplayText&gt;[21]&lt;/DisplayText&gt;&lt;record&gt;&lt;rec-number&gt;44&lt;/rec-number&gt;&lt;foreign-keys&gt;&lt;key app="EN" db-id="5fz2fzfzg2w2x4efdz3xprvlzezfdv2spstv" timestamp="1678057407"&gt;44&lt;/key&gt;&lt;/foreign-keys&gt;&lt;ref-type name="Report"&gt;27&lt;/ref-type&gt;&lt;contributors&gt;&lt;authors&gt;&lt;author&gt;Justice Reform Initiative,&lt;/author&gt;&lt;/authors&gt;&lt;/contributors&gt;&lt;titles&gt;&lt;title&gt;Jailing is Failing. State of Incarceration: Tasmania&amp;apos;s broken criminal justice system&lt;/title&gt;&lt;/titles&gt;&lt;dates&gt;&lt;year&gt;2021&lt;/year&gt;&lt;/dates&gt;&lt;pub-location&gt;Hobart, TAS&lt;/pub-location&gt;&lt;publisher&gt;Justice Reform Initiative&lt;/publisher&gt;&lt;urls&gt;&lt;/urls&gt;&lt;/record&gt;&lt;/Cite&gt;&lt;/EndNote&gt;</w:instrText>
      </w:r>
      <w:r>
        <w:fldChar w:fldCharType="separate"/>
      </w:r>
      <w:r>
        <w:rPr>
          <w:noProof/>
        </w:rPr>
        <w:t>[21]</w:t>
      </w:r>
      <w:r>
        <w:fldChar w:fldCharType="end"/>
      </w:r>
      <w:r>
        <w:t xml:space="preserve">. People are going to prison for a wide range of drug offences, yet “serious” drug offences make up a small proportion of all convictions. Estimated at $160 million, </w:t>
      </w:r>
      <w:r w:rsidRPr="00F83FB1">
        <w:rPr>
          <w:b/>
        </w:rPr>
        <w:t xml:space="preserve">crime costs contribute 27% of the quantified cost </w:t>
      </w:r>
      <w:r w:rsidRPr="009D73AA">
        <w:t>of illicit drug use</w:t>
      </w:r>
      <w:r w:rsidRPr="00F83FB1">
        <w:t xml:space="preserve"> under current law</w:t>
      </w:r>
      <w:r>
        <w:t xml:space="preserve">. Decriminalisation was estimated </w:t>
      </w:r>
      <w:r>
        <w:fldChar w:fldCharType="begin"/>
      </w:r>
      <w:r w:rsidR="00956746">
        <w:instrText xml:space="preserve"> ADDIN EN.CITE &lt;EndNote&gt;&lt;Cite&gt;&lt;Author&gt;Bartl&lt;/Author&gt;&lt;Year&gt;2022&lt;/Year&gt;&lt;RecNum&gt;25&lt;/RecNum&gt;&lt;DisplayText&gt;[5]&lt;/DisplayText&gt;&lt;record&gt;&lt;rec-number&gt;25&lt;/rec-number&gt;&lt;foreign-keys&gt;&lt;key app="EN" db-id="5fz2fzfzg2w2x4efdz3xprvlzezfdv2spstv" timestamp="1676606833"&gt;25&lt;/key&gt;&lt;/foreign-keys&gt;&lt;ref-type name="Report"&gt;27&lt;/ref-type&gt;&lt;contributors&gt;&lt;authors&gt;&lt;author&gt;Bartl, Benedict&lt;/author&gt;&lt;/authors&gt;&lt;/contributors&gt;&lt;titles&gt;&lt;title&gt;The case for a health focused response to drug use in Tasmania&amp;apos;s legal system&lt;/title&gt;&lt;/titles&gt;&lt;edition&gt;Revised&lt;/edition&gt;&lt;dates&gt;&lt;year&gt;2022&lt;/year&gt;&lt;/dates&gt;&lt;pub-location&gt;Hobart, TAS&lt;/pub-location&gt;&lt;publisher&gt;Community Legal Centres Tasmania&lt;/publisher&gt;&lt;urls&gt;&lt;/urls&gt;&lt;/record&gt;&lt;/Cite&gt;&lt;/EndNote&gt;</w:instrText>
      </w:r>
      <w:r>
        <w:fldChar w:fldCharType="separate"/>
      </w:r>
      <w:r w:rsidR="00956746">
        <w:rPr>
          <w:noProof/>
        </w:rPr>
        <w:t>[5]</w:t>
      </w:r>
      <w:r>
        <w:fldChar w:fldCharType="end"/>
      </w:r>
      <w:r>
        <w:t xml:space="preserve"> to reduce crime costs by $4.0 million (2.5%)</w:t>
      </w:r>
      <w:r w:rsidR="00063455">
        <w:t>,</w:t>
      </w:r>
      <w:r>
        <w:t xml:space="preserve"> </w:t>
      </w:r>
      <w:r w:rsidR="007E536B">
        <w:t>mainly</w:t>
      </w:r>
      <w:r>
        <w:t xml:space="preserve"> due to reduced prison costs </w:t>
      </w:r>
      <w:r w:rsidR="007E536B">
        <w:t>with the</w:t>
      </w:r>
      <w:r>
        <w:t xml:space="preserve"> decline in incarceration rates. </w:t>
      </w:r>
    </w:p>
    <w:p w14:paraId="384CC105" w14:textId="7308500C" w:rsidR="007D73A2" w:rsidRDefault="007D73A2" w:rsidP="007E536B">
      <w:pPr>
        <w:pStyle w:val="BodyText"/>
        <w:spacing w:before="100" w:beforeAutospacing="1" w:after="100" w:afterAutospacing="1"/>
      </w:pPr>
      <w:r>
        <w:t>Evidence indicates that drug use is likely to increase by around 10% and the costs of road accidents due to illicit drug use is also likely to rise by $1 million (10%) annually. This is a very small increase in comparison to the quantified value of harm reduction through improved health, productive life years and reducing the costs of incarceration.</w:t>
      </w:r>
      <w:r w:rsidR="00F603E6">
        <w:t xml:space="preserve"> </w:t>
      </w:r>
    </w:p>
    <w:p w14:paraId="7395BEBF" w14:textId="01D35497" w:rsidR="007D73A2" w:rsidRPr="00080523" w:rsidRDefault="007D73A2" w:rsidP="007E536B">
      <w:pPr>
        <w:pStyle w:val="BodyText"/>
        <w:spacing w:before="100" w:beforeAutospacing="1" w:after="100" w:afterAutospacing="1"/>
        <w:rPr>
          <w:b/>
        </w:rPr>
      </w:pPr>
      <w:r w:rsidRPr="00080523">
        <w:rPr>
          <w:b/>
        </w:rPr>
        <w:t>Applying a social discount rate of 7% to the estimated annual net benefit of decriminalisation yields a total net present value of decriminalisation of $883 million.</w:t>
      </w:r>
    </w:p>
    <w:p w14:paraId="2732F1B1" w14:textId="5319376A" w:rsidR="007E536B" w:rsidRDefault="007D73A2" w:rsidP="007E536B">
      <w:pPr>
        <w:pStyle w:val="BodyText"/>
        <w:spacing w:before="100" w:beforeAutospacing="1" w:after="100" w:afterAutospacing="1"/>
        <w:rPr>
          <w:rFonts w:ascii="Avenir Next Demi Bold" w:eastAsia="AvenirNextLTPro-Demi" w:hAnsi="Avenir Next Demi Bold" w:cs="AvenirNextLTPro-Demi"/>
          <w:bCs/>
          <w:color w:val="1598CB"/>
          <w:sz w:val="44"/>
          <w:szCs w:val="44"/>
          <w:lang w:val="en-US"/>
        </w:rPr>
      </w:pPr>
      <w:r>
        <w:t xml:space="preserve">Blacklow’s </w:t>
      </w:r>
      <w:r w:rsidR="00C2240E">
        <w:fldChar w:fldCharType="begin"/>
      </w:r>
      <w:r w:rsidR="00956746">
        <w:instrText xml:space="preserve"> ADDIN EN.CITE &lt;EndNote&gt;&lt;Cite&gt;&lt;Author&gt;Bartl&lt;/Author&gt;&lt;Year&gt;2022&lt;/Year&gt;&lt;RecNum&gt;25&lt;/RecNum&gt;&lt;DisplayText&gt;[5]&lt;/DisplayText&gt;&lt;record&gt;&lt;rec-number&gt;25&lt;/rec-number&gt;&lt;foreign-keys&gt;&lt;key app="EN" db-id="5fz2fzfzg2w2x4efdz3xprvlzezfdv2spstv" timestamp="1676606833"&gt;25&lt;/key&gt;&lt;/foreign-keys&gt;&lt;ref-type name="Report"&gt;27&lt;/ref-type&gt;&lt;contributors&gt;&lt;authors&gt;&lt;author&gt;Bartl, Benedict&lt;/author&gt;&lt;/authors&gt;&lt;/contributors&gt;&lt;titles&gt;&lt;title&gt;The case for a health focused response to drug use in Tasmania&amp;apos;s legal system&lt;/title&gt;&lt;/titles&gt;&lt;edition&gt;Revised&lt;/edition&gt;&lt;dates&gt;&lt;year&gt;2022&lt;/year&gt;&lt;/dates&gt;&lt;pub-location&gt;Hobart, TAS&lt;/pub-location&gt;&lt;publisher&gt;Community Legal Centres Tasmania&lt;/publisher&gt;&lt;urls&gt;&lt;/urls&gt;&lt;/record&gt;&lt;/Cite&gt;&lt;/EndNote&gt;</w:instrText>
      </w:r>
      <w:r w:rsidR="00C2240E">
        <w:fldChar w:fldCharType="separate"/>
      </w:r>
      <w:r w:rsidR="00956746">
        <w:rPr>
          <w:noProof/>
        </w:rPr>
        <w:t>[5]</w:t>
      </w:r>
      <w:r w:rsidR="00C2240E">
        <w:fldChar w:fldCharType="end"/>
      </w:r>
      <w:r w:rsidR="00C2240E">
        <w:t xml:space="preserve"> </w:t>
      </w:r>
      <w:r>
        <w:t xml:space="preserve">estimate does not include unquantifiable impacts such as the </w:t>
      </w:r>
      <w:r w:rsidRPr="000A6897">
        <w:t>personal cost to illicit drug users of physical and psychological pain</w:t>
      </w:r>
      <w:r w:rsidR="00C2240E">
        <w:t xml:space="preserve"> (see Table 1)</w:t>
      </w:r>
      <w:r w:rsidRPr="000A6897">
        <w:t xml:space="preserve">, of waiting to learn their fate in the criminal justice system, of damaging conditions that go undetected or </w:t>
      </w:r>
      <w:r>
        <w:t>un</w:t>
      </w:r>
      <w:r w:rsidRPr="000A6897">
        <w:t xml:space="preserve">treated because of stigmatising experiences with services </w:t>
      </w:r>
      <w:r w:rsidRPr="000A6897">
        <w:fldChar w:fldCharType="begin"/>
      </w:r>
      <w:r w:rsidR="00956746">
        <w:instrText xml:space="preserve"> ADDIN EN.CITE &lt;EndNote&gt;&lt;Cite&gt;&lt;Author&gt;Sutherland&lt;/Author&gt;&lt;Year&gt;2023&lt;/Year&gt;&lt;RecNum&gt;124&lt;/RecNum&gt;&lt;Prefix&gt;e.g.`, see &lt;/Prefix&gt;&lt;DisplayText&gt;[e.g., see 7]&lt;/DisplayText&gt;&lt;record&gt;&lt;rec-number&gt;124&lt;/rec-number&gt;&lt;foreign-keys&gt;&lt;key app="EN" db-id="5fz2fzfzg2w2x4efdz3xprvlzezfdv2spstv" timestamp="1678838501"&gt;124&lt;/key&gt;&lt;/foreign-keys&gt;&lt;ref-type name="Journal Article"&gt;17&lt;/ref-type&gt;&lt;contributors&gt;&lt;authors&gt;&lt;author&gt;Sutherland, Rachel&lt;/author&gt;&lt;author&gt;King, Cate&lt;/author&gt;&lt;author&gt;Karlsson, Antonia&lt;/author&gt;&lt;author&gt;Treloar, Carla&lt;/author&gt;&lt;author&gt;Broady, Timothy&lt;/author&gt;&lt;author&gt;Chandrasena, Udesha&lt;/author&gt;&lt;author&gt;Salom, Caroline&lt;/author&gt;&lt;author&gt;Peacock, Amy&lt;/author&gt;&lt;/authors&gt;&lt;/contributors&gt;&lt;titles&gt;&lt;title&gt;Experiences of stigma while visiting healthcare services among people who use drugs in Australia, 2022&lt;/title&gt;&lt;secondary-title&gt;Drug Trends Bulletin Series&lt;/secondary-title&gt;&lt;/titles&gt;&lt;periodical&gt;&lt;full-title&gt;Drug Trends Bulletin Series&lt;/full-title&gt;&lt;/periodical&gt;&lt;dates&gt;&lt;year&gt;2023&lt;/year&gt;&lt;/dates&gt;&lt;urls&gt;&lt;/urls&gt;&lt;electronic-resource-num&gt;10.26190/rwpw-wc68&lt;/electronic-resource-num&gt;&lt;/record&gt;&lt;/Cite&gt;&lt;/EndNote&gt;</w:instrText>
      </w:r>
      <w:r w:rsidRPr="000A6897">
        <w:fldChar w:fldCharType="separate"/>
      </w:r>
      <w:r w:rsidR="00956746">
        <w:rPr>
          <w:noProof/>
        </w:rPr>
        <w:t>[e.g., see 7]</w:t>
      </w:r>
      <w:r w:rsidRPr="000A6897">
        <w:fldChar w:fldCharType="end"/>
      </w:r>
      <w:r w:rsidRPr="000A6897">
        <w:t xml:space="preserve"> or </w:t>
      </w:r>
      <w:r w:rsidRPr="00A63955">
        <w:rPr>
          <w:b/>
          <w:color w:val="31849B" w:themeColor="accent5" w:themeShade="BF"/>
        </w:rPr>
        <w:t>mandatory reporting</w:t>
      </w:r>
      <w:r w:rsidRPr="00A63955">
        <w:rPr>
          <w:color w:val="31849B" w:themeColor="accent5" w:themeShade="BF"/>
        </w:rPr>
        <w:t xml:space="preserve"> </w:t>
      </w:r>
      <w:r w:rsidRPr="000A6897">
        <w:t xml:space="preserve">requirements, and the psychological pain of exclusion. Similarly, families and friends experience not only the pain of problematic drug use by a loved one, but also the </w:t>
      </w:r>
      <w:r>
        <w:t xml:space="preserve">disruptions to relationships, schooling and work, and the </w:t>
      </w:r>
      <w:r w:rsidRPr="000A6897">
        <w:t>taint associated with addiction and the costs of supporting the drug user. The cos</w:t>
      </w:r>
      <w:r w:rsidRPr="0094416D">
        <w:t xml:space="preserve">ts to Tasmanians of intergenerational trauma and child removals </w:t>
      </w:r>
      <w:r>
        <w:t>are also not quantified and are likely to be large</w:t>
      </w:r>
      <w:r w:rsidRPr="000A6897">
        <w:t>.</w:t>
      </w:r>
      <w:r>
        <w:t xml:space="preserve"> Finally, there are the costs to all Tasmanians of the </w:t>
      </w:r>
      <w:r w:rsidRPr="001F5361">
        <w:rPr>
          <w:b/>
          <w:color w:val="31849B" w:themeColor="accent5" w:themeShade="BF"/>
        </w:rPr>
        <w:t>moral injury</w:t>
      </w:r>
      <w:r w:rsidRPr="001F5361">
        <w:rPr>
          <w:color w:val="31849B" w:themeColor="accent5" w:themeShade="BF"/>
        </w:rPr>
        <w:t xml:space="preserve"> </w:t>
      </w:r>
      <w:r>
        <w:t>of “p</w:t>
      </w:r>
      <w:r w:rsidRPr="00BB50C2">
        <w:t>erpetrating, failing to prevent, bearing witness to, or learning about acts that transgress deeply held moral beliefs and expectations”</w:t>
      </w:r>
      <w:r w:rsidRPr="002134D9">
        <w:t xml:space="preserve"> </w:t>
      </w:r>
      <w:r>
        <w:fldChar w:fldCharType="begin"/>
      </w:r>
      <w:r w:rsidR="00956746">
        <w:instrText xml:space="preserve"> ADDIN EN.CITE &lt;EndNote&gt;&lt;Cite&gt;&lt;Author&gt;Litz&lt;/Author&gt;&lt;Year&gt;2009&lt;/Year&gt;&lt;RecNum&gt;138&lt;/RecNum&gt;&lt;Pages&gt;697&lt;/Pages&gt;&lt;DisplayText&gt;[60]&lt;/DisplayText&gt;&lt;record&gt;&lt;rec-number&gt;138&lt;/rec-number&gt;&lt;foreign-keys&gt;&lt;key app="EN" db-id="5fz2fzfzg2w2x4efdz3xprvlzezfdv2spstv" timestamp="1679011100"&gt;138&lt;/key&gt;&lt;/foreign-keys&gt;&lt;ref-type name="Journal Article"&gt;17&lt;/ref-type&gt;&lt;contributors&gt;&lt;authors&gt;&lt;author&gt;Litz, Brett T.&lt;/author&gt;&lt;author&gt;Stein, Nathan&lt;/author&gt;&lt;author&gt;Delaney, Eileen&lt;/author&gt;&lt;author&gt;Lebowitz, Leslie&lt;/author&gt;&lt;author&gt;Nash, William P.&lt;/author&gt;&lt;author&gt;Silva, Caroline&lt;/author&gt;&lt;author&gt;Maguen, Shira&lt;/author&gt;&lt;/authors&gt;&lt;/contributors&gt;&lt;titles&gt;&lt;title&gt;Moral injury and moral repair in war veterans: A preliminary model and intervention strategy&lt;/title&gt;&lt;secondary-title&gt;Clinical Psychology Review&lt;/secondary-title&gt;&lt;/titles&gt;&lt;periodical&gt;&lt;full-title&gt;Clinical Psychology Review&lt;/full-title&gt;&lt;/periodical&gt;&lt;pages&gt;695-706&lt;/pages&gt;&lt;volume&gt;29&lt;/volume&gt;&lt;number&gt;8&lt;/number&gt;&lt;section&gt;695&lt;/section&gt;&lt;dates&gt;&lt;year&gt;2009&lt;/year&gt;&lt;/dates&gt;&lt;isbn&gt;02727358&lt;/isbn&gt;&lt;urls&gt;&lt;/urls&gt;&lt;electronic-resource-num&gt;10.1016/j.cpr.2009.07.003&lt;/electronic-resource-num&gt;&lt;/record&gt;&lt;/Cite&gt;&lt;/EndNote&gt;</w:instrText>
      </w:r>
      <w:r>
        <w:fldChar w:fldCharType="separate"/>
      </w:r>
      <w:r w:rsidR="00956746">
        <w:rPr>
          <w:noProof/>
        </w:rPr>
        <w:t>[60]</w:t>
      </w:r>
      <w:r>
        <w:fldChar w:fldCharType="end"/>
      </w:r>
      <w:r>
        <w:t>.</w:t>
      </w:r>
    </w:p>
    <w:p w14:paraId="3347AB1F" w14:textId="243A2E3B" w:rsidR="00FF37F3" w:rsidRPr="00FF37F3" w:rsidRDefault="00FF37F3" w:rsidP="00A82EA0">
      <w:pPr>
        <w:pStyle w:val="Heading1"/>
      </w:pPr>
      <w:bookmarkStart w:id="49" w:name="_Toc136851469"/>
      <w:r>
        <w:t>Conclusions</w:t>
      </w:r>
      <w:bookmarkEnd w:id="49"/>
    </w:p>
    <w:p w14:paraId="35CC69AD" w14:textId="764E1FEB" w:rsidR="00AC2755" w:rsidRDefault="00FF37F3" w:rsidP="00FF37F3">
      <w:pPr>
        <w:pStyle w:val="BodyText"/>
      </w:pPr>
      <w:r>
        <w:t xml:space="preserve">The evidence supporting decriminalisation is strong and it is strongest in countries where decriminalisation has been introduced as part of a </w:t>
      </w:r>
      <w:r w:rsidR="00C21BD9">
        <w:t xml:space="preserve">response focused on </w:t>
      </w:r>
      <w:r>
        <w:t>health and</w:t>
      </w:r>
      <w:r w:rsidR="00C2240E">
        <w:t xml:space="preserve"> therapeutic </w:t>
      </w:r>
      <w:r>
        <w:t>justice. Models of decriminalisation that include targeted diversion to health and social services show the greatest promise:</w:t>
      </w:r>
    </w:p>
    <w:p w14:paraId="07675CAD" w14:textId="26E90063" w:rsidR="007E536B" w:rsidRDefault="007E536B" w:rsidP="007E536B">
      <w:pPr>
        <w:pStyle w:val="BodyText"/>
        <w:ind w:left="720"/>
      </w:pPr>
      <w:r w:rsidRPr="00603D80">
        <w:rPr>
          <w:b/>
          <w:color w:val="1598CB"/>
        </w:rPr>
        <w:sym w:font="Wingdings" w:char="F0E2"/>
      </w:r>
      <w:r w:rsidRPr="00603D80">
        <w:rPr>
          <w:b/>
          <w:color w:val="1598CB"/>
        </w:rPr>
        <w:sym w:font="Wingdings" w:char="F0E2"/>
      </w:r>
      <w:r w:rsidRPr="00603D80">
        <w:rPr>
          <w:b/>
          <w:color w:val="1598CB"/>
        </w:rPr>
        <w:sym w:font="Wingdings" w:char="F0E2"/>
      </w:r>
      <w:r w:rsidRPr="00603D80">
        <w:rPr>
          <w:b/>
        </w:rPr>
        <w:tab/>
      </w:r>
      <w:r>
        <w:tab/>
      </w:r>
      <w:r w:rsidRPr="00AC2755">
        <w:t>drug-related health harms</w:t>
      </w:r>
      <w:r w:rsidR="00AC2755" w:rsidRPr="00AC2755">
        <w:rPr>
          <w:color w:val="FFFFFF" w:themeColor="background1"/>
        </w:rPr>
        <w:t xml:space="preserve"> decrease</w:t>
      </w:r>
    </w:p>
    <w:p w14:paraId="54A0F82B" w14:textId="2ED4E12E" w:rsidR="007E536B" w:rsidRPr="00AC2755" w:rsidRDefault="007E536B" w:rsidP="007E536B">
      <w:pPr>
        <w:pStyle w:val="BodyText"/>
        <w:ind w:left="720"/>
        <w:rPr>
          <w:color w:val="000000" w:themeColor="text1"/>
        </w:rPr>
      </w:pPr>
      <w:r w:rsidRPr="00603D80">
        <w:rPr>
          <w:b/>
          <w:color w:val="1598CB"/>
        </w:rPr>
        <w:sym w:font="Wingdings" w:char="F0E2"/>
      </w:r>
      <w:r w:rsidRPr="00603D80">
        <w:rPr>
          <w:b/>
          <w:color w:val="1598CB"/>
        </w:rPr>
        <w:sym w:font="Wingdings" w:char="F0E2"/>
      </w:r>
      <w:r w:rsidRPr="00603D80">
        <w:rPr>
          <w:b/>
          <w:color w:val="1598CB"/>
        </w:rPr>
        <w:sym w:font="Wingdings" w:char="F0E2"/>
      </w:r>
      <w:r w:rsidRPr="00603D80">
        <w:rPr>
          <w:b/>
          <w:color w:val="1598CB"/>
        </w:rPr>
        <w:sym w:font="Wingdings" w:char="F0E2"/>
      </w:r>
      <w:r>
        <w:tab/>
        <w:t xml:space="preserve">burden on the criminal justice </w:t>
      </w:r>
      <w:r w:rsidRPr="00504826">
        <w:t>system</w:t>
      </w:r>
      <w:r w:rsidR="00AC2755" w:rsidRPr="00AC2755">
        <w:rPr>
          <w:color w:val="000000" w:themeColor="text1"/>
        </w:rPr>
        <w:t xml:space="preserve"> </w:t>
      </w:r>
      <w:r w:rsidR="00AC2755" w:rsidRPr="00AC2755">
        <w:rPr>
          <w:color w:val="FFFFFF" w:themeColor="background1"/>
        </w:rPr>
        <w:t>is decreased</w:t>
      </w:r>
    </w:p>
    <w:p w14:paraId="6E0DF185" w14:textId="32B7AAC6" w:rsidR="007E536B" w:rsidRDefault="007E536B" w:rsidP="007E536B">
      <w:pPr>
        <w:pStyle w:val="BodyText"/>
        <w:ind w:left="720"/>
      </w:pPr>
      <w:r w:rsidRPr="00603D80">
        <w:rPr>
          <w:b/>
          <w:color w:val="1598CB"/>
        </w:rPr>
        <w:sym w:font="Wingdings" w:char="F0E1"/>
      </w:r>
      <w:r w:rsidRPr="00603D80">
        <w:rPr>
          <w:b/>
          <w:color w:val="1598CB"/>
        </w:rPr>
        <w:sym w:font="Wingdings" w:char="F0E1"/>
      </w:r>
      <w:r w:rsidRPr="00603D80">
        <w:rPr>
          <w:b/>
          <w:color w:val="1598CB"/>
        </w:rPr>
        <w:sym w:font="Wingdings" w:char="F0E1"/>
      </w:r>
      <w:r w:rsidRPr="00603D80">
        <w:rPr>
          <w:b/>
        </w:rPr>
        <w:tab/>
      </w:r>
      <w:r>
        <w:tab/>
        <w:t>access to treatment and harm-reduction services</w:t>
      </w:r>
      <w:r w:rsidR="00AC2755" w:rsidRPr="00AC2755">
        <w:rPr>
          <w:color w:val="FFFFFF" w:themeColor="background1"/>
        </w:rPr>
        <w:t xml:space="preserve"> increases</w:t>
      </w:r>
    </w:p>
    <w:p w14:paraId="5CA42000" w14:textId="1B8909C8" w:rsidR="007E536B" w:rsidRDefault="007E536B" w:rsidP="007E536B">
      <w:pPr>
        <w:pStyle w:val="BodyText"/>
        <w:ind w:left="720"/>
      </w:pPr>
      <w:r w:rsidRPr="00603D80">
        <w:rPr>
          <w:b/>
          <w:color w:val="1598CB"/>
        </w:rPr>
        <w:sym w:font="Wingdings" w:char="F0E1"/>
      </w:r>
      <w:r w:rsidRPr="00603D80">
        <w:rPr>
          <w:b/>
          <w:color w:val="1598CB"/>
        </w:rPr>
        <w:sym w:font="Wingdings" w:char="F0E1"/>
      </w:r>
      <w:r w:rsidRPr="00603D80">
        <w:rPr>
          <w:b/>
          <w:color w:val="1598CB"/>
        </w:rPr>
        <w:sym w:font="Wingdings" w:char="F0E1"/>
      </w:r>
      <w:r w:rsidRPr="00603D80">
        <w:rPr>
          <w:b/>
          <w:color w:val="1598CB"/>
        </w:rPr>
        <w:sym w:font="Wingdings" w:char="F0E1"/>
      </w:r>
      <w:r>
        <w:tab/>
        <w:t>social integration</w:t>
      </w:r>
      <w:r w:rsidRPr="00AC2755">
        <w:rPr>
          <w:color w:val="FFFFFF" w:themeColor="background1"/>
        </w:rPr>
        <w:t xml:space="preserve"> </w:t>
      </w:r>
      <w:r>
        <w:fldChar w:fldCharType="begin"/>
      </w:r>
      <w:r>
        <w:instrText xml:space="preserve"> ADDIN EN.CITE &lt;EndNote&gt;&lt;Cite&gt;&lt;Author&gt;Hughes&lt;/Author&gt;&lt;Year&gt;2019&lt;/Year&gt;&lt;RecNum&gt;87&lt;/RecNum&gt;&lt;DisplayText&gt;[47]&lt;/DisplayText&gt;&lt;record&gt;&lt;rec-number&gt;87&lt;/rec-number&gt;&lt;foreign-keys&gt;&lt;key app="EN" db-id="5fz2fzfzg2w2x4efdz3xprvlzezfdv2spstv" timestamp="1678343592"&gt;87&lt;/key&gt;&lt;/foreign-keys&gt;&lt;ref-type name="Conference Paper"&gt;47&lt;/ref-type&gt;&lt;contributors&gt;&lt;authors&gt;&lt;author&gt;Hughes, Caitlin&lt;/author&gt;&lt;author&gt;Stevens, Alex&lt;/author&gt;&lt;author&gt;Hulme, Shann&lt;/author&gt;&lt;author&gt;Cassidy, Rebecca&lt;/author&gt;&lt;/authors&gt;&lt;/contributors&gt;&lt;titles&gt;&lt;title&gt;Models for the decriminalisation, depenalisation and diversion of illicit drug possession: An international realist review&lt;/title&gt;&lt;secondary-title&gt;2019 International Society for the Study of Drug Policy Conference&lt;/secondary-title&gt;&lt;/titles&gt;&lt;keywords&gt;&lt;keyword&gt;decriminalisation&lt;/keyword&gt;&lt;keyword&gt;diversion&lt;/keyword&gt;&lt;keyword&gt;depenalisation: illicit drugs&lt;/keyword&gt;&lt;/keywords&gt;&lt;dates&gt;&lt;year&gt;2019&lt;/year&gt;&lt;pub-dates&gt;&lt;date&gt;22-24 May&lt;/date&gt;&lt;/pub-dates&gt;&lt;/dates&gt;&lt;pub-location&gt;Paris&lt;/pub-location&gt;&lt;urls&gt;&lt;/urls&gt;&lt;/record&gt;&lt;/Cite&gt;&lt;/EndNote&gt;</w:instrText>
      </w:r>
      <w:r>
        <w:fldChar w:fldCharType="separate"/>
      </w:r>
      <w:r>
        <w:rPr>
          <w:noProof/>
        </w:rPr>
        <w:t>[47]</w:t>
      </w:r>
      <w:r>
        <w:fldChar w:fldCharType="end"/>
      </w:r>
      <w:r w:rsidR="00504826">
        <w:t xml:space="preserve"> </w:t>
      </w:r>
      <w:r w:rsidR="00504826" w:rsidRPr="00AC2755">
        <w:rPr>
          <w:color w:val="FFFFFF" w:themeColor="background1"/>
        </w:rPr>
        <w:t>increases</w:t>
      </w:r>
    </w:p>
    <w:p w14:paraId="7D0B1BBB" w14:textId="20F6931A" w:rsidR="00C47E26" w:rsidRDefault="00A66794" w:rsidP="0011610D">
      <w:pPr>
        <w:pStyle w:val="BodyText"/>
      </w:pPr>
      <w:r>
        <w:t xml:space="preserve">Such comprehensive approaches have high start-up requirements. However, </w:t>
      </w:r>
      <w:r w:rsidR="00FF37F3">
        <w:t>Tasmania already has many of the elements of an effective and beneficial decriminalisation model in place (diversion, NSP, etc.)</w:t>
      </w:r>
      <w:r>
        <w:t>.</w:t>
      </w:r>
      <w:r w:rsidR="00FF37F3">
        <w:t xml:space="preserve"> </w:t>
      </w:r>
      <w:r w:rsidR="00C2240E">
        <w:t xml:space="preserve">Further, </w:t>
      </w:r>
      <w:r w:rsidR="00FF37F3">
        <w:t>Blacklow</w:t>
      </w:r>
      <w:r w:rsidR="00B57909">
        <w:t>’s</w:t>
      </w:r>
      <w:r w:rsidR="00FF37F3">
        <w:t xml:space="preserve"> </w:t>
      </w:r>
      <w:r w:rsidR="00FF37F3">
        <w:fldChar w:fldCharType="begin"/>
      </w:r>
      <w:r w:rsidR="00956746">
        <w:instrText xml:space="preserve"> ADDIN EN.CITE &lt;EndNote&gt;&lt;Cite&gt;&lt;Author&gt;Bartl&lt;/Author&gt;&lt;Year&gt;2022&lt;/Year&gt;&lt;RecNum&gt;25&lt;/RecNum&gt;&lt;DisplayText&gt;[5]&lt;/DisplayText&gt;&lt;record&gt;&lt;rec-number&gt;25&lt;/rec-number&gt;&lt;foreign-keys&gt;&lt;key app="EN" db-id="5fz2fzfzg2w2x4efdz3xprvlzezfdv2spstv" timestamp="1676606833"&gt;25&lt;/key&gt;&lt;/foreign-keys&gt;&lt;ref-type name="Report"&gt;27&lt;/ref-type&gt;&lt;contributors&gt;&lt;authors&gt;&lt;author&gt;Bartl, Benedict&lt;/author&gt;&lt;/authors&gt;&lt;/contributors&gt;&lt;titles&gt;&lt;title&gt;The case for a health focused response to drug use in Tasmania&amp;apos;s legal system&lt;/title&gt;&lt;/titles&gt;&lt;edition&gt;Revised&lt;/edition&gt;&lt;dates&gt;&lt;year&gt;2022&lt;/year&gt;&lt;/dates&gt;&lt;pub-location&gt;Hobart, TAS&lt;/pub-location&gt;&lt;publisher&gt;Community Legal Centres Tasmania&lt;/publisher&gt;&lt;urls&gt;&lt;/urls&gt;&lt;/record&gt;&lt;/Cite&gt;&lt;/EndNote&gt;</w:instrText>
      </w:r>
      <w:r w:rsidR="00FF37F3">
        <w:fldChar w:fldCharType="separate"/>
      </w:r>
      <w:r w:rsidR="00956746">
        <w:rPr>
          <w:noProof/>
        </w:rPr>
        <w:t>[5]</w:t>
      </w:r>
      <w:r w:rsidR="00FF37F3">
        <w:fldChar w:fldCharType="end"/>
      </w:r>
      <w:r w:rsidR="00FF37F3">
        <w:t xml:space="preserve"> estimate</w:t>
      </w:r>
      <w:r w:rsidR="00C2240E">
        <w:t xml:space="preserve"> of </w:t>
      </w:r>
      <w:r w:rsidR="00C47E26">
        <w:t xml:space="preserve">a </w:t>
      </w:r>
      <w:r w:rsidR="00C21BD9">
        <w:t>net reduction in the</w:t>
      </w:r>
      <w:r w:rsidR="00C2240E" w:rsidRPr="0081111F">
        <w:t xml:space="preserve"> </w:t>
      </w:r>
      <w:r w:rsidRPr="00080523">
        <w:rPr>
          <w:i/>
        </w:rPr>
        <w:t>annual</w:t>
      </w:r>
      <w:r w:rsidRPr="0081111F">
        <w:t xml:space="preserve"> </w:t>
      </w:r>
      <w:r w:rsidR="00FF37F3" w:rsidRPr="0081111F">
        <w:t>cost of illicit drug use in Tasmania</w:t>
      </w:r>
      <w:r w:rsidR="00C47E26">
        <w:t>, as well as the unquantified benefits of reducing harm,</w:t>
      </w:r>
      <w:r w:rsidR="00C21BD9">
        <w:t xml:space="preserve"> supports greater investment in </w:t>
      </w:r>
      <w:r w:rsidR="0081111F">
        <w:t>a public health approach. This would include t</w:t>
      </w:r>
      <w:r w:rsidR="00FF37F3" w:rsidRPr="0081111F">
        <w:t xml:space="preserve">he development and implementation </w:t>
      </w:r>
      <w:r w:rsidRPr="0081111F">
        <w:t xml:space="preserve">over time </w:t>
      </w:r>
      <w:r w:rsidR="00FF37F3" w:rsidRPr="0081111F">
        <w:t xml:space="preserve">of </w:t>
      </w:r>
      <w:r w:rsidR="00FF37F3" w:rsidRPr="0081111F">
        <w:rPr>
          <w:b/>
          <w:color w:val="31849B" w:themeColor="accent5" w:themeShade="BF"/>
        </w:rPr>
        <w:t xml:space="preserve">upstream </w:t>
      </w:r>
      <w:r w:rsidR="00FF37F3" w:rsidRPr="0081111F">
        <w:t xml:space="preserve">measures to reduce the risk factors </w:t>
      </w:r>
      <w:r w:rsidR="00472C35">
        <w:t>for</w:t>
      </w:r>
      <w:r w:rsidR="00FF37F3" w:rsidRPr="0081111F">
        <w:t xml:space="preserve"> problematic drug use, bolster</w:t>
      </w:r>
      <w:r w:rsidR="0081111F">
        <w:t>ing</w:t>
      </w:r>
      <w:r w:rsidR="00FF37F3" w:rsidRPr="0081111F">
        <w:t xml:space="preserve"> treatment provision, continu</w:t>
      </w:r>
      <w:r w:rsidR="0081111F">
        <w:t>ing</w:t>
      </w:r>
      <w:r w:rsidR="00FF37F3" w:rsidRPr="0081111F">
        <w:t xml:space="preserve"> to build service capacity to deliver trauma-informed support, and </w:t>
      </w:r>
      <w:r w:rsidR="0081111F">
        <w:t>building on</w:t>
      </w:r>
      <w:r w:rsidR="00FF37F3" w:rsidRPr="0081111F">
        <w:t xml:space="preserve"> restorative models of justice that enhance social integration.</w:t>
      </w:r>
      <w:r w:rsidR="00FF37F3">
        <w:t xml:space="preserve"> </w:t>
      </w:r>
    </w:p>
    <w:p w14:paraId="2E33C51A" w14:textId="445EC922" w:rsidR="00C47E26" w:rsidRDefault="00577B15" w:rsidP="0011610D">
      <w:pPr>
        <w:pStyle w:val="BodyText"/>
      </w:pPr>
      <w:r>
        <w:t>The recommendations in this paper</w:t>
      </w:r>
      <w:r w:rsidR="00A66794">
        <w:t xml:space="preserve"> address the harms we currently experience</w:t>
      </w:r>
      <w:r w:rsidR="00F6141D">
        <w:t xml:space="preserve"> </w:t>
      </w:r>
      <w:r w:rsidR="00242CCA">
        <w:t>from drug use</w:t>
      </w:r>
      <w:r w:rsidR="0011610D">
        <w:t xml:space="preserve">, </w:t>
      </w:r>
      <w:r w:rsidR="00A66794">
        <w:t>and</w:t>
      </w:r>
      <w:r w:rsidR="00064540">
        <w:t xml:space="preserve"> </w:t>
      </w:r>
      <w:r w:rsidR="000278BA">
        <w:t xml:space="preserve">can </w:t>
      </w:r>
      <w:r w:rsidR="00064540">
        <w:t>reduce the moral injuries we sustain as a community from witnessing and failing to prevent acts that transgress our deeply held moral beliefs and expectations.</w:t>
      </w:r>
      <w:r w:rsidR="00F603E6">
        <w:t xml:space="preserve"> </w:t>
      </w:r>
    </w:p>
    <w:p w14:paraId="131D4D24" w14:textId="77777777" w:rsidR="00C47E26" w:rsidRPr="006F73D8" w:rsidRDefault="00C47E26" w:rsidP="00A82EA0">
      <w:pPr>
        <w:pStyle w:val="Heading1"/>
      </w:pPr>
      <w:bookmarkStart w:id="50" w:name="_Toc136851470"/>
      <w:r>
        <w:t>Recommendations</w:t>
      </w:r>
      <w:bookmarkEnd w:id="50"/>
    </w:p>
    <w:p w14:paraId="6625179F" w14:textId="77777777" w:rsidR="00C47E26" w:rsidRDefault="00C47E26" w:rsidP="00C47E26">
      <w:pPr>
        <w:pStyle w:val="BodyText"/>
      </w:pPr>
      <w:r>
        <w:t>Anglicare Tasmania recommends implementing an evidence-based public health approach to illicit drug use that is effective in reducing harms to individuals, families and communities and less costly than the current approach by:</w:t>
      </w:r>
    </w:p>
    <w:p w14:paraId="38081BC8" w14:textId="096FB8C6" w:rsidR="00C47E26" w:rsidRPr="000E4D90" w:rsidRDefault="00924EEA" w:rsidP="000E4D90">
      <w:pPr>
        <w:pStyle w:val="Bullets"/>
        <w:numPr>
          <w:ilvl w:val="0"/>
          <w:numId w:val="62"/>
        </w:numPr>
        <w:rPr>
          <w:rStyle w:val="Strong"/>
          <w:b w:val="0"/>
        </w:rPr>
      </w:pPr>
      <w:r w:rsidRPr="000E4D90">
        <w:rPr>
          <w:rStyle w:val="Strong"/>
          <w:color w:val="1598CB"/>
        </w:rPr>
        <w:t>Acting</w:t>
      </w:r>
      <w:r w:rsidR="00C47E26" w:rsidRPr="000E4D90">
        <w:rPr>
          <w:rStyle w:val="Strong"/>
          <w:color w:val="1598CB"/>
        </w:rPr>
        <w:t xml:space="preserve"> to address the upstream factors that predispose people to drug use disorders</w:t>
      </w:r>
      <w:r w:rsidR="00C47E26" w:rsidRPr="000E4D90">
        <w:rPr>
          <w:rStyle w:val="Strong"/>
          <w:b w:val="0"/>
        </w:rPr>
        <w:t xml:space="preserve"> and recognising that access to the social determinants of health </w:t>
      </w:r>
      <w:r w:rsidR="00913D53">
        <w:rPr>
          <w:rStyle w:val="Strong"/>
          <w:b w:val="0"/>
        </w:rPr>
        <w:t>(</w:t>
      </w:r>
      <w:r w:rsidR="00C47E26" w:rsidRPr="000E4D90">
        <w:rPr>
          <w:rStyle w:val="Strong"/>
          <w:b w:val="0"/>
        </w:rPr>
        <w:t>including housing, education, social supports, health care, income, employment, connected communities and nurturing childhood experiences</w:t>
      </w:r>
      <w:r w:rsidR="00913D53">
        <w:rPr>
          <w:rStyle w:val="Strong"/>
          <w:b w:val="0"/>
        </w:rPr>
        <w:t>)</w:t>
      </w:r>
      <w:r w:rsidR="00C47E26" w:rsidRPr="000E4D90">
        <w:rPr>
          <w:rStyle w:val="Strong"/>
          <w:b w:val="0"/>
        </w:rPr>
        <w:t xml:space="preserve"> are critical to the success of any strategy to minimise harm from drugs.</w:t>
      </w:r>
    </w:p>
    <w:p w14:paraId="2A1EAC83" w14:textId="77777777" w:rsidR="00C47E26" w:rsidRDefault="00C47E26" w:rsidP="000E4D90">
      <w:pPr>
        <w:pStyle w:val="Bullets"/>
      </w:pPr>
      <w:r>
        <w:rPr>
          <w:rStyle w:val="Strong"/>
          <w:color w:val="1598CB"/>
        </w:rPr>
        <w:t xml:space="preserve">Increasing access to treatment </w:t>
      </w:r>
      <w:r>
        <w:t>by building on existing evidence-based initiatives to provide non-discriminatory, adequate, accessible and non-stigmatising treatments and support services for those living with drug use, including:</w:t>
      </w:r>
    </w:p>
    <w:p w14:paraId="75CCE3CB" w14:textId="1E10408D" w:rsidR="00C47E26" w:rsidRDefault="00913D53" w:rsidP="000E4D90">
      <w:pPr>
        <w:pStyle w:val="Bullets"/>
        <w:numPr>
          <w:ilvl w:val="1"/>
          <w:numId w:val="63"/>
        </w:numPr>
      </w:pPr>
      <w:r>
        <w:t>m</w:t>
      </w:r>
      <w:r w:rsidR="00C47E26">
        <w:t>aking the needle and syringe program available in more locations</w:t>
      </w:r>
    </w:p>
    <w:p w14:paraId="504BEA84" w14:textId="708912AC" w:rsidR="00C47E26" w:rsidRDefault="00913D53" w:rsidP="000E4D90">
      <w:pPr>
        <w:pStyle w:val="Bullets"/>
        <w:numPr>
          <w:ilvl w:val="1"/>
          <w:numId w:val="63"/>
        </w:numPr>
      </w:pPr>
      <w:r>
        <w:t>p</w:t>
      </w:r>
      <w:r w:rsidR="00C47E26">
        <w:t>roviding safe injecting rooms</w:t>
      </w:r>
    </w:p>
    <w:p w14:paraId="0B70A8E4" w14:textId="559E4C31" w:rsidR="00C47E26" w:rsidRDefault="00913D53" w:rsidP="000E4D90">
      <w:pPr>
        <w:pStyle w:val="Bullets"/>
        <w:numPr>
          <w:ilvl w:val="1"/>
          <w:numId w:val="63"/>
        </w:numPr>
      </w:pPr>
      <w:r>
        <w:t>a</w:t>
      </w:r>
      <w:r w:rsidR="00C47E26">
        <w:t>ddressing the lack of access to health care through general practitioners</w:t>
      </w:r>
    </w:p>
    <w:p w14:paraId="7C0BEB9F" w14:textId="34DDC972" w:rsidR="00C47E26" w:rsidRPr="0046616A" w:rsidRDefault="00913D53" w:rsidP="000E4D90">
      <w:pPr>
        <w:pStyle w:val="Bullets"/>
        <w:numPr>
          <w:ilvl w:val="1"/>
          <w:numId w:val="63"/>
        </w:numPr>
      </w:pPr>
      <w:r>
        <w:t>p</w:t>
      </w:r>
      <w:r w:rsidR="00C47E26">
        <w:t>roviding free access to mental health programs for people at increased risk of drug use disorders</w:t>
      </w:r>
      <w:r>
        <w:t>.</w:t>
      </w:r>
    </w:p>
    <w:p w14:paraId="705B26D3" w14:textId="3EA31167" w:rsidR="00C47E26" w:rsidRDefault="00C47E26" w:rsidP="000E4D90">
      <w:pPr>
        <w:pStyle w:val="Bullets"/>
      </w:pPr>
      <w:r w:rsidRPr="002B141E">
        <w:rPr>
          <w:rStyle w:val="Strong"/>
          <w:color w:val="1598CB"/>
        </w:rPr>
        <w:t>Re</w:t>
      </w:r>
      <w:r>
        <w:rPr>
          <w:rStyle w:val="Strong"/>
          <w:color w:val="1598CB"/>
        </w:rPr>
        <w:t>moving</w:t>
      </w:r>
      <w:r w:rsidRPr="002B141E">
        <w:rPr>
          <w:rStyle w:val="Strong"/>
          <w:color w:val="1598CB"/>
        </w:rPr>
        <w:t xml:space="preserve"> criminal sanctions</w:t>
      </w:r>
      <w:r>
        <w:t xml:space="preserve"> for possession and personal use of illicit drugs and replacing them with administrative sanctions</w:t>
      </w:r>
      <w:r w:rsidRPr="00BF7913">
        <w:t xml:space="preserve"> </w:t>
      </w:r>
      <w:r>
        <w:t xml:space="preserve">as well as </w:t>
      </w:r>
      <w:r w:rsidRPr="00ED18AF">
        <w:t>expung</w:t>
      </w:r>
      <w:r>
        <w:t xml:space="preserve">ing </w:t>
      </w:r>
      <w:r w:rsidRPr="00ED18AF">
        <w:t>historical convictions.</w:t>
      </w:r>
      <w:r>
        <w:t xml:space="preserve"> </w:t>
      </w:r>
    </w:p>
    <w:p w14:paraId="73ED546D" w14:textId="302A380A" w:rsidR="00C47E26" w:rsidRDefault="00C47E26" w:rsidP="000E4D90">
      <w:pPr>
        <w:pStyle w:val="Bullets"/>
      </w:pPr>
      <w:r w:rsidRPr="002B141E">
        <w:rPr>
          <w:rStyle w:val="Strong"/>
          <w:color w:val="1598CB"/>
        </w:rPr>
        <w:t>Introducing more equitable penalties</w:t>
      </w:r>
      <w:r>
        <w:t xml:space="preserve"> such as </w:t>
      </w:r>
      <w:r w:rsidRPr="00ED18AF">
        <w:t>means-tested penalties (“day fine</w:t>
      </w:r>
      <w:r w:rsidR="00913D53">
        <w:t>s</w:t>
      </w:r>
      <w:r w:rsidRPr="00ED18AF">
        <w:t xml:space="preserve">”) </w:t>
      </w:r>
      <w:r>
        <w:t>and</w:t>
      </w:r>
      <w:r w:rsidRPr="00ED18AF">
        <w:t xml:space="preserve"> Work and Development Orders</w:t>
      </w:r>
      <w:r>
        <w:t xml:space="preserve"> as well as making </w:t>
      </w:r>
      <w:r w:rsidRPr="00ED18AF">
        <w:t xml:space="preserve">greater use of cautions, </w:t>
      </w:r>
      <w:r>
        <w:t xml:space="preserve">deflection and </w:t>
      </w:r>
      <w:r w:rsidRPr="00ED18AF">
        <w:t xml:space="preserve">diversion, </w:t>
      </w:r>
      <w:r>
        <w:t xml:space="preserve">and </w:t>
      </w:r>
      <w:r w:rsidRPr="00ED18AF">
        <w:t>treatment orders</w:t>
      </w:r>
      <w:r>
        <w:t>.</w:t>
      </w:r>
    </w:p>
    <w:p w14:paraId="72CCC976" w14:textId="77777777" w:rsidR="00B57909" w:rsidRDefault="00B57909" w:rsidP="0011610D">
      <w:pPr>
        <w:pStyle w:val="BodyText"/>
      </w:pPr>
      <w:r>
        <w:br w:type="page"/>
      </w:r>
    </w:p>
    <w:p w14:paraId="3559BB6A" w14:textId="77777777" w:rsidR="00DD4BFA" w:rsidRDefault="00DD4BFA" w:rsidP="00A82EA0">
      <w:pPr>
        <w:pStyle w:val="Heading1"/>
      </w:pPr>
      <w:bookmarkStart w:id="51" w:name="_Toc136851471"/>
      <w:r>
        <w:t>Glossary</w:t>
      </w:r>
      <w:bookmarkEnd w:id="51"/>
    </w:p>
    <w:p w14:paraId="4E779B9D" w14:textId="77777777" w:rsidR="001E0F27" w:rsidRPr="001E0F27" w:rsidRDefault="001E0F27" w:rsidP="001E0F27">
      <w:pPr>
        <w:pStyle w:val="BodyText"/>
      </w:pPr>
      <w:r>
        <w:t xml:space="preserve">The following terms have been </w:t>
      </w:r>
      <w:r w:rsidRPr="001E0F27">
        <w:rPr>
          <w:b/>
          <w:color w:val="31849B" w:themeColor="accent5" w:themeShade="BF"/>
        </w:rPr>
        <w:t>highlighted</w:t>
      </w:r>
      <w:r w:rsidRPr="001E0F27">
        <w:rPr>
          <w:color w:val="31849B" w:themeColor="accent5" w:themeShade="BF"/>
        </w:rPr>
        <w:t xml:space="preserve"> </w:t>
      </w:r>
      <w:r>
        <w:t xml:space="preserve">in this position paper.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w:tblDescription w:val="Administrative and civil penalties. In law, penalties may be criminal, civil or administrative. Administrative penalties include things like parking fines. They can be imposed by a regulator or agency. Civil penalties are usually monetary but can include community service or compensation orders.&#10;Chronic conditions. Chronic conditions are health conditions or illnesses that are persistent or long-lasting. Examples include diabetes, kidney and heart disease, some cancers and lung diseases. Chronic conditions are linked with the social determinants of health and the risks of chronic illness developing are reduced when people have reliable access to economic resources, secure and good quality housing, good diet, hygiene, health services, social networks and education.&#10;Comorbidity. Morbidities are medical (including psychological and psychiatric) conditions. Where there is more than one condition, these are called comorbidities.&#10;Day fines. Day fines are “founded on recognition of the principle of equal treatment, that is, the impact of the sentence should be similar despite the wealth or financial disadvantage of the offender” [61]. Day fines are applied, usually by police, on the basis of (1) an assessment of the gravity of the offence to determine the applicable number of fine units, and (2) the means of the offender to pay. Thus, a wealthier offender will receive a heavier fine than a poorer offender for the same offence. Offenders would also be offered the chance to replace fine payment with undertaking approved activities through a work and development order (WDO).&#10;DALY, YLL and YLD. &#10;DALY is the acronym for disability-adjusted life years. One DALY represents the loss of the equivalent of one year of full health. DALYs for a disease or health condition are the sum of the years of life lost to due to premature mortality (YLLs) and the years lived with a disability (YLDs) due to prevalent cases of the disease or health condition in a population.&#10;YLL is the acronym for years of life lost from mortality. One YLL represents the loss of one year of life. YLLs are calculated from the number of deaths multiplied by a global standard life expectancy at the age at which death occurs.&#10;YLD is the acronym for years of health life lost to disability. One YLD represents the equivalent of one full year of healthy life lost due to disability or ill-health [62].&#10;Decriminalisation. There are two forms of decriminalisation. &#10;In de facto decriminalisation, the misuse of drugs remains a criminal offence, but courts and police may exercise discretion in enforcing laws. Tasmania has several de facto decriminalisation measures in place, including Court Mandated Diversion, and Tasmania Police’s Illicit Drug Diversion Initiative. &#10;In de jure decriminalisation, legislation is changed to remove criminal penalties and replace them with civil and/or administrative penalties. &#10;Decriminalisation is NOT legalisation. Decriminalisation does not allow for the sale and supply of illicit drugs [14].&#10;Discrimination. While discrimination means identifying differences, in justice terms it refers to unequal and worse treatment of people based on characteristics like race, sexuality or culture.&#10;Diversion and deflection. Deflection happens at the point of arrest, with the police officer helping the offender to access treatment (e.g., by calling a case work who assesses the person’s needs and finds a suitable treatment program) [63].&#10;Diversion involves the Court making an order that usually includes a custodial element, which is activated only if the offender does not meet treatment and supervision requirements (e.g., a Drug Treatment Order) [64].&#10;Drug use disorder (DUD). A person has a drug use disorder (also known by the terms ‘problematic drug use’ or ‘high-risk drug user’) when their drug use causes significant distress or harm to the user or those around them [65].&#10;Intergenerational trauma. Trauma refers to physical or emotional harms, which may or may not be directly life-threatening and that have a lasting and adverse effect. Violence and abuse are forms of trauma, as is living in poverty. Intergenerational trauma is “psychological trauma transmitted within families and communities” [66].&#10;Marginalisation. People can be pushed to the margins (or edges) of society by characteristics that they may be unable to alter, or because of a mismatch between their culture or beliefs and those of more powerful people. Marginalisation is a result of discrimination.&#10;Moral injury. Moral injury can happen when one is “Perpetrating, failing to prevent, bearing witness to, or learning about acts that transgress deeply held moral beliefs and expectations” [60].&#10;Naloxone. Naloxone is an “opioid antagonist”, used to reverse the effects of opioids. Its main application is in temporarily reversing overdose. This enables responders to seek urgent medical help. Naloxone is available, free of charge, in Tasmanian needle and syringe program (NSP) outlets.&#10;Needle and syringe program (NSP). The needle and syringe program is a Department of Health service that provides a range of information and equipment to people who inject drugs. &#10;Recidivism. Recidivism is another word for reoffending, or returning to criminal behaviour. &#10;Restorative justice. Restorative justice is informed by Indigenous and other approaches in which the aim is to “repair and restore the relationships and community affected by an offence” [67]. Offenders acknowledge the harms caused by their actions and work with community to be reintegrated and to restore the community to health. &#10;Therapeutic jurisprudence. Therapeutic justice is a form of restorative justice. It is a way of using the law to “prevent conflict, promote procedural fairness, facilitate mediation, protect crime victims, and promote alternative dispute resolution” [68].&#10;Social determinants of health. The social determinants of health are the conditions in which we are born, we grow, and age, and in which we live and work. They impact upon our health and wellbeing and have been identified as: childhood experiences, housing, education, social supports, family income, meaningful employment, communities and access to health services. These determinants are also called upstream factors [69-71].&#10;Stigma and vicarious stigma. Stigma is a characteristic that sets a person apart from others, and is a source of lower status or discredit. When this taint spreads to those associated with the stigmatised person, it is called vicarious stigma.&#10;Work and Development Order. New South Wales has piloted and introduced Work and Development Orders (WDOs). People who are assessed as eligible can replace paying a fine—in part or in full—with completion of approved activities. Approved activities include treatment programs and work in approved organisations, including government agencies, NGOs, and health practitioners. WDOs can be seen as part of restoring the offender’s place in the community, and repairing damage done.&#10;"/>
      </w:tblPr>
      <w:tblGrid>
        <w:gridCol w:w="1985"/>
        <w:gridCol w:w="7657"/>
      </w:tblGrid>
      <w:tr w:rsidR="005E6607" w:rsidRPr="00B542F0" w14:paraId="0E2251C3" w14:textId="77777777" w:rsidTr="0039136B">
        <w:tc>
          <w:tcPr>
            <w:tcW w:w="1985" w:type="dxa"/>
          </w:tcPr>
          <w:p w14:paraId="5D99A229" w14:textId="77777777" w:rsidR="005E6607" w:rsidRPr="00F6141D" w:rsidRDefault="005E6607" w:rsidP="00014A2D">
            <w:pPr>
              <w:pStyle w:val="BodyText"/>
              <w:spacing w:before="80" w:after="80"/>
              <w:rPr>
                <w:sz w:val="22"/>
                <w:szCs w:val="22"/>
              </w:rPr>
            </w:pPr>
            <w:bookmarkStart w:id="52" w:name="_Hlk133835454"/>
            <w:r w:rsidRPr="00F6141D">
              <w:rPr>
                <w:sz w:val="22"/>
                <w:szCs w:val="22"/>
              </w:rPr>
              <w:t>Administrative and civil penalties</w:t>
            </w:r>
            <w:bookmarkEnd w:id="52"/>
          </w:p>
        </w:tc>
        <w:tc>
          <w:tcPr>
            <w:tcW w:w="7657" w:type="dxa"/>
          </w:tcPr>
          <w:p w14:paraId="69EEEDB6" w14:textId="77777777" w:rsidR="005E6607" w:rsidRPr="00B542F0" w:rsidRDefault="005E6607" w:rsidP="00014A2D">
            <w:pPr>
              <w:pStyle w:val="BodyText"/>
              <w:spacing w:before="80" w:after="80"/>
              <w:rPr>
                <w:sz w:val="22"/>
                <w:szCs w:val="22"/>
              </w:rPr>
            </w:pPr>
            <w:bookmarkStart w:id="53" w:name="_Hlk133835480"/>
            <w:r w:rsidRPr="00F6141D">
              <w:rPr>
                <w:sz w:val="22"/>
                <w:szCs w:val="22"/>
              </w:rPr>
              <w:t xml:space="preserve">In law, penalties may be criminal, civil or administrative. </w:t>
            </w:r>
            <w:r w:rsidR="00066C41" w:rsidRPr="00080523">
              <w:rPr>
                <w:sz w:val="22"/>
                <w:szCs w:val="22"/>
              </w:rPr>
              <w:t xml:space="preserve">Administrative penalties include things like parking fines. They can be imposed by a regulator or agency. </w:t>
            </w:r>
            <w:r w:rsidR="00F6141D" w:rsidRPr="00080523">
              <w:rPr>
                <w:sz w:val="22"/>
                <w:szCs w:val="22"/>
              </w:rPr>
              <w:t xml:space="preserve">Civil penalties are usually monetary but can include community service or compensation orders. </w:t>
            </w:r>
            <w:bookmarkEnd w:id="53"/>
          </w:p>
        </w:tc>
      </w:tr>
      <w:tr w:rsidR="0044162C" w:rsidRPr="00B542F0" w14:paraId="0AF27381" w14:textId="77777777" w:rsidTr="0039136B">
        <w:tc>
          <w:tcPr>
            <w:tcW w:w="1985" w:type="dxa"/>
          </w:tcPr>
          <w:p w14:paraId="55A755DE" w14:textId="77777777" w:rsidR="00B8000A" w:rsidRPr="00B542F0" w:rsidRDefault="00B8000A" w:rsidP="00014A2D">
            <w:pPr>
              <w:pStyle w:val="BodyText"/>
              <w:spacing w:before="80" w:after="80"/>
              <w:rPr>
                <w:sz w:val="22"/>
                <w:szCs w:val="22"/>
              </w:rPr>
            </w:pPr>
            <w:bookmarkStart w:id="54" w:name="_Hlk133835515"/>
            <w:r w:rsidRPr="00B542F0">
              <w:rPr>
                <w:sz w:val="22"/>
                <w:szCs w:val="22"/>
              </w:rPr>
              <w:t>Chronic conditions</w:t>
            </w:r>
            <w:bookmarkEnd w:id="54"/>
          </w:p>
        </w:tc>
        <w:tc>
          <w:tcPr>
            <w:tcW w:w="7657" w:type="dxa"/>
          </w:tcPr>
          <w:p w14:paraId="0F96100D" w14:textId="77777777" w:rsidR="00B8000A" w:rsidRPr="00B542F0" w:rsidRDefault="00B8000A" w:rsidP="00014A2D">
            <w:pPr>
              <w:pStyle w:val="BodyText"/>
              <w:spacing w:before="80" w:after="80"/>
              <w:rPr>
                <w:sz w:val="22"/>
                <w:szCs w:val="22"/>
              </w:rPr>
            </w:pPr>
            <w:bookmarkStart w:id="55" w:name="_Hlk133835527"/>
            <w:r w:rsidRPr="00B542F0">
              <w:rPr>
                <w:sz w:val="22"/>
                <w:szCs w:val="22"/>
              </w:rPr>
              <w:t xml:space="preserve">Chronic conditions are health conditions or illnesses that are persistent or long-lasting. Examples include diabetes, kidney and heart disease, some cancers and lung diseases. Chronic conditions are linked with the </w:t>
            </w:r>
            <w:r w:rsidRPr="00B542F0">
              <w:rPr>
                <w:b/>
                <w:color w:val="31849B" w:themeColor="accent5" w:themeShade="BF"/>
                <w:sz w:val="22"/>
                <w:szCs w:val="22"/>
              </w:rPr>
              <w:t>social determinants of health</w:t>
            </w:r>
            <w:r w:rsidRPr="00B542F0">
              <w:rPr>
                <w:color w:val="31849B" w:themeColor="accent5" w:themeShade="BF"/>
                <w:sz w:val="22"/>
                <w:szCs w:val="22"/>
              </w:rPr>
              <w:t xml:space="preserve"> </w:t>
            </w:r>
            <w:r w:rsidRPr="00B542F0">
              <w:rPr>
                <w:sz w:val="22"/>
                <w:szCs w:val="22"/>
              </w:rPr>
              <w:t>and the risks of chronic illness developing are reduced when people have reliable access to economic resources, secure and good quality housing, good diet, hygiene, health services, social networks and education.</w:t>
            </w:r>
            <w:bookmarkEnd w:id="55"/>
          </w:p>
        </w:tc>
      </w:tr>
      <w:tr w:rsidR="0044162C" w:rsidRPr="00B542F0" w14:paraId="528F1B4C" w14:textId="77777777" w:rsidTr="0039136B">
        <w:tc>
          <w:tcPr>
            <w:tcW w:w="1985" w:type="dxa"/>
          </w:tcPr>
          <w:p w14:paraId="1245D8DC" w14:textId="77777777" w:rsidR="001E0F27" w:rsidRPr="00B542F0" w:rsidRDefault="001E0F27" w:rsidP="00014A2D">
            <w:pPr>
              <w:pStyle w:val="BodyText"/>
              <w:spacing w:before="80" w:after="80"/>
              <w:rPr>
                <w:sz w:val="22"/>
                <w:szCs w:val="22"/>
              </w:rPr>
            </w:pPr>
            <w:bookmarkStart w:id="56" w:name="_Hlk133835541"/>
            <w:r w:rsidRPr="00B542F0">
              <w:rPr>
                <w:sz w:val="22"/>
                <w:szCs w:val="22"/>
              </w:rPr>
              <w:t>Comorbidity</w:t>
            </w:r>
            <w:bookmarkEnd w:id="56"/>
          </w:p>
        </w:tc>
        <w:tc>
          <w:tcPr>
            <w:tcW w:w="7657" w:type="dxa"/>
          </w:tcPr>
          <w:p w14:paraId="1C9D1DDB" w14:textId="77777777" w:rsidR="001E0F27" w:rsidRPr="00B542F0" w:rsidRDefault="007F0E55" w:rsidP="00014A2D">
            <w:pPr>
              <w:pStyle w:val="BodyText"/>
              <w:spacing w:before="80" w:after="80"/>
              <w:rPr>
                <w:sz w:val="22"/>
                <w:szCs w:val="22"/>
              </w:rPr>
            </w:pPr>
            <w:bookmarkStart w:id="57" w:name="_Hlk133835550"/>
            <w:r w:rsidRPr="00B542F0">
              <w:rPr>
                <w:sz w:val="22"/>
                <w:szCs w:val="22"/>
              </w:rPr>
              <w:t>Morbidities are medical (including psychological and psychiatric) conditions. Where there is more than one condition, these are called comorbidities.</w:t>
            </w:r>
            <w:r w:rsidR="00C11273">
              <w:rPr>
                <w:sz w:val="22"/>
                <w:szCs w:val="22"/>
              </w:rPr>
              <w:t xml:space="preserve"> </w:t>
            </w:r>
            <w:bookmarkEnd w:id="57"/>
          </w:p>
        </w:tc>
      </w:tr>
      <w:tr w:rsidR="0044162C" w:rsidRPr="00B542F0" w14:paraId="7B1DFDAA" w14:textId="77777777" w:rsidTr="0039136B">
        <w:tc>
          <w:tcPr>
            <w:tcW w:w="1985" w:type="dxa"/>
          </w:tcPr>
          <w:p w14:paraId="57170A0D" w14:textId="77777777" w:rsidR="001E0F27" w:rsidRPr="00B542F0" w:rsidRDefault="001E0F27" w:rsidP="00014A2D">
            <w:pPr>
              <w:pStyle w:val="BodyText"/>
              <w:spacing w:before="80" w:after="80"/>
              <w:rPr>
                <w:sz w:val="22"/>
                <w:szCs w:val="22"/>
              </w:rPr>
            </w:pPr>
            <w:bookmarkStart w:id="58" w:name="_Hlk133835559"/>
            <w:r w:rsidRPr="00B542F0">
              <w:rPr>
                <w:sz w:val="22"/>
                <w:szCs w:val="22"/>
              </w:rPr>
              <w:t>Day fines</w:t>
            </w:r>
            <w:bookmarkEnd w:id="58"/>
          </w:p>
        </w:tc>
        <w:tc>
          <w:tcPr>
            <w:tcW w:w="7657" w:type="dxa"/>
          </w:tcPr>
          <w:p w14:paraId="29E96D97" w14:textId="1C46BEBB" w:rsidR="001E0F27" w:rsidRPr="00B542F0" w:rsidRDefault="00EF557D" w:rsidP="00014A2D">
            <w:pPr>
              <w:pStyle w:val="BodyText"/>
              <w:spacing w:before="80" w:after="80"/>
              <w:rPr>
                <w:sz w:val="22"/>
                <w:szCs w:val="22"/>
              </w:rPr>
            </w:pPr>
            <w:bookmarkStart w:id="59" w:name="_Hlk133835572"/>
            <w:r w:rsidRPr="005A3B94">
              <w:rPr>
                <w:sz w:val="22"/>
                <w:szCs w:val="22"/>
              </w:rPr>
              <w:t>Day fines</w:t>
            </w:r>
            <w:r w:rsidRPr="00080523">
              <w:rPr>
                <w:color w:val="auto"/>
                <w:sz w:val="22"/>
                <w:szCs w:val="22"/>
              </w:rPr>
              <w:t xml:space="preserve"> </w:t>
            </w:r>
            <w:r w:rsidRPr="00B542F0">
              <w:rPr>
                <w:sz w:val="22"/>
                <w:szCs w:val="22"/>
              </w:rPr>
              <w:t xml:space="preserve">are “founded on recognition of the principle of equal treatment, that is, the impact of the sentence should be similar despite the wealth or financial disadvantage of the offender” </w:t>
            </w:r>
            <w:r w:rsidRPr="00B542F0">
              <w:rPr>
                <w:sz w:val="22"/>
                <w:szCs w:val="22"/>
              </w:rPr>
              <w:fldChar w:fldCharType="begin"/>
            </w:r>
            <w:r w:rsidR="00956746">
              <w:rPr>
                <w:sz w:val="22"/>
                <w:szCs w:val="22"/>
              </w:rPr>
              <w:instrText xml:space="preserve"> ADDIN EN.CITE &lt;EndNote&gt;&lt;Cite&gt;&lt;Author&gt;Bartl&lt;/Author&gt;&lt;Year&gt;2012&lt;/Year&gt;&lt;RecNum&gt;18&lt;/RecNum&gt;&lt;DisplayText&gt;[61]&lt;/DisplayText&gt;&lt;record&gt;&lt;rec-number&gt;18&lt;/rec-number&gt;&lt;foreign-keys&gt;&lt;key app="EN" db-id="5fz2fzfzg2w2x4efdz3xprvlzezfdv2spstv" timestamp="1676594840"&gt;18&lt;/key&gt;&lt;/foreign-keys&gt;&lt;ref-type name="Journal Article"&gt;17&lt;/ref-type&gt;&lt;contributors&gt;&lt;authors&gt;&lt;author&gt;Bartl, Benedict&lt;/author&gt;&lt;/authors&gt;&lt;/contributors&gt;&lt;titles&gt;&lt;title&gt;The &amp;apos;Day Fine&amp;apos; - Improving equality before the law in Australian sentencing&lt;/title&gt;&lt;secondary-title&gt;University of Western Sydney Law Review&lt;/secondary-title&gt;&lt;/titles&gt;&lt;periodical&gt;&lt;full-title&gt;University of Western Sydney Law Review&lt;/full-title&gt;&lt;/periodical&gt;&lt;pages&gt;48-78&lt;/pages&gt;&lt;volume&gt;16&lt;/volume&gt;&lt;dates&gt;&lt;year&gt;2012&lt;/year&gt;&lt;/dates&gt;&lt;urls&gt;&lt;/urls&gt;&lt;/record&gt;&lt;/Cite&gt;&lt;/EndNote&gt;</w:instrText>
            </w:r>
            <w:r w:rsidRPr="00B542F0">
              <w:rPr>
                <w:sz w:val="22"/>
                <w:szCs w:val="22"/>
              </w:rPr>
              <w:fldChar w:fldCharType="separate"/>
            </w:r>
            <w:r w:rsidR="00956746">
              <w:rPr>
                <w:noProof/>
                <w:sz w:val="22"/>
                <w:szCs w:val="22"/>
              </w:rPr>
              <w:t>[61]</w:t>
            </w:r>
            <w:r w:rsidRPr="00B542F0">
              <w:rPr>
                <w:sz w:val="22"/>
                <w:szCs w:val="22"/>
              </w:rPr>
              <w:fldChar w:fldCharType="end"/>
            </w:r>
            <w:r w:rsidRPr="00B542F0">
              <w:rPr>
                <w:sz w:val="22"/>
                <w:szCs w:val="22"/>
              </w:rPr>
              <w:t xml:space="preserve">. Day fines are applied, usually by police, on the basis of (1) an assessment of the gravity of the offence to determine the applicable number of fine units, and (2) the means of the offender to pay. Thus, a wealthier offender will receive a heavier fine than a poorer offender for the same offence. Offenders would also be offered the chance to replace fine payment with undertaking approved activities through a </w:t>
            </w:r>
            <w:r w:rsidRPr="00B542F0">
              <w:rPr>
                <w:b/>
                <w:bCs/>
                <w:color w:val="31849B" w:themeColor="accent5" w:themeShade="BF"/>
                <w:sz w:val="22"/>
                <w:szCs w:val="22"/>
              </w:rPr>
              <w:t>work and development order (WDO)</w:t>
            </w:r>
            <w:r w:rsidRPr="00B542F0">
              <w:rPr>
                <w:sz w:val="22"/>
                <w:szCs w:val="22"/>
              </w:rPr>
              <w:t xml:space="preserve">. </w:t>
            </w:r>
            <w:bookmarkEnd w:id="59"/>
          </w:p>
        </w:tc>
      </w:tr>
      <w:tr w:rsidR="0044162C" w:rsidRPr="00B542F0" w14:paraId="5E36124C" w14:textId="77777777" w:rsidTr="0039136B">
        <w:tc>
          <w:tcPr>
            <w:tcW w:w="1985" w:type="dxa"/>
          </w:tcPr>
          <w:p w14:paraId="48994B5C" w14:textId="77777777" w:rsidR="001E0F27" w:rsidRPr="00B542F0" w:rsidRDefault="001E0F27" w:rsidP="00014A2D">
            <w:pPr>
              <w:pStyle w:val="BodyText"/>
              <w:spacing w:before="80" w:after="80"/>
              <w:rPr>
                <w:sz w:val="22"/>
                <w:szCs w:val="22"/>
              </w:rPr>
            </w:pPr>
            <w:bookmarkStart w:id="60" w:name="_Hlk133835653"/>
            <w:r w:rsidRPr="00B542F0">
              <w:rPr>
                <w:sz w:val="22"/>
                <w:szCs w:val="22"/>
              </w:rPr>
              <w:t>DALY, YLL and YLD</w:t>
            </w:r>
            <w:bookmarkEnd w:id="60"/>
          </w:p>
        </w:tc>
        <w:tc>
          <w:tcPr>
            <w:tcW w:w="7657" w:type="dxa"/>
          </w:tcPr>
          <w:p w14:paraId="3BECD1C7" w14:textId="77777777" w:rsidR="001E0F27" w:rsidRPr="00B542F0" w:rsidRDefault="001E0F27" w:rsidP="00014A2D">
            <w:pPr>
              <w:pStyle w:val="BodyText"/>
              <w:spacing w:before="80" w:after="80"/>
              <w:rPr>
                <w:sz w:val="22"/>
                <w:szCs w:val="22"/>
              </w:rPr>
            </w:pPr>
            <w:bookmarkStart w:id="61" w:name="_Hlk133835643"/>
            <w:r w:rsidRPr="00B542F0">
              <w:rPr>
                <w:sz w:val="22"/>
                <w:szCs w:val="22"/>
              </w:rPr>
              <w:t>DALY—disability-adjusted life years. One DALY represents the loss of the equivalent of one year of full health. DALYs for a disease or health condition are the sum of the years of life lost to due to premature mortality (YLLs) and the years lived with a disability (YLDs) due to prevalent cases of the disease or health condition in a population.</w:t>
            </w:r>
          </w:p>
          <w:p w14:paraId="07389278" w14:textId="77777777" w:rsidR="001E0F27" w:rsidRPr="00B542F0" w:rsidRDefault="001E0F27" w:rsidP="00014A2D">
            <w:pPr>
              <w:pStyle w:val="BodyText"/>
              <w:spacing w:before="80" w:after="80"/>
              <w:rPr>
                <w:sz w:val="22"/>
                <w:szCs w:val="22"/>
              </w:rPr>
            </w:pPr>
            <w:r w:rsidRPr="00B542F0">
              <w:rPr>
                <w:sz w:val="22"/>
                <w:szCs w:val="22"/>
              </w:rPr>
              <w:t>YLL—years of life lost from mortality. One YLL represents the loss of one year of life. YLLs are calculated from the number of deaths multiplied by a global standard life expectancy at the age at which death occurs.</w:t>
            </w:r>
          </w:p>
          <w:p w14:paraId="2057AA89" w14:textId="63B5AD24" w:rsidR="001E0F27" w:rsidRPr="00B542F0" w:rsidRDefault="001E0F27" w:rsidP="00014A2D">
            <w:pPr>
              <w:pStyle w:val="BodyText"/>
              <w:spacing w:before="80" w:after="80"/>
              <w:rPr>
                <w:sz w:val="22"/>
                <w:szCs w:val="22"/>
              </w:rPr>
            </w:pPr>
            <w:r w:rsidRPr="00B542F0">
              <w:rPr>
                <w:sz w:val="22"/>
                <w:szCs w:val="22"/>
              </w:rPr>
              <w:t xml:space="preserve">YLD—years of health life lost to disability. One YLD represents the equivalent of one full year of healthy life lost due to disability or ill-health </w:t>
            </w:r>
            <w:r w:rsidRPr="00B542F0">
              <w:rPr>
                <w:sz w:val="22"/>
                <w:szCs w:val="22"/>
              </w:rPr>
              <w:fldChar w:fldCharType="begin"/>
            </w:r>
            <w:r w:rsidR="00956746">
              <w:rPr>
                <w:sz w:val="22"/>
                <w:szCs w:val="22"/>
              </w:rPr>
              <w:instrText xml:space="preserve"> ADDIN EN.CITE &lt;EndNote&gt;&lt;Cite&gt;&lt;Author&gt;World Health Organization&lt;/Author&gt;&lt;Year&gt;2023&lt;/Year&gt;&lt;RecNum&gt;139&lt;/RecNum&gt;&lt;DisplayText&gt;[62]&lt;/DisplayText&gt;&lt;record&gt;&lt;rec-number&gt;139&lt;/rec-number&gt;&lt;foreign-keys&gt;&lt;key app="EN" db-id="5fz2fzfzg2w2x4efdz3xprvlzezfdv2spstv" timestamp="1679012134"&gt;139&lt;/key&gt;&lt;/foreign-keys&gt;&lt;ref-type name="Web Page"&gt;12&lt;/ref-type&gt;&lt;contributors&gt;&lt;authors&gt;&lt;author&gt;World Health Organization,&lt;/author&gt;&lt;/authors&gt;&lt;/contributors&gt;&lt;titles&gt;&lt;title&gt;The Global Health Observatory&lt;/title&gt;&lt;/titles&gt;&lt;number&gt;Retrieved 17th March 2023&lt;/number&gt;&lt;dates&gt;&lt;year&gt;2023&lt;/year&gt;&lt;/dates&gt;&lt;pub-location&gt;Geneva&lt;/pub-location&gt;&lt;publisher&gt;World Health Organization&lt;/publisher&gt;&lt;urls&gt;&lt;related-urls&gt;&lt;url&gt;https://www.who.int/data/gho&lt;/url&gt;&lt;/related-urls&gt;&lt;/urls&gt;&lt;/record&gt;&lt;/Cite&gt;&lt;/EndNote&gt;</w:instrText>
            </w:r>
            <w:r w:rsidRPr="00B542F0">
              <w:rPr>
                <w:sz w:val="22"/>
                <w:szCs w:val="22"/>
              </w:rPr>
              <w:fldChar w:fldCharType="separate"/>
            </w:r>
            <w:r w:rsidR="00956746">
              <w:rPr>
                <w:noProof/>
                <w:sz w:val="22"/>
                <w:szCs w:val="22"/>
              </w:rPr>
              <w:t>[62]</w:t>
            </w:r>
            <w:r w:rsidRPr="00B542F0">
              <w:rPr>
                <w:sz w:val="22"/>
                <w:szCs w:val="22"/>
              </w:rPr>
              <w:fldChar w:fldCharType="end"/>
            </w:r>
            <w:r w:rsidR="005E6607">
              <w:rPr>
                <w:sz w:val="22"/>
                <w:szCs w:val="22"/>
              </w:rPr>
              <w:t>.</w:t>
            </w:r>
            <w:bookmarkEnd w:id="61"/>
          </w:p>
        </w:tc>
      </w:tr>
      <w:tr w:rsidR="0044162C" w:rsidRPr="00B542F0" w14:paraId="583933F7" w14:textId="77777777" w:rsidTr="0039136B">
        <w:tc>
          <w:tcPr>
            <w:tcW w:w="1985" w:type="dxa"/>
          </w:tcPr>
          <w:p w14:paraId="5B68E737" w14:textId="77777777" w:rsidR="001E0F27" w:rsidRPr="00B542F0" w:rsidRDefault="001E0F27" w:rsidP="00014A2D">
            <w:pPr>
              <w:pStyle w:val="BodyText"/>
              <w:spacing w:before="80" w:after="80"/>
              <w:rPr>
                <w:sz w:val="22"/>
                <w:szCs w:val="22"/>
              </w:rPr>
            </w:pPr>
            <w:bookmarkStart w:id="62" w:name="_Hlk133835759"/>
            <w:r w:rsidRPr="00B542F0">
              <w:rPr>
                <w:sz w:val="22"/>
                <w:szCs w:val="22"/>
              </w:rPr>
              <w:t>Decriminalisation</w:t>
            </w:r>
          </w:p>
          <w:bookmarkEnd w:id="62"/>
          <w:p w14:paraId="627B219D" w14:textId="77777777" w:rsidR="001E0F27" w:rsidRPr="00B542F0" w:rsidRDefault="001E0F27" w:rsidP="00014A2D">
            <w:pPr>
              <w:pStyle w:val="BodyText"/>
              <w:spacing w:before="80" w:after="80"/>
              <w:rPr>
                <w:sz w:val="22"/>
                <w:szCs w:val="22"/>
              </w:rPr>
            </w:pPr>
          </w:p>
        </w:tc>
        <w:tc>
          <w:tcPr>
            <w:tcW w:w="7657" w:type="dxa"/>
          </w:tcPr>
          <w:p w14:paraId="28C56ECF" w14:textId="77777777" w:rsidR="001E0F27" w:rsidRPr="00B542F0" w:rsidRDefault="001E0F27" w:rsidP="00014A2D">
            <w:pPr>
              <w:pStyle w:val="BodyText"/>
              <w:spacing w:before="80" w:after="80"/>
              <w:rPr>
                <w:sz w:val="22"/>
                <w:szCs w:val="22"/>
              </w:rPr>
            </w:pPr>
            <w:bookmarkStart w:id="63" w:name="_Hlk133835771"/>
            <w:r w:rsidRPr="00B542F0">
              <w:rPr>
                <w:sz w:val="22"/>
                <w:szCs w:val="22"/>
              </w:rPr>
              <w:t xml:space="preserve">There are two forms of decriminalisation. </w:t>
            </w:r>
          </w:p>
          <w:p w14:paraId="3938CED2" w14:textId="77777777" w:rsidR="001E0F27" w:rsidRPr="00B542F0" w:rsidRDefault="001E0F27" w:rsidP="00014A2D">
            <w:pPr>
              <w:pStyle w:val="BodyText"/>
              <w:spacing w:before="80" w:after="80"/>
              <w:rPr>
                <w:sz w:val="22"/>
                <w:szCs w:val="22"/>
              </w:rPr>
            </w:pPr>
            <w:r w:rsidRPr="00B542F0">
              <w:rPr>
                <w:sz w:val="22"/>
                <w:szCs w:val="22"/>
              </w:rPr>
              <w:t xml:space="preserve">In </w:t>
            </w:r>
            <w:r w:rsidRPr="00080523">
              <w:rPr>
                <w:b/>
                <w:i/>
                <w:color w:val="31849B" w:themeColor="accent5" w:themeShade="BF"/>
                <w:sz w:val="22"/>
                <w:szCs w:val="22"/>
              </w:rPr>
              <w:t>de facto</w:t>
            </w:r>
            <w:r w:rsidRPr="00080523">
              <w:rPr>
                <w:color w:val="31849B" w:themeColor="accent5" w:themeShade="BF"/>
                <w:sz w:val="22"/>
                <w:szCs w:val="22"/>
              </w:rPr>
              <w:t xml:space="preserve"> </w:t>
            </w:r>
            <w:r w:rsidRPr="00B542F0">
              <w:rPr>
                <w:sz w:val="22"/>
                <w:szCs w:val="22"/>
              </w:rPr>
              <w:t>decriminalisation, the misuse of drugs remains a criminal offence, but courts and police</w:t>
            </w:r>
            <w:r w:rsidR="0094416D" w:rsidRPr="00B542F0">
              <w:rPr>
                <w:sz w:val="22"/>
                <w:szCs w:val="22"/>
              </w:rPr>
              <w:t xml:space="preserve"> may exercise discretion in enforcing </w:t>
            </w:r>
            <w:r w:rsidR="005E6607">
              <w:rPr>
                <w:sz w:val="22"/>
                <w:szCs w:val="22"/>
              </w:rPr>
              <w:t>laws</w:t>
            </w:r>
            <w:r w:rsidRPr="00B542F0">
              <w:rPr>
                <w:sz w:val="22"/>
                <w:szCs w:val="22"/>
              </w:rPr>
              <w:t>.</w:t>
            </w:r>
            <w:r w:rsidR="0094416D" w:rsidRPr="00B542F0">
              <w:rPr>
                <w:sz w:val="22"/>
                <w:szCs w:val="22"/>
              </w:rPr>
              <w:t xml:space="preserve"> Tasmania has several </w:t>
            </w:r>
            <w:r w:rsidR="0094416D" w:rsidRPr="00B542F0">
              <w:rPr>
                <w:i/>
                <w:iCs/>
                <w:sz w:val="22"/>
                <w:szCs w:val="22"/>
              </w:rPr>
              <w:t>de facto</w:t>
            </w:r>
            <w:r w:rsidR="0094416D" w:rsidRPr="00B542F0">
              <w:rPr>
                <w:sz w:val="22"/>
                <w:szCs w:val="22"/>
              </w:rPr>
              <w:t xml:space="preserve"> decriminalisation measures in place, including Court Mandated Diversion, and Tasmania Police’s Illicit Drug Diversion Initiative.</w:t>
            </w:r>
            <w:r w:rsidRPr="00B542F0">
              <w:rPr>
                <w:sz w:val="22"/>
                <w:szCs w:val="22"/>
              </w:rPr>
              <w:t xml:space="preserve"> </w:t>
            </w:r>
          </w:p>
          <w:p w14:paraId="53631D0A" w14:textId="498054CB" w:rsidR="001E0F27" w:rsidRPr="00B542F0" w:rsidRDefault="001E0F27" w:rsidP="00014A2D">
            <w:pPr>
              <w:pStyle w:val="BodyText"/>
              <w:spacing w:before="80" w:after="80"/>
              <w:rPr>
                <w:sz w:val="22"/>
                <w:szCs w:val="22"/>
              </w:rPr>
            </w:pPr>
            <w:r w:rsidRPr="00B542F0">
              <w:rPr>
                <w:sz w:val="22"/>
                <w:szCs w:val="22"/>
              </w:rPr>
              <w:t xml:space="preserve">In </w:t>
            </w:r>
            <w:r w:rsidRPr="00080523">
              <w:rPr>
                <w:b/>
                <w:i/>
                <w:color w:val="31849B" w:themeColor="accent5" w:themeShade="BF"/>
                <w:sz w:val="22"/>
                <w:szCs w:val="22"/>
              </w:rPr>
              <w:t>de jure</w:t>
            </w:r>
            <w:r w:rsidRPr="00080523">
              <w:rPr>
                <w:color w:val="31849B" w:themeColor="accent5" w:themeShade="BF"/>
                <w:sz w:val="22"/>
                <w:szCs w:val="22"/>
              </w:rPr>
              <w:t xml:space="preserve"> </w:t>
            </w:r>
            <w:r w:rsidRPr="00B542F0">
              <w:rPr>
                <w:sz w:val="22"/>
                <w:szCs w:val="22"/>
              </w:rPr>
              <w:t xml:space="preserve">decriminalisation, legislation is changed to remove criminal penalties and replace them with </w:t>
            </w:r>
            <w:r w:rsidRPr="00080523">
              <w:rPr>
                <w:b/>
                <w:color w:val="31849B" w:themeColor="accent5" w:themeShade="BF"/>
                <w:sz w:val="22"/>
                <w:szCs w:val="22"/>
              </w:rPr>
              <w:t>civil</w:t>
            </w:r>
            <w:r w:rsidRPr="00080523">
              <w:rPr>
                <w:color w:val="31849B" w:themeColor="accent5" w:themeShade="BF"/>
                <w:sz w:val="22"/>
                <w:szCs w:val="22"/>
              </w:rPr>
              <w:t xml:space="preserve"> </w:t>
            </w:r>
            <w:r w:rsidR="005E6607">
              <w:rPr>
                <w:sz w:val="22"/>
                <w:szCs w:val="22"/>
              </w:rPr>
              <w:t>and/</w:t>
            </w:r>
            <w:r w:rsidRPr="00B542F0">
              <w:rPr>
                <w:sz w:val="22"/>
                <w:szCs w:val="22"/>
              </w:rPr>
              <w:t xml:space="preserve">or </w:t>
            </w:r>
            <w:r w:rsidRPr="00080523">
              <w:rPr>
                <w:b/>
                <w:color w:val="31849B" w:themeColor="accent5" w:themeShade="BF"/>
                <w:sz w:val="22"/>
                <w:szCs w:val="22"/>
              </w:rPr>
              <w:t>administrative</w:t>
            </w:r>
            <w:r w:rsidRPr="00080523">
              <w:rPr>
                <w:color w:val="31849B" w:themeColor="accent5" w:themeShade="BF"/>
                <w:sz w:val="22"/>
                <w:szCs w:val="22"/>
              </w:rPr>
              <w:t xml:space="preserve"> </w:t>
            </w:r>
            <w:r w:rsidRPr="00B542F0">
              <w:rPr>
                <w:sz w:val="22"/>
                <w:szCs w:val="22"/>
              </w:rPr>
              <w:t xml:space="preserve">penalties. </w:t>
            </w:r>
          </w:p>
          <w:p w14:paraId="1C5DDECE" w14:textId="518A498B" w:rsidR="001E0F27" w:rsidRPr="00B542F0" w:rsidRDefault="001E0F27" w:rsidP="00014A2D">
            <w:pPr>
              <w:pStyle w:val="BodyText"/>
              <w:spacing w:before="80" w:after="80"/>
              <w:rPr>
                <w:sz w:val="22"/>
                <w:szCs w:val="22"/>
              </w:rPr>
            </w:pPr>
            <w:r w:rsidRPr="00B542F0">
              <w:rPr>
                <w:sz w:val="22"/>
                <w:szCs w:val="22"/>
              </w:rPr>
              <w:t>Decriminalisation is NOT legal</w:t>
            </w:r>
            <w:r w:rsidR="00C702A6" w:rsidRPr="00B542F0">
              <w:rPr>
                <w:sz w:val="22"/>
                <w:szCs w:val="22"/>
              </w:rPr>
              <w:t>isa</w:t>
            </w:r>
            <w:r w:rsidRPr="00B542F0">
              <w:rPr>
                <w:sz w:val="22"/>
                <w:szCs w:val="22"/>
              </w:rPr>
              <w:t>tion. Decriminalisation does not allow for the sale and supply of illicit drugs</w:t>
            </w:r>
            <w:r w:rsidR="0094416D" w:rsidRPr="00B542F0">
              <w:rPr>
                <w:sz w:val="22"/>
                <w:szCs w:val="22"/>
              </w:rPr>
              <w:t xml:space="preserve"> </w:t>
            </w:r>
            <w:r w:rsidRPr="00B542F0">
              <w:rPr>
                <w:sz w:val="22"/>
                <w:szCs w:val="22"/>
              </w:rPr>
              <w:fldChar w:fldCharType="begin"/>
            </w:r>
            <w:r w:rsidR="00956746">
              <w:rPr>
                <w:sz w:val="22"/>
                <w:szCs w:val="22"/>
              </w:rPr>
              <w:instrText xml:space="preserve"> ADDIN EN.CITE &lt;EndNote&gt;&lt;Cite&gt;&lt;Author&gt;Alcohol Tobacco and other Drugs Council Tasmania (ATDC)&lt;/Author&gt;&lt;Year&gt;2022&lt;/Year&gt;&lt;RecNum&gt;23&lt;/RecNum&gt;&lt;DisplayText&gt;[14]&lt;/DisplayText&gt;&lt;record&gt;&lt;rec-number&gt;23&lt;/rec-number&gt;&lt;foreign-keys&gt;&lt;key app="EN" db-id="5fz2fzfzg2w2x4efdz3xprvlzezfdv2spstv" timestamp="1676606117"&gt;23&lt;/key&gt;&lt;/foreign-keys&gt;&lt;ref-type name="Report"&gt;27&lt;/ref-type&gt;&lt;contributors&gt;&lt;authors&gt;&lt;author&gt;Alcohol Tobacco and other Drugs Council Tasmania (ATDC),&lt;/author&gt;&lt;/authors&gt;&lt;/contributors&gt;&lt;titles&gt;&lt;title&gt;Decriminalising personal drug use. Position paper. December 2022&lt;/title&gt;&lt;/titles&gt;&lt;dates&gt;&lt;year&gt;2022&lt;/year&gt;&lt;/dates&gt;&lt;pub-location&gt;Hobart, TAS&lt;/pub-location&gt;&lt;publisher&gt;Alcohol, Tobacco and other Drugs Council Tasmania (ATDC)&lt;/publisher&gt;&lt;urls&gt;&lt;/urls&gt;&lt;/record&gt;&lt;/Cite&gt;&lt;/EndNote&gt;</w:instrText>
            </w:r>
            <w:r w:rsidRPr="00B542F0">
              <w:rPr>
                <w:sz w:val="22"/>
                <w:szCs w:val="22"/>
              </w:rPr>
              <w:fldChar w:fldCharType="separate"/>
            </w:r>
            <w:r w:rsidR="00956746">
              <w:rPr>
                <w:noProof/>
                <w:sz w:val="22"/>
                <w:szCs w:val="22"/>
              </w:rPr>
              <w:t>[14]</w:t>
            </w:r>
            <w:r w:rsidRPr="00B542F0">
              <w:rPr>
                <w:sz w:val="22"/>
                <w:szCs w:val="22"/>
              </w:rPr>
              <w:fldChar w:fldCharType="end"/>
            </w:r>
            <w:r w:rsidR="005E6607">
              <w:rPr>
                <w:sz w:val="22"/>
                <w:szCs w:val="22"/>
              </w:rPr>
              <w:t>.</w:t>
            </w:r>
            <w:bookmarkEnd w:id="63"/>
          </w:p>
        </w:tc>
      </w:tr>
      <w:tr w:rsidR="0044162C" w:rsidRPr="00B542F0" w14:paraId="2DEFA967" w14:textId="77777777" w:rsidTr="0039136B">
        <w:tc>
          <w:tcPr>
            <w:tcW w:w="1985" w:type="dxa"/>
          </w:tcPr>
          <w:p w14:paraId="258B6E3D" w14:textId="77777777" w:rsidR="00D03482" w:rsidRPr="00B542F0" w:rsidRDefault="00D03482" w:rsidP="00014A2D">
            <w:pPr>
              <w:pStyle w:val="BodyText"/>
              <w:spacing w:before="80" w:after="80"/>
              <w:rPr>
                <w:sz w:val="22"/>
                <w:szCs w:val="22"/>
              </w:rPr>
            </w:pPr>
            <w:bookmarkStart w:id="64" w:name="_Hlk133835781"/>
            <w:r w:rsidRPr="00B542F0">
              <w:rPr>
                <w:sz w:val="22"/>
                <w:szCs w:val="22"/>
              </w:rPr>
              <w:t>Discrimination</w:t>
            </w:r>
            <w:bookmarkEnd w:id="64"/>
          </w:p>
        </w:tc>
        <w:tc>
          <w:tcPr>
            <w:tcW w:w="7657" w:type="dxa"/>
          </w:tcPr>
          <w:p w14:paraId="7110D606" w14:textId="77777777" w:rsidR="00D03482" w:rsidRPr="00B542F0" w:rsidRDefault="00D03482" w:rsidP="00014A2D">
            <w:pPr>
              <w:pStyle w:val="BodyText"/>
              <w:spacing w:before="80" w:after="80"/>
              <w:rPr>
                <w:sz w:val="22"/>
                <w:szCs w:val="22"/>
              </w:rPr>
            </w:pPr>
            <w:bookmarkStart w:id="65" w:name="_Hlk133835789"/>
            <w:r w:rsidRPr="00B542F0">
              <w:rPr>
                <w:sz w:val="22"/>
                <w:szCs w:val="22"/>
              </w:rPr>
              <w:t xml:space="preserve">While discrimination means identifying differences, in justice terms it refers to unequal and worse treatment of people based on characteristics like race, sexuality or culture. </w:t>
            </w:r>
            <w:bookmarkEnd w:id="65"/>
          </w:p>
        </w:tc>
      </w:tr>
      <w:tr w:rsidR="0044162C" w:rsidRPr="00B542F0" w14:paraId="3C0DEED6" w14:textId="77777777" w:rsidTr="0039136B">
        <w:tc>
          <w:tcPr>
            <w:tcW w:w="1985" w:type="dxa"/>
          </w:tcPr>
          <w:p w14:paraId="5E42ACC2" w14:textId="77777777" w:rsidR="006C0999" w:rsidRPr="00B542F0" w:rsidRDefault="006C0999" w:rsidP="00014A2D">
            <w:pPr>
              <w:pStyle w:val="BodyText"/>
              <w:spacing w:before="80" w:after="80"/>
              <w:rPr>
                <w:sz w:val="22"/>
                <w:szCs w:val="22"/>
              </w:rPr>
            </w:pPr>
            <w:bookmarkStart w:id="66" w:name="_Hlk133835797"/>
            <w:bookmarkStart w:id="67" w:name="_Hlk133835819"/>
            <w:r w:rsidRPr="00B542F0">
              <w:rPr>
                <w:sz w:val="22"/>
                <w:szCs w:val="22"/>
              </w:rPr>
              <w:t>Diversion and deflection</w:t>
            </w:r>
            <w:bookmarkEnd w:id="66"/>
          </w:p>
        </w:tc>
        <w:tc>
          <w:tcPr>
            <w:tcW w:w="7657" w:type="dxa"/>
          </w:tcPr>
          <w:p w14:paraId="3EEA6E3C" w14:textId="04B28F2B" w:rsidR="006C0999" w:rsidRPr="00B542F0" w:rsidRDefault="006C0999" w:rsidP="00014A2D">
            <w:pPr>
              <w:pStyle w:val="BodyText"/>
              <w:spacing w:before="80" w:after="80"/>
              <w:rPr>
                <w:sz w:val="22"/>
                <w:szCs w:val="22"/>
              </w:rPr>
            </w:pPr>
            <w:r w:rsidRPr="00B542F0">
              <w:rPr>
                <w:i/>
                <w:sz w:val="22"/>
                <w:szCs w:val="22"/>
              </w:rPr>
              <w:t>Deflection</w:t>
            </w:r>
            <w:r w:rsidRPr="00B542F0">
              <w:rPr>
                <w:sz w:val="22"/>
                <w:szCs w:val="22"/>
              </w:rPr>
              <w:t xml:space="preserve"> happens at the point of arrest, with the police officer helping the offender to access treatment (e.g., by calling a case work</w:t>
            </w:r>
            <w:r w:rsidR="00913D53">
              <w:rPr>
                <w:sz w:val="22"/>
                <w:szCs w:val="22"/>
              </w:rPr>
              <w:t>er</w:t>
            </w:r>
            <w:r w:rsidRPr="00B542F0">
              <w:rPr>
                <w:sz w:val="22"/>
                <w:szCs w:val="22"/>
              </w:rPr>
              <w:t xml:space="preserve"> who assesses the person’s needs and finds a suitable treatment program) </w:t>
            </w:r>
            <w:r w:rsidRPr="00B542F0">
              <w:rPr>
                <w:sz w:val="22"/>
                <w:szCs w:val="22"/>
              </w:rPr>
              <w:fldChar w:fldCharType="begin"/>
            </w:r>
            <w:r w:rsidR="00956746">
              <w:rPr>
                <w:sz w:val="22"/>
                <w:szCs w:val="22"/>
              </w:rPr>
              <w:instrText xml:space="preserve"> ADDIN EN.CITE &lt;EndNote&gt;&lt;Cite&gt;&lt;Author&gt;Levine&lt;/Author&gt;&lt;Year&gt;2021&lt;/Year&gt;&lt;RecNum&gt;49&lt;/RecNum&gt;&lt;DisplayText&gt;[63]&lt;/DisplayText&gt;&lt;record&gt;&lt;rec-number&gt;49&lt;/rec-number&gt;&lt;foreign-keys&gt;&lt;key app="EN" db-id="5fz2fzfzg2w2x4efdz3xprvlzezfdv2spstv" timestamp="1678063193"&gt;49&lt;/key&gt;&lt;/foreign-keys&gt;&lt;ref-type name="Journal Article"&gt;17&lt;/ref-type&gt;&lt;contributors&gt;&lt;authors&gt;&lt;author&gt;Levine, Kay L.&lt;/author&gt;&lt;author&gt;Hinkle, Joshua C.&lt;/author&gt;&lt;author&gt;Griffiths, Elizabeth&lt;/author&gt;&lt;/authors&gt;&lt;/contributors&gt;&lt;titles&gt;&lt;title&gt;Making deflection the new diversion for drug offenders&lt;/title&gt;&lt;secondary-title&gt;Ohio State Journal of Criminal Law&lt;/secondary-title&gt;&lt;/titles&gt;&lt;periodical&gt;&lt;full-title&gt;Ohio State Journal of Criminal Law&lt;/full-title&gt;&lt;/periodical&gt;&lt;pages&gt;75-118&lt;/pages&gt;&lt;volume&gt;19&lt;/volume&gt;&lt;number&gt;1&lt;/number&gt;&lt;dates&gt;&lt;year&gt;2021&lt;/year&gt;&lt;/dates&gt;&lt;urls&gt;&lt;/urls&gt;&lt;/record&gt;&lt;/Cite&gt;&lt;/EndNote&gt;</w:instrText>
            </w:r>
            <w:r w:rsidRPr="00B542F0">
              <w:rPr>
                <w:sz w:val="22"/>
                <w:szCs w:val="22"/>
              </w:rPr>
              <w:fldChar w:fldCharType="separate"/>
            </w:r>
            <w:r w:rsidR="00956746">
              <w:rPr>
                <w:noProof/>
                <w:sz w:val="22"/>
                <w:szCs w:val="22"/>
              </w:rPr>
              <w:t>[63]</w:t>
            </w:r>
            <w:r w:rsidRPr="00B542F0">
              <w:rPr>
                <w:sz w:val="22"/>
                <w:szCs w:val="22"/>
              </w:rPr>
              <w:fldChar w:fldCharType="end"/>
            </w:r>
            <w:r w:rsidR="00B542F0">
              <w:rPr>
                <w:sz w:val="22"/>
                <w:szCs w:val="22"/>
              </w:rPr>
              <w:t>.</w:t>
            </w:r>
          </w:p>
          <w:p w14:paraId="4293D2E2" w14:textId="060A037B" w:rsidR="006C0999" w:rsidRPr="00B542F0" w:rsidRDefault="006C0999" w:rsidP="00014A2D">
            <w:pPr>
              <w:pStyle w:val="BodyText"/>
              <w:spacing w:before="80" w:after="80"/>
              <w:rPr>
                <w:sz w:val="22"/>
                <w:szCs w:val="22"/>
              </w:rPr>
            </w:pPr>
            <w:r w:rsidRPr="00B542F0">
              <w:rPr>
                <w:i/>
                <w:sz w:val="22"/>
                <w:szCs w:val="22"/>
              </w:rPr>
              <w:t>Diversion</w:t>
            </w:r>
            <w:r w:rsidRPr="00B542F0">
              <w:rPr>
                <w:sz w:val="22"/>
                <w:szCs w:val="22"/>
              </w:rPr>
              <w:t xml:space="preserve"> involves the Court making an order that usually includes a custodial element, which is activated only if the offender does not meet treatment and supervision requirements</w:t>
            </w:r>
            <w:r w:rsidR="00195593" w:rsidRPr="00B542F0">
              <w:rPr>
                <w:sz w:val="22"/>
                <w:szCs w:val="22"/>
              </w:rPr>
              <w:t xml:space="preserve"> (e.g., a Drug Treatment Order)</w:t>
            </w:r>
            <w:r w:rsidRPr="00B542F0">
              <w:rPr>
                <w:sz w:val="22"/>
                <w:szCs w:val="22"/>
              </w:rPr>
              <w:t xml:space="preserve"> </w:t>
            </w:r>
            <w:r w:rsidR="003D7E3E">
              <w:rPr>
                <w:sz w:val="22"/>
                <w:szCs w:val="22"/>
              </w:rPr>
              <w:fldChar w:fldCharType="begin"/>
            </w:r>
            <w:r w:rsidR="00956746">
              <w:rPr>
                <w:sz w:val="22"/>
                <w:szCs w:val="22"/>
              </w:rPr>
              <w:instrText xml:space="preserve"> ADDIN EN.CITE &lt;EndNote&gt;&lt;Cite&gt;&lt;Author&gt;Sentencing Advisory Council&lt;/Author&gt;&lt;Year&gt;2021&lt;/Year&gt;&lt;RecNum&gt;165&lt;/RecNum&gt;&lt;DisplayText&gt;[64]&lt;/DisplayText&gt;&lt;record&gt;&lt;rec-number&gt;165&lt;/rec-number&gt;&lt;foreign-keys&gt;&lt;key app="EN" db-id="5fz2fzfzg2w2x4efdz3xprvlzezfdv2spstv" timestamp="1679541086"&gt;165&lt;/key&gt;&lt;/foreign-keys&gt;&lt;ref-type name="Report"&gt;27&lt;/ref-type&gt;&lt;contributors&gt;&lt;authors&gt;&lt;author&gt;Sentencing Advisory Council,&lt;/author&gt;&lt;/authors&gt;&lt;/contributors&gt;&lt;titles&gt;&lt;title&gt;&lt;style face="normal" font="default" size="100%"&gt;Review under Section 2 of the &lt;/style&gt;&lt;style face="italic" font="default" size="100%"&gt;Sentencing Amendment (Phasing out of Suspended Sentences) Act 2017&lt;/style&gt;&lt;style face="normal" font="default" size="100%"&gt;. Final Report no. 11.&lt;/style&gt;&lt;/title&gt;&lt;/titles&gt;&lt;dates&gt;&lt;year&gt;2021&lt;/year&gt;&lt;/dates&gt;&lt;pub-location&gt;Hobart, TAS&lt;/pub-location&gt;&lt;publisher&gt;Sentencing Advisory Council&lt;/publisher&gt;&lt;urls&gt;&lt;/urls&gt;&lt;/record&gt;&lt;/Cite&gt;&lt;/EndNote&gt;</w:instrText>
            </w:r>
            <w:r w:rsidR="003D7E3E">
              <w:rPr>
                <w:sz w:val="22"/>
                <w:szCs w:val="22"/>
              </w:rPr>
              <w:fldChar w:fldCharType="separate"/>
            </w:r>
            <w:r w:rsidR="00956746">
              <w:rPr>
                <w:noProof/>
                <w:sz w:val="22"/>
                <w:szCs w:val="22"/>
              </w:rPr>
              <w:t>[64]</w:t>
            </w:r>
            <w:r w:rsidR="003D7E3E">
              <w:rPr>
                <w:sz w:val="22"/>
                <w:szCs w:val="22"/>
              </w:rPr>
              <w:fldChar w:fldCharType="end"/>
            </w:r>
            <w:r w:rsidR="00B542F0">
              <w:rPr>
                <w:sz w:val="22"/>
                <w:szCs w:val="22"/>
              </w:rPr>
              <w:t>.</w:t>
            </w:r>
          </w:p>
        </w:tc>
      </w:tr>
      <w:tr w:rsidR="0044162C" w:rsidRPr="00B542F0" w14:paraId="1096A9C1" w14:textId="77777777" w:rsidTr="0039136B">
        <w:tc>
          <w:tcPr>
            <w:tcW w:w="1985" w:type="dxa"/>
          </w:tcPr>
          <w:p w14:paraId="7D904D33" w14:textId="77777777" w:rsidR="00DB654A" w:rsidRPr="00B542F0" w:rsidRDefault="00DB654A" w:rsidP="00014A2D">
            <w:pPr>
              <w:pStyle w:val="BodyText"/>
              <w:spacing w:before="80" w:after="80"/>
              <w:rPr>
                <w:sz w:val="22"/>
                <w:szCs w:val="22"/>
              </w:rPr>
            </w:pPr>
            <w:bookmarkStart w:id="68" w:name="_Hlk133835830"/>
            <w:bookmarkEnd w:id="67"/>
            <w:r>
              <w:rPr>
                <w:sz w:val="22"/>
                <w:szCs w:val="22"/>
              </w:rPr>
              <w:t>Drug use disorder (DUD)</w:t>
            </w:r>
            <w:bookmarkEnd w:id="68"/>
          </w:p>
        </w:tc>
        <w:tc>
          <w:tcPr>
            <w:tcW w:w="7657" w:type="dxa"/>
          </w:tcPr>
          <w:p w14:paraId="23EE85FB" w14:textId="7B94E2D4" w:rsidR="00DB654A" w:rsidRPr="00B542F0" w:rsidRDefault="00DB654A" w:rsidP="00014A2D">
            <w:pPr>
              <w:pStyle w:val="BodyText"/>
              <w:spacing w:before="80" w:after="80"/>
              <w:rPr>
                <w:sz w:val="22"/>
                <w:szCs w:val="22"/>
              </w:rPr>
            </w:pPr>
            <w:bookmarkStart w:id="69" w:name="_Hlk133835838"/>
            <w:r>
              <w:rPr>
                <w:sz w:val="22"/>
                <w:szCs w:val="22"/>
              </w:rPr>
              <w:t xml:space="preserve">A person has a drug use disorder (also known by the terms ‘problematic drug use’ or ‘high-risk drug user’) when their drug use causes significant distress or harm to the user or those around them </w:t>
            </w:r>
            <w:r>
              <w:rPr>
                <w:sz w:val="22"/>
                <w:szCs w:val="22"/>
              </w:rPr>
              <w:fldChar w:fldCharType="begin"/>
            </w:r>
            <w:r w:rsidR="00956746">
              <w:rPr>
                <w:sz w:val="22"/>
                <w:szCs w:val="22"/>
              </w:rPr>
              <w:instrText xml:space="preserve"> ADDIN EN.CITE &lt;EndNote&gt;&lt;Cite&gt;&lt;Author&gt;Open Arms - Veterans &amp;amp; Families Counselling&lt;/Author&gt;&lt;Year&gt;2019&lt;/Year&gt;&lt;RecNum&gt;175&lt;/RecNum&gt;&lt;DisplayText&gt;[65]&lt;/DisplayText&gt;&lt;record&gt;&lt;rec-number&gt;175&lt;/rec-number&gt;&lt;foreign-keys&gt;&lt;key app="EN" db-id="5fz2fzfzg2w2x4efdz3xprvlzezfdv2spstv" timestamp="1679621069"&gt;175&lt;/key&gt;&lt;/foreign-keys&gt;&lt;ref-type name="Web Page"&gt;12&lt;/ref-type&gt;&lt;contributors&gt;&lt;authors&gt;&lt;author&gt;Open Arms - Veterans &amp;amp; Families Counselling,&lt;/author&gt;&lt;/authors&gt;&lt;/contributors&gt;&lt;titles&gt;&lt;title&gt;Drug use disorders&lt;/title&gt;&lt;tertiary-title&gt;Open Arms&lt;/tertiary-title&gt;&lt;/titles&gt;&lt;number&gt;Retrieved 24th March 2023&lt;/number&gt;&lt;dates&gt;&lt;year&gt;2019&lt;/year&gt;&lt;/dates&gt;&lt;pub-location&gt;Canberra, ACT&lt;/pub-location&gt;&lt;publisher&gt;Australian Government Department of Veterans&amp;apos; Affairs&lt;/publisher&gt;&lt;urls&gt;&lt;related-urls&gt;&lt;url&gt;https://www.openarms.gov.au/signs-symptoms/alcohol-and-substance-use/drug-use-disorders&lt;/url&gt;&lt;/related-urls&gt;&lt;/urls&gt;&lt;/record&gt;&lt;/Cite&gt;&lt;/EndNote&gt;</w:instrText>
            </w:r>
            <w:r>
              <w:rPr>
                <w:sz w:val="22"/>
                <w:szCs w:val="22"/>
              </w:rPr>
              <w:fldChar w:fldCharType="separate"/>
            </w:r>
            <w:r w:rsidR="00956746">
              <w:rPr>
                <w:noProof/>
                <w:sz w:val="22"/>
                <w:szCs w:val="22"/>
              </w:rPr>
              <w:t>[65]</w:t>
            </w:r>
            <w:r>
              <w:rPr>
                <w:sz w:val="22"/>
                <w:szCs w:val="22"/>
              </w:rPr>
              <w:fldChar w:fldCharType="end"/>
            </w:r>
            <w:r>
              <w:rPr>
                <w:sz w:val="22"/>
                <w:szCs w:val="22"/>
              </w:rPr>
              <w:t xml:space="preserve">. </w:t>
            </w:r>
            <w:bookmarkEnd w:id="69"/>
          </w:p>
        </w:tc>
      </w:tr>
      <w:tr w:rsidR="0044162C" w:rsidRPr="0094142B" w14:paraId="65E741DF" w14:textId="77777777" w:rsidTr="0039136B">
        <w:tc>
          <w:tcPr>
            <w:tcW w:w="1985" w:type="dxa"/>
          </w:tcPr>
          <w:p w14:paraId="7EFB1418" w14:textId="77777777" w:rsidR="00DB654A" w:rsidRPr="0094142B" w:rsidRDefault="00DB654A" w:rsidP="00014A2D">
            <w:pPr>
              <w:pStyle w:val="BodyText"/>
              <w:spacing w:before="80" w:after="80"/>
              <w:rPr>
                <w:sz w:val="22"/>
                <w:szCs w:val="22"/>
              </w:rPr>
            </w:pPr>
            <w:bookmarkStart w:id="70" w:name="_Hlk133835848"/>
            <w:r w:rsidRPr="0094142B">
              <w:rPr>
                <w:sz w:val="22"/>
                <w:szCs w:val="22"/>
              </w:rPr>
              <w:t>Intergenerational trauma</w:t>
            </w:r>
            <w:bookmarkEnd w:id="70"/>
          </w:p>
        </w:tc>
        <w:tc>
          <w:tcPr>
            <w:tcW w:w="7657" w:type="dxa"/>
          </w:tcPr>
          <w:p w14:paraId="013EEBC3" w14:textId="7FEEAA3B" w:rsidR="00DB654A" w:rsidRPr="0094142B" w:rsidRDefault="0094142B" w:rsidP="00014A2D">
            <w:pPr>
              <w:pStyle w:val="BodyText"/>
              <w:spacing w:before="80" w:after="80"/>
              <w:rPr>
                <w:sz w:val="22"/>
                <w:szCs w:val="22"/>
              </w:rPr>
            </w:pPr>
            <w:bookmarkStart w:id="71" w:name="_Hlk133835862"/>
            <w:r w:rsidRPr="00080523">
              <w:rPr>
                <w:sz w:val="22"/>
                <w:szCs w:val="22"/>
              </w:rPr>
              <w:t>Trauma refers to physical or emotional harms</w:t>
            </w:r>
            <w:r>
              <w:rPr>
                <w:sz w:val="22"/>
                <w:szCs w:val="22"/>
              </w:rPr>
              <w:t>, which may or may not be directly life-threatening and tha</w:t>
            </w:r>
            <w:r w:rsidRPr="00080523">
              <w:rPr>
                <w:sz w:val="22"/>
                <w:szCs w:val="22"/>
              </w:rPr>
              <w:t xml:space="preserve">t have a lasting and adverse effect. </w:t>
            </w:r>
            <w:r w:rsidR="0044162C">
              <w:rPr>
                <w:sz w:val="22"/>
                <w:szCs w:val="22"/>
              </w:rPr>
              <w:t xml:space="preserve">Violence and abuse are forms of trauma, as is living in poverty. </w:t>
            </w:r>
            <w:r w:rsidRPr="00080523">
              <w:rPr>
                <w:sz w:val="22"/>
                <w:szCs w:val="22"/>
              </w:rPr>
              <w:t>Intergenerational trauma is “psychological trauma transmitted within families and communities”</w:t>
            </w:r>
            <w:r>
              <w:rPr>
                <w:sz w:val="22"/>
                <w:szCs w:val="22"/>
              </w:rPr>
              <w:t xml:space="preserve"> </w:t>
            </w:r>
            <w:r w:rsidRPr="00080523">
              <w:rPr>
                <w:sz w:val="22"/>
                <w:szCs w:val="22"/>
              </w:rPr>
              <w:fldChar w:fldCharType="begin"/>
            </w:r>
            <w:r w:rsidR="00956746">
              <w:rPr>
                <w:sz w:val="22"/>
                <w:szCs w:val="22"/>
              </w:rPr>
              <w:instrText xml:space="preserve"> ADDIN EN.CITE &lt;EndNote&gt;&lt;Cite&gt;&lt;Author&gt;Isobel&lt;/Author&gt;&lt;Year&gt;2018&lt;/Year&gt;&lt;RecNum&gt;286&lt;/RecNum&gt;&lt;DisplayText&gt;[66]&lt;/DisplayText&gt;&lt;record&gt;&lt;rec-number&gt;286&lt;/rec-number&gt;&lt;foreign-keys&gt;&lt;key app="EN" db-id="5fz2fzfzg2w2x4efdz3xprvlzezfdv2spstv" timestamp="1681778668"&gt;286&lt;/key&gt;&lt;/foreign-keys&gt;&lt;ref-type name="Journal Article"&gt;17&lt;/ref-type&gt;&lt;contributors&gt;&lt;authors&gt;&lt;author&gt;Isobel, Sophie&lt;/author&gt;&lt;author&gt;Goodyear, Melinda&lt;/author&gt;&lt;author&gt;Furness, Trentham&lt;/author&gt;&lt;author&gt;Foster, Kim&lt;/author&gt;&lt;/authors&gt;&lt;/contributors&gt;&lt;titles&gt;&lt;title&gt;Preventing intergenerational trauma transmission: A critical interpretive synthesis&lt;/title&gt;&lt;secondary-title&gt;Journal of Clinical Nursing&lt;/secondary-title&gt;&lt;/titles&gt;&lt;periodical&gt;&lt;full-title&gt;Journal of Clinical Nursing&lt;/full-title&gt;&lt;/periodical&gt;&lt;pages&gt;1100-1113&lt;/pages&gt;&lt;volume&gt;28&lt;/volume&gt;&lt;dates&gt;&lt;year&gt;2018&lt;/year&gt;&lt;/dates&gt;&lt;isbn&gt;0962-1067&amp;#xD;1365-2702&lt;/isbn&gt;&lt;label&gt;Decriminalisation&lt;/label&gt;&lt;urls&gt;&lt;/urls&gt;&lt;electronic-resource-num&gt;10.1111/jocn.14735&lt;/electronic-resource-num&gt;&lt;/record&gt;&lt;/Cite&gt;&lt;/EndNote&gt;</w:instrText>
            </w:r>
            <w:r w:rsidRPr="00080523">
              <w:rPr>
                <w:sz w:val="22"/>
                <w:szCs w:val="22"/>
              </w:rPr>
              <w:fldChar w:fldCharType="separate"/>
            </w:r>
            <w:r w:rsidR="00956746">
              <w:rPr>
                <w:noProof/>
                <w:sz w:val="22"/>
                <w:szCs w:val="22"/>
              </w:rPr>
              <w:t>[66]</w:t>
            </w:r>
            <w:r w:rsidRPr="00080523">
              <w:rPr>
                <w:sz w:val="22"/>
                <w:szCs w:val="22"/>
              </w:rPr>
              <w:fldChar w:fldCharType="end"/>
            </w:r>
            <w:bookmarkEnd w:id="71"/>
            <w:r>
              <w:rPr>
                <w:sz w:val="22"/>
                <w:szCs w:val="22"/>
              </w:rPr>
              <w:t>.</w:t>
            </w:r>
          </w:p>
        </w:tc>
      </w:tr>
      <w:tr w:rsidR="0044162C" w:rsidRPr="00B542F0" w14:paraId="48744ED9" w14:textId="77777777" w:rsidTr="0039136B">
        <w:tc>
          <w:tcPr>
            <w:tcW w:w="1985" w:type="dxa"/>
          </w:tcPr>
          <w:p w14:paraId="73D70464" w14:textId="77777777" w:rsidR="00DB654A" w:rsidRPr="00B542F0" w:rsidRDefault="00DB654A" w:rsidP="00014A2D">
            <w:pPr>
              <w:pStyle w:val="BodyText"/>
              <w:spacing w:before="80" w:after="80"/>
              <w:rPr>
                <w:sz w:val="22"/>
                <w:szCs w:val="22"/>
              </w:rPr>
            </w:pPr>
            <w:bookmarkStart w:id="72" w:name="_Hlk133835874"/>
            <w:r w:rsidRPr="00B542F0">
              <w:rPr>
                <w:sz w:val="22"/>
                <w:szCs w:val="22"/>
              </w:rPr>
              <w:t>Marginalisation</w:t>
            </w:r>
            <w:bookmarkEnd w:id="72"/>
          </w:p>
        </w:tc>
        <w:tc>
          <w:tcPr>
            <w:tcW w:w="7657" w:type="dxa"/>
          </w:tcPr>
          <w:p w14:paraId="1AD069B7" w14:textId="77777777" w:rsidR="00DB654A" w:rsidRPr="00B542F0" w:rsidRDefault="00DB654A" w:rsidP="00014A2D">
            <w:pPr>
              <w:pStyle w:val="BodyText"/>
              <w:spacing w:before="80" w:after="80"/>
              <w:rPr>
                <w:sz w:val="22"/>
                <w:szCs w:val="22"/>
              </w:rPr>
            </w:pPr>
            <w:bookmarkStart w:id="73" w:name="_Hlk133835882"/>
            <w:r w:rsidRPr="00B542F0">
              <w:rPr>
                <w:sz w:val="22"/>
                <w:szCs w:val="22"/>
              </w:rPr>
              <w:t xml:space="preserve">People can be pushed to the margins (or edges) of society by characteristics that they may be unable to alter, or because of a mismatch between their culture or beliefs and those of more powerful people. Marginalisation is a result of </w:t>
            </w:r>
            <w:r w:rsidRPr="00B542F0">
              <w:rPr>
                <w:b/>
                <w:bCs/>
                <w:color w:val="31849B" w:themeColor="accent5" w:themeShade="BF"/>
                <w:sz w:val="22"/>
                <w:szCs w:val="22"/>
              </w:rPr>
              <w:t>discrimination</w:t>
            </w:r>
            <w:r w:rsidRPr="00B542F0">
              <w:rPr>
                <w:sz w:val="22"/>
                <w:szCs w:val="22"/>
              </w:rPr>
              <w:t xml:space="preserve">. </w:t>
            </w:r>
            <w:bookmarkEnd w:id="73"/>
          </w:p>
        </w:tc>
      </w:tr>
      <w:tr w:rsidR="0044162C" w:rsidRPr="00B542F0" w14:paraId="1B9A5727" w14:textId="77777777" w:rsidTr="0039136B">
        <w:tc>
          <w:tcPr>
            <w:tcW w:w="1985" w:type="dxa"/>
          </w:tcPr>
          <w:p w14:paraId="3101AB9B" w14:textId="77777777" w:rsidR="00DB654A" w:rsidRPr="00B542F0" w:rsidRDefault="00DB654A" w:rsidP="00014A2D">
            <w:pPr>
              <w:pStyle w:val="BodyText"/>
              <w:spacing w:before="80" w:after="80"/>
              <w:rPr>
                <w:sz w:val="22"/>
                <w:szCs w:val="22"/>
              </w:rPr>
            </w:pPr>
            <w:bookmarkStart w:id="74" w:name="_Hlk133835891"/>
            <w:r w:rsidRPr="00B542F0">
              <w:rPr>
                <w:sz w:val="22"/>
                <w:szCs w:val="22"/>
              </w:rPr>
              <w:t>Moral injury</w:t>
            </w:r>
            <w:bookmarkEnd w:id="74"/>
          </w:p>
        </w:tc>
        <w:tc>
          <w:tcPr>
            <w:tcW w:w="7657" w:type="dxa"/>
          </w:tcPr>
          <w:p w14:paraId="28212BCE" w14:textId="359EA22C" w:rsidR="00DB654A" w:rsidRPr="00B542F0" w:rsidRDefault="00DB654A" w:rsidP="00014A2D">
            <w:pPr>
              <w:pStyle w:val="BodyText"/>
              <w:spacing w:before="80" w:after="80"/>
              <w:rPr>
                <w:sz w:val="22"/>
                <w:szCs w:val="22"/>
              </w:rPr>
            </w:pPr>
            <w:bookmarkStart w:id="75" w:name="_Hlk133835903"/>
            <w:r w:rsidRPr="00B542F0">
              <w:rPr>
                <w:sz w:val="22"/>
                <w:szCs w:val="22"/>
              </w:rPr>
              <w:t xml:space="preserve">Moral injury can happen when one is “Perpetrating, failing to prevent, bearing witness to, or learning about acts that transgress deeply held moral beliefs and expectations” </w:t>
            </w:r>
            <w:r w:rsidRPr="00B542F0">
              <w:rPr>
                <w:sz w:val="22"/>
                <w:szCs w:val="22"/>
              </w:rPr>
              <w:fldChar w:fldCharType="begin"/>
            </w:r>
            <w:r w:rsidR="00956746">
              <w:rPr>
                <w:sz w:val="22"/>
                <w:szCs w:val="22"/>
              </w:rPr>
              <w:instrText xml:space="preserve"> ADDIN EN.CITE &lt;EndNote&gt;&lt;Cite&gt;&lt;Author&gt;Litz&lt;/Author&gt;&lt;Year&gt;2009&lt;/Year&gt;&lt;RecNum&gt;138&lt;/RecNum&gt;&lt;Pages&gt;697&lt;/Pages&gt;&lt;DisplayText&gt;[60]&lt;/DisplayText&gt;&lt;record&gt;&lt;rec-number&gt;138&lt;/rec-number&gt;&lt;foreign-keys&gt;&lt;key app="EN" db-id="5fz2fzfzg2w2x4efdz3xprvlzezfdv2spstv" timestamp="1679011100"&gt;138&lt;/key&gt;&lt;/foreign-keys&gt;&lt;ref-type name="Journal Article"&gt;17&lt;/ref-type&gt;&lt;contributors&gt;&lt;authors&gt;&lt;author&gt;Litz, Brett T.&lt;/author&gt;&lt;author&gt;Stein, Nathan&lt;/author&gt;&lt;author&gt;Delaney, Eileen&lt;/author&gt;&lt;author&gt;Lebowitz, Leslie&lt;/author&gt;&lt;author&gt;Nash, William P.&lt;/author&gt;&lt;author&gt;Silva, Caroline&lt;/author&gt;&lt;author&gt;Maguen, Shira&lt;/author&gt;&lt;/authors&gt;&lt;/contributors&gt;&lt;titles&gt;&lt;title&gt;Moral injury and moral repair in war veterans: A preliminary model and intervention strategy&lt;/title&gt;&lt;secondary-title&gt;Clinical Psychology Review&lt;/secondary-title&gt;&lt;/titles&gt;&lt;periodical&gt;&lt;full-title&gt;Clinical Psychology Review&lt;/full-title&gt;&lt;/periodical&gt;&lt;pages&gt;695-706&lt;/pages&gt;&lt;volume&gt;29&lt;/volume&gt;&lt;number&gt;8&lt;/number&gt;&lt;section&gt;695&lt;/section&gt;&lt;dates&gt;&lt;year&gt;2009&lt;/year&gt;&lt;/dates&gt;&lt;isbn&gt;02727358&lt;/isbn&gt;&lt;urls&gt;&lt;/urls&gt;&lt;electronic-resource-num&gt;10.1016/j.cpr.2009.07.003&lt;/electronic-resource-num&gt;&lt;/record&gt;&lt;/Cite&gt;&lt;/EndNote&gt;</w:instrText>
            </w:r>
            <w:r w:rsidRPr="00B542F0">
              <w:rPr>
                <w:sz w:val="22"/>
                <w:szCs w:val="22"/>
              </w:rPr>
              <w:fldChar w:fldCharType="separate"/>
            </w:r>
            <w:r w:rsidR="00956746">
              <w:rPr>
                <w:noProof/>
                <w:sz w:val="22"/>
                <w:szCs w:val="22"/>
              </w:rPr>
              <w:t>[60]</w:t>
            </w:r>
            <w:r w:rsidRPr="00B542F0">
              <w:rPr>
                <w:sz w:val="22"/>
                <w:szCs w:val="22"/>
              </w:rPr>
              <w:fldChar w:fldCharType="end"/>
            </w:r>
            <w:bookmarkEnd w:id="75"/>
            <w:r w:rsidRPr="00B542F0">
              <w:rPr>
                <w:sz w:val="22"/>
                <w:szCs w:val="22"/>
              </w:rPr>
              <w:t>.</w:t>
            </w:r>
          </w:p>
        </w:tc>
      </w:tr>
      <w:tr w:rsidR="0044162C" w:rsidRPr="00B542F0" w14:paraId="3D30E88F" w14:textId="77777777" w:rsidTr="0039136B">
        <w:tc>
          <w:tcPr>
            <w:tcW w:w="1985" w:type="dxa"/>
          </w:tcPr>
          <w:p w14:paraId="0B0E3A6E" w14:textId="77777777" w:rsidR="00DB654A" w:rsidRPr="00B542F0" w:rsidRDefault="00DB654A" w:rsidP="00014A2D">
            <w:pPr>
              <w:pStyle w:val="BodyText"/>
              <w:spacing w:before="80" w:after="80"/>
              <w:rPr>
                <w:sz w:val="22"/>
                <w:szCs w:val="22"/>
              </w:rPr>
            </w:pPr>
            <w:bookmarkStart w:id="76" w:name="_Hlk133835917"/>
            <w:r w:rsidRPr="00B542F0">
              <w:rPr>
                <w:sz w:val="22"/>
                <w:szCs w:val="22"/>
              </w:rPr>
              <w:t>Naloxone</w:t>
            </w:r>
            <w:bookmarkEnd w:id="76"/>
          </w:p>
        </w:tc>
        <w:tc>
          <w:tcPr>
            <w:tcW w:w="7657" w:type="dxa"/>
          </w:tcPr>
          <w:p w14:paraId="3BE43779" w14:textId="77777777" w:rsidR="00DB654A" w:rsidRPr="00B542F0" w:rsidRDefault="00DB654A" w:rsidP="00014A2D">
            <w:pPr>
              <w:pStyle w:val="BodyText"/>
              <w:spacing w:before="80" w:after="80"/>
              <w:rPr>
                <w:sz w:val="22"/>
                <w:szCs w:val="22"/>
              </w:rPr>
            </w:pPr>
            <w:bookmarkStart w:id="77" w:name="_Hlk133835926"/>
            <w:r w:rsidRPr="00B542F0">
              <w:rPr>
                <w:sz w:val="22"/>
                <w:szCs w:val="22"/>
              </w:rPr>
              <w:t xml:space="preserve">Naloxone is an “opioid antagonist”, used to reverse the effects of opioids. Its main </w:t>
            </w:r>
            <w:r w:rsidR="005E6607">
              <w:rPr>
                <w:sz w:val="22"/>
                <w:szCs w:val="22"/>
              </w:rPr>
              <w:t>application</w:t>
            </w:r>
            <w:r w:rsidR="005E6607" w:rsidRPr="00B542F0">
              <w:rPr>
                <w:sz w:val="22"/>
                <w:szCs w:val="22"/>
              </w:rPr>
              <w:t xml:space="preserve"> </w:t>
            </w:r>
            <w:r w:rsidRPr="00B542F0">
              <w:rPr>
                <w:sz w:val="22"/>
                <w:szCs w:val="22"/>
              </w:rPr>
              <w:t xml:space="preserve">is in temporarily reversing overdose. This enables responders to seek urgent medical help. Naloxone is available, free of charge, in Tasmanian </w:t>
            </w:r>
            <w:r w:rsidRPr="00B542F0">
              <w:rPr>
                <w:b/>
                <w:color w:val="31849B" w:themeColor="accent5" w:themeShade="BF"/>
                <w:sz w:val="22"/>
                <w:szCs w:val="22"/>
              </w:rPr>
              <w:t>needle and syringe program (NSP)</w:t>
            </w:r>
            <w:r w:rsidRPr="00B542F0">
              <w:rPr>
                <w:color w:val="31849B" w:themeColor="accent5" w:themeShade="BF"/>
                <w:sz w:val="22"/>
                <w:szCs w:val="22"/>
              </w:rPr>
              <w:t xml:space="preserve"> </w:t>
            </w:r>
            <w:r w:rsidRPr="00B542F0">
              <w:rPr>
                <w:sz w:val="22"/>
                <w:szCs w:val="22"/>
              </w:rPr>
              <w:t xml:space="preserve">outlets. </w:t>
            </w:r>
            <w:bookmarkEnd w:id="77"/>
          </w:p>
        </w:tc>
      </w:tr>
      <w:tr w:rsidR="0044162C" w:rsidRPr="00B542F0" w14:paraId="5071E70F" w14:textId="77777777" w:rsidTr="0039136B">
        <w:tc>
          <w:tcPr>
            <w:tcW w:w="1985" w:type="dxa"/>
          </w:tcPr>
          <w:p w14:paraId="18569A5B" w14:textId="77777777" w:rsidR="00DB654A" w:rsidRPr="00B542F0" w:rsidRDefault="00DB654A" w:rsidP="00014A2D">
            <w:pPr>
              <w:pStyle w:val="BodyText"/>
              <w:spacing w:before="80" w:after="80"/>
              <w:rPr>
                <w:sz w:val="22"/>
                <w:szCs w:val="22"/>
              </w:rPr>
            </w:pPr>
            <w:bookmarkStart w:id="78" w:name="_Hlk133835940"/>
            <w:bookmarkStart w:id="79" w:name="_Hlk133835952"/>
            <w:r w:rsidRPr="00B542F0">
              <w:rPr>
                <w:sz w:val="22"/>
                <w:szCs w:val="22"/>
              </w:rPr>
              <w:t>Needle and syringe program (NSP)</w:t>
            </w:r>
            <w:bookmarkEnd w:id="78"/>
          </w:p>
        </w:tc>
        <w:tc>
          <w:tcPr>
            <w:tcW w:w="7657" w:type="dxa"/>
          </w:tcPr>
          <w:p w14:paraId="4D6C57D2" w14:textId="77777777" w:rsidR="00DB654A" w:rsidRPr="00B542F0" w:rsidRDefault="00DB654A" w:rsidP="00014A2D">
            <w:pPr>
              <w:pStyle w:val="BodyText"/>
              <w:spacing w:before="80" w:after="80"/>
              <w:rPr>
                <w:sz w:val="22"/>
                <w:szCs w:val="22"/>
              </w:rPr>
            </w:pPr>
            <w:r w:rsidRPr="00B542F0">
              <w:rPr>
                <w:sz w:val="22"/>
                <w:szCs w:val="22"/>
              </w:rPr>
              <w:t xml:space="preserve">The needle and syringe program </w:t>
            </w:r>
            <w:proofErr w:type="gramStart"/>
            <w:r w:rsidRPr="00B542F0">
              <w:rPr>
                <w:sz w:val="22"/>
                <w:szCs w:val="22"/>
              </w:rPr>
              <w:t>is</w:t>
            </w:r>
            <w:proofErr w:type="gramEnd"/>
            <w:r w:rsidRPr="00B542F0">
              <w:rPr>
                <w:sz w:val="22"/>
                <w:szCs w:val="22"/>
              </w:rPr>
              <w:t xml:space="preserve"> a Department of Health service that provides a range of information and equipment to people who inject drugs. </w:t>
            </w:r>
          </w:p>
        </w:tc>
      </w:tr>
      <w:tr w:rsidR="0044162C" w:rsidRPr="00B542F0" w14:paraId="5CB644D2" w14:textId="77777777" w:rsidTr="0039136B">
        <w:tc>
          <w:tcPr>
            <w:tcW w:w="1985" w:type="dxa"/>
          </w:tcPr>
          <w:p w14:paraId="3CBA0723" w14:textId="77777777" w:rsidR="00DB654A" w:rsidRPr="00B542F0" w:rsidRDefault="00DB654A" w:rsidP="00014A2D">
            <w:pPr>
              <w:pStyle w:val="BodyText"/>
              <w:spacing w:before="80" w:after="80"/>
              <w:rPr>
                <w:sz w:val="22"/>
                <w:szCs w:val="22"/>
              </w:rPr>
            </w:pPr>
            <w:bookmarkStart w:id="80" w:name="_Hlk133835957"/>
            <w:bookmarkStart w:id="81" w:name="_Hlk133835967"/>
            <w:bookmarkEnd w:id="79"/>
            <w:r w:rsidRPr="00B542F0">
              <w:rPr>
                <w:sz w:val="22"/>
                <w:szCs w:val="22"/>
              </w:rPr>
              <w:t>Recidivism</w:t>
            </w:r>
            <w:bookmarkEnd w:id="80"/>
          </w:p>
        </w:tc>
        <w:tc>
          <w:tcPr>
            <w:tcW w:w="7657" w:type="dxa"/>
          </w:tcPr>
          <w:p w14:paraId="47B097A4" w14:textId="77777777" w:rsidR="00DB654A" w:rsidRPr="00B542F0" w:rsidRDefault="00DB654A" w:rsidP="00014A2D">
            <w:pPr>
              <w:pStyle w:val="BodyText"/>
              <w:spacing w:before="80" w:after="80"/>
              <w:rPr>
                <w:sz w:val="22"/>
                <w:szCs w:val="22"/>
              </w:rPr>
            </w:pPr>
            <w:r w:rsidRPr="00B542F0">
              <w:rPr>
                <w:sz w:val="22"/>
                <w:szCs w:val="22"/>
              </w:rPr>
              <w:t>Recidivism is another word for reoffending, or returning to criminal behaviour.</w:t>
            </w:r>
            <w:r>
              <w:rPr>
                <w:sz w:val="22"/>
                <w:szCs w:val="22"/>
              </w:rPr>
              <w:t xml:space="preserve"> </w:t>
            </w:r>
          </w:p>
        </w:tc>
      </w:tr>
      <w:tr w:rsidR="0044162C" w:rsidRPr="00B542F0" w14:paraId="243233F6" w14:textId="77777777" w:rsidTr="0039136B">
        <w:tc>
          <w:tcPr>
            <w:tcW w:w="1985" w:type="dxa"/>
          </w:tcPr>
          <w:p w14:paraId="577B08C0" w14:textId="77777777" w:rsidR="00DB654A" w:rsidRPr="00B542F0" w:rsidRDefault="00DB654A" w:rsidP="00014A2D">
            <w:pPr>
              <w:pStyle w:val="BodyText"/>
              <w:spacing w:before="80" w:after="80"/>
              <w:rPr>
                <w:sz w:val="22"/>
                <w:szCs w:val="22"/>
              </w:rPr>
            </w:pPr>
            <w:bookmarkStart w:id="82" w:name="_Hlk133835974"/>
            <w:bookmarkStart w:id="83" w:name="_Hlk133835983"/>
            <w:bookmarkEnd w:id="81"/>
            <w:r w:rsidRPr="00B542F0">
              <w:rPr>
                <w:sz w:val="22"/>
                <w:szCs w:val="22"/>
              </w:rPr>
              <w:t>Restorative justice</w:t>
            </w:r>
            <w:bookmarkEnd w:id="82"/>
          </w:p>
        </w:tc>
        <w:tc>
          <w:tcPr>
            <w:tcW w:w="7657" w:type="dxa"/>
          </w:tcPr>
          <w:p w14:paraId="260B8D23" w14:textId="59D726B3" w:rsidR="00DB654A" w:rsidRPr="00B542F0" w:rsidRDefault="00DB654A" w:rsidP="00014A2D">
            <w:pPr>
              <w:pStyle w:val="BodyText"/>
              <w:spacing w:before="80" w:after="80"/>
              <w:rPr>
                <w:sz w:val="22"/>
                <w:szCs w:val="22"/>
              </w:rPr>
            </w:pPr>
            <w:r w:rsidRPr="00B542F0">
              <w:rPr>
                <w:sz w:val="22"/>
                <w:szCs w:val="22"/>
              </w:rPr>
              <w:t xml:space="preserve">Restorative justice is informed by Indigenous </w:t>
            </w:r>
            <w:r w:rsidR="00242CCA">
              <w:rPr>
                <w:sz w:val="22"/>
                <w:szCs w:val="22"/>
              </w:rPr>
              <w:t xml:space="preserve">and other </w:t>
            </w:r>
            <w:r w:rsidRPr="00B542F0">
              <w:rPr>
                <w:sz w:val="22"/>
                <w:szCs w:val="22"/>
              </w:rPr>
              <w:t>approaches in which the aim is to “repair and restore the relationships and community affected by an offence”</w:t>
            </w:r>
            <w:r>
              <w:rPr>
                <w:sz w:val="22"/>
                <w:szCs w:val="22"/>
              </w:rPr>
              <w:t xml:space="preserve"> </w:t>
            </w:r>
            <w:r>
              <w:rPr>
                <w:sz w:val="22"/>
                <w:szCs w:val="22"/>
              </w:rPr>
              <w:fldChar w:fldCharType="begin"/>
            </w:r>
            <w:r w:rsidR="00956746">
              <w:rPr>
                <w:sz w:val="22"/>
                <w:szCs w:val="22"/>
              </w:rPr>
              <w:instrText xml:space="preserve"> ADDIN EN.CITE &lt;EndNote&gt;&lt;Cite&gt;&lt;Author&gt;Weaver&lt;/Author&gt;&lt;Year&gt;2014&lt;/Year&gt;&lt;RecNum&gt;157&lt;/RecNum&gt;&lt;Pages&gt;116&lt;/Pages&gt;&lt;DisplayText&gt;[67]&lt;/DisplayText&gt;&lt;record&gt;&lt;rec-number&gt;157&lt;/rec-number&gt;&lt;foreign-keys&gt;&lt;key app="EN" db-id="5fz2fzfzg2w2x4efdz3xprvlzezfdv2spstv" timestamp="1679529812"&gt;157&lt;/key&gt;&lt;/foreign-keys&gt;&lt;ref-type name="Book Section"&gt;5&lt;/ref-type&gt;&lt;contributors&gt;&lt;authors&gt;&lt;author&gt;Weaver, Hilary N.&lt;/author&gt;&lt;/authors&gt;&lt;secondary-authors&gt;&lt;author&gt;Reisch, Michael&lt;/author&gt;&lt;/secondary-authors&gt;&lt;/contributors&gt;&lt;titles&gt;&lt;title&gt;Indigenous struggles for justice&lt;/title&gt;&lt;secondary-title&gt;The Routledge International Handbook of Social Justice &lt;/secondary-title&gt;&lt;/titles&gt;&lt;pages&gt;111-122&lt;/pages&gt;&lt;section&gt;8&lt;/section&gt;&lt;dates&gt;&lt;year&gt;2014&lt;/year&gt;&lt;/dates&gt;&lt;pub-location&gt;London&lt;/pub-location&gt;&lt;publisher&gt;Routledge&lt;/publisher&gt;&lt;urls&gt;&lt;/urls&gt;&lt;/record&gt;&lt;/Cite&gt;&lt;/EndNote&gt;</w:instrText>
            </w:r>
            <w:r>
              <w:rPr>
                <w:sz w:val="22"/>
                <w:szCs w:val="22"/>
              </w:rPr>
              <w:fldChar w:fldCharType="separate"/>
            </w:r>
            <w:r w:rsidR="00956746">
              <w:rPr>
                <w:noProof/>
                <w:sz w:val="22"/>
                <w:szCs w:val="22"/>
              </w:rPr>
              <w:t>[67]</w:t>
            </w:r>
            <w:r>
              <w:rPr>
                <w:sz w:val="22"/>
                <w:szCs w:val="22"/>
              </w:rPr>
              <w:fldChar w:fldCharType="end"/>
            </w:r>
            <w:r w:rsidRPr="00B542F0">
              <w:rPr>
                <w:sz w:val="22"/>
                <w:szCs w:val="22"/>
              </w:rPr>
              <w:t xml:space="preserve">. Offenders acknowledge the harms caused by their actions and work with community to be reintegrated and to restore the community to health. </w:t>
            </w:r>
          </w:p>
        </w:tc>
      </w:tr>
      <w:tr w:rsidR="0044162C" w:rsidRPr="00B542F0" w14:paraId="242A0348" w14:textId="77777777" w:rsidTr="0039136B">
        <w:tc>
          <w:tcPr>
            <w:tcW w:w="1985" w:type="dxa"/>
          </w:tcPr>
          <w:p w14:paraId="35001958" w14:textId="77777777" w:rsidR="00DB654A" w:rsidRPr="00B542F0" w:rsidRDefault="00DB654A" w:rsidP="00014A2D">
            <w:pPr>
              <w:pStyle w:val="BodyText"/>
              <w:spacing w:before="80" w:after="80"/>
              <w:rPr>
                <w:sz w:val="22"/>
                <w:szCs w:val="22"/>
              </w:rPr>
            </w:pPr>
            <w:bookmarkStart w:id="84" w:name="_Hlk133835992"/>
            <w:bookmarkEnd w:id="83"/>
            <w:r w:rsidRPr="00B542F0">
              <w:rPr>
                <w:sz w:val="22"/>
                <w:szCs w:val="22"/>
              </w:rPr>
              <w:t>Therapeutic jurisprudence</w:t>
            </w:r>
            <w:bookmarkEnd w:id="84"/>
          </w:p>
        </w:tc>
        <w:tc>
          <w:tcPr>
            <w:tcW w:w="7657" w:type="dxa"/>
          </w:tcPr>
          <w:p w14:paraId="5FD9088D" w14:textId="4B569DE1" w:rsidR="00DB654A" w:rsidRPr="00B542F0" w:rsidRDefault="00DB654A" w:rsidP="00014A2D">
            <w:pPr>
              <w:pStyle w:val="BodyText"/>
              <w:spacing w:before="80" w:after="80"/>
              <w:rPr>
                <w:sz w:val="22"/>
                <w:szCs w:val="22"/>
              </w:rPr>
            </w:pPr>
            <w:bookmarkStart w:id="85" w:name="_Hlk133836003"/>
            <w:r w:rsidRPr="00B542F0">
              <w:rPr>
                <w:sz w:val="22"/>
                <w:szCs w:val="22"/>
              </w:rPr>
              <w:t xml:space="preserve">Therapeutic justice is a form of </w:t>
            </w:r>
            <w:r w:rsidRPr="00B542F0">
              <w:rPr>
                <w:b/>
                <w:bCs/>
                <w:color w:val="31849B" w:themeColor="accent5" w:themeShade="BF"/>
                <w:sz w:val="22"/>
                <w:szCs w:val="22"/>
              </w:rPr>
              <w:t>restorative justice</w:t>
            </w:r>
            <w:r w:rsidRPr="00B542F0">
              <w:rPr>
                <w:sz w:val="22"/>
                <w:szCs w:val="22"/>
              </w:rPr>
              <w:t>. It is a way of using the law to “prevent conflict, promote procedural fairness, facilitate mediation, protect crime victims, and promote alternative dispute resolution”</w:t>
            </w:r>
            <w:r>
              <w:rPr>
                <w:sz w:val="22"/>
                <w:szCs w:val="22"/>
              </w:rPr>
              <w:t xml:space="preserve"> </w:t>
            </w:r>
            <w:r>
              <w:rPr>
                <w:sz w:val="22"/>
                <w:szCs w:val="22"/>
              </w:rPr>
              <w:fldChar w:fldCharType="begin"/>
            </w:r>
            <w:r w:rsidR="00956746">
              <w:rPr>
                <w:sz w:val="22"/>
                <w:szCs w:val="22"/>
              </w:rPr>
              <w:instrText xml:space="preserve"> ADDIN EN.CITE &lt;EndNote&gt;&lt;Cite&gt;&lt;Author&gt;Reamer&lt;/Author&gt;&lt;Year&gt;2014&lt;/Year&gt;&lt;RecNum&gt;158&lt;/RecNum&gt;&lt;Pages&gt;281&lt;/Pages&gt;&lt;DisplayText&gt;[68]&lt;/DisplayText&gt;&lt;record&gt;&lt;rec-number&gt;158&lt;/rec-number&gt;&lt;foreign-keys&gt;&lt;key app="EN" db-id="5fz2fzfzg2w2x4efdz3xprvlzezfdv2spstv" timestamp="1679529870"&gt;158&lt;/key&gt;&lt;/foreign-keys&gt;&lt;ref-type name="Book Section"&gt;5&lt;/ref-type&gt;&lt;contributors&gt;&lt;authors&gt;&lt;author&gt;Reamer, F. G.&lt;/author&gt;&lt;/authors&gt;&lt;secondary-authors&gt;&lt;author&gt;Reisch, Michael&lt;/author&gt;&lt;/secondary-authors&gt;&lt;/contributors&gt;&lt;titles&gt;&lt;title&gt;Social justice and criminal justice&lt;/title&gt;&lt;secondary-title&gt;The Routledge International Handbook of Social Justice &lt;/secondary-title&gt;&lt;/titles&gt;&lt;pages&gt;269-285&lt;/pages&gt;&lt;section&gt;18&lt;/section&gt;&lt;dates&gt;&lt;year&gt;2014&lt;/year&gt;&lt;/dates&gt;&lt;pub-location&gt;London&lt;/pub-location&gt;&lt;publisher&gt;Routledge&lt;/publisher&gt;&lt;urls&gt;&lt;/urls&gt;&lt;/record&gt;&lt;/Cite&gt;&lt;/EndNote&gt;</w:instrText>
            </w:r>
            <w:r>
              <w:rPr>
                <w:sz w:val="22"/>
                <w:szCs w:val="22"/>
              </w:rPr>
              <w:fldChar w:fldCharType="separate"/>
            </w:r>
            <w:r w:rsidR="00956746">
              <w:rPr>
                <w:noProof/>
                <w:sz w:val="22"/>
                <w:szCs w:val="22"/>
              </w:rPr>
              <w:t>[68]</w:t>
            </w:r>
            <w:r>
              <w:rPr>
                <w:sz w:val="22"/>
                <w:szCs w:val="22"/>
              </w:rPr>
              <w:fldChar w:fldCharType="end"/>
            </w:r>
            <w:r w:rsidRPr="00B542F0">
              <w:rPr>
                <w:sz w:val="22"/>
                <w:szCs w:val="22"/>
              </w:rPr>
              <w:t xml:space="preserve">. </w:t>
            </w:r>
            <w:bookmarkEnd w:id="85"/>
          </w:p>
        </w:tc>
      </w:tr>
      <w:tr w:rsidR="0044162C" w:rsidRPr="00B542F0" w14:paraId="34C1E22E" w14:textId="77777777" w:rsidTr="0039136B">
        <w:tc>
          <w:tcPr>
            <w:tcW w:w="1985" w:type="dxa"/>
          </w:tcPr>
          <w:p w14:paraId="7ACCB6DF" w14:textId="77777777" w:rsidR="00DB654A" w:rsidRPr="00B542F0" w:rsidRDefault="00DB654A" w:rsidP="00014A2D">
            <w:pPr>
              <w:pStyle w:val="BodyText"/>
              <w:spacing w:before="80" w:after="80"/>
              <w:rPr>
                <w:sz w:val="22"/>
                <w:szCs w:val="22"/>
              </w:rPr>
            </w:pPr>
            <w:bookmarkStart w:id="86" w:name="_Hlk133836016"/>
            <w:bookmarkStart w:id="87" w:name="_Hlk133836028"/>
            <w:r w:rsidRPr="00B542F0">
              <w:rPr>
                <w:sz w:val="22"/>
                <w:szCs w:val="22"/>
              </w:rPr>
              <w:t>Social determinants of health</w:t>
            </w:r>
            <w:bookmarkEnd w:id="86"/>
          </w:p>
        </w:tc>
        <w:tc>
          <w:tcPr>
            <w:tcW w:w="7657" w:type="dxa"/>
          </w:tcPr>
          <w:p w14:paraId="1A90816D" w14:textId="1AC1ECC4" w:rsidR="00DB654A" w:rsidRPr="00B542F0" w:rsidRDefault="00DB654A" w:rsidP="00014A2D">
            <w:pPr>
              <w:pStyle w:val="BodyText"/>
              <w:spacing w:before="80" w:after="80"/>
              <w:rPr>
                <w:sz w:val="22"/>
                <w:szCs w:val="22"/>
              </w:rPr>
            </w:pPr>
            <w:r w:rsidRPr="00B542F0">
              <w:rPr>
                <w:sz w:val="22"/>
                <w:szCs w:val="22"/>
              </w:rPr>
              <w:t xml:space="preserve">The social determinants of health are the conditions in which we are born, grow and age, and in which we live and work. They impact upon our health and wellbeing and have been identified as: childhood experiences, housing, education, social supports, family income, meaningful employment, communities and access to health services. These determinants are also called </w:t>
            </w:r>
            <w:r w:rsidRPr="00B542F0">
              <w:rPr>
                <w:b/>
                <w:bCs/>
                <w:color w:val="31849B" w:themeColor="accent5" w:themeShade="BF"/>
                <w:sz w:val="22"/>
                <w:szCs w:val="22"/>
              </w:rPr>
              <w:t>upstream</w:t>
            </w:r>
            <w:r w:rsidRPr="00B542F0">
              <w:rPr>
                <w:sz w:val="22"/>
                <w:szCs w:val="22"/>
              </w:rPr>
              <w:t xml:space="preserve"> factors </w:t>
            </w:r>
            <w:r w:rsidRPr="00B542F0">
              <w:rPr>
                <w:sz w:val="22"/>
                <w:szCs w:val="22"/>
              </w:rPr>
              <w:fldChar w:fldCharType="begin"/>
            </w:r>
            <w:r w:rsidR="00956746">
              <w:rPr>
                <w:sz w:val="22"/>
                <w:szCs w:val="22"/>
              </w:rPr>
              <w:instrText xml:space="preserve"> ADDIN EN.CITE &lt;EndNote&gt;&lt;Cite&gt;&lt;Author&gt;Marmot&lt;/Author&gt;&lt;Year&gt;2005&lt;/Year&gt;&lt;RecNum&gt;132&lt;/RecNum&gt;&lt;DisplayText&gt;[69-71]&lt;/DisplayText&gt;&lt;record&gt;&lt;rec-number&gt;132&lt;/rec-number&gt;&lt;foreign-keys&gt;&lt;key app="EN" db-id="5fz2fzfzg2w2x4efdz3xprvlzezfdv2spstv" timestamp="1678945742"&gt;132&lt;/key&gt;&lt;/foreign-keys&gt;&lt;ref-type name="Book"&gt;6&lt;/ref-type&gt;&lt;contributors&gt;&lt;authors&gt;&lt;author&gt;Marmot, Michael&lt;/author&gt;&lt;author&gt;Wilkinson, Richard G.&lt;/author&gt;&lt;/authors&gt;&lt;/contributors&gt;&lt;titles&gt;&lt;title&gt;The Social Determinants of Health&lt;/title&gt;&lt;/titles&gt;&lt;dates&gt;&lt;year&gt;2005&lt;/year&gt;&lt;/dates&gt;&lt;pub-location&gt;Oxford&lt;/pub-location&gt;&lt;publisher&gt;Oxford University Press&lt;/publisher&gt;&lt;urls&gt;&lt;/urls&gt;&lt;/record&gt;&lt;/Cite&gt;&lt;Cite&gt;&lt;Author&gt;Strother Ratcliffe&lt;/Author&gt;&lt;Year&gt;2017&lt;/Year&gt;&lt;RecNum&gt;133&lt;/RecNum&gt;&lt;record&gt;&lt;rec-number&gt;133&lt;/rec-number&gt;&lt;foreign-keys&gt;&lt;key app="EN" db-id="5fz2fzfzg2w2x4efdz3xprvlzezfdv2spstv" timestamp="1678945950"&gt;133&lt;/key&gt;&lt;/foreign-keys&gt;&lt;ref-type name="Book"&gt;6&lt;/ref-type&gt;&lt;contributors&gt;&lt;authors&gt;&lt;author&gt;Strother Ratcliffe, Kathryn&lt;/author&gt;&lt;/authors&gt;&lt;/contributors&gt;&lt;titles&gt;&lt;title&gt;The Social Determinants of Health: Looking Upstream&lt;/title&gt;&lt;/titles&gt;&lt;dates&gt;&lt;year&gt;2017&lt;/year&gt;&lt;/dates&gt;&lt;publisher&gt;Polity&lt;/publisher&gt;&lt;urls&gt;&lt;/urls&gt;&lt;/record&gt;&lt;/Cite&gt;&lt;Cite&gt;&lt;Author&gt;World Health Organization&lt;/Author&gt;&lt;Year&gt;n.d.&lt;/Year&gt;&lt;RecNum&gt;267&lt;/RecNum&gt;&lt;record&gt;&lt;rec-number&gt;267&lt;/rec-number&gt;&lt;foreign-keys&gt;&lt;key app="EN" db-id="5fz2fzfzg2w2x4efdz3xprvlzezfdv2spstv" timestamp="1681704604"&gt;267&lt;/key&gt;&lt;/foreign-keys&gt;&lt;ref-type name="Web Page"&gt;12&lt;/ref-type&gt;&lt;contributors&gt;&lt;authors&gt;&lt;author&gt;World Health Organization,&lt;/author&gt;&lt;/authors&gt;&lt;/contributors&gt;&lt;titles&gt;&lt;title&gt;Social determinants of health&lt;/title&gt;&lt;/titles&gt;&lt;number&gt;Retrieved 20th March 2023&lt;/number&gt;&lt;dates&gt;&lt;year&gt;n.d.&lt;/year&gt;&lt;/dates&gt;&lt;pub-location&gt;Geneva&lt;/pub-location&gt;&lt;publisher&gt;World Health Organization&lt;/publisher&gt;&lt;urls&gt;&lt;related-urls&gt;&lt;url&gt;https://www.who.int/health-topics/social-determinants-of-health#tab=tab_1&lt;/url&gt;&lt;/related-urls&gt;&lt;/urls&gt;&lt;/record&gt;&lt;/Cite&gt;&lt;/EndNote&gt;</w:instrText>
            </w:r>
            <w:r w:rsidRPr="00B542F0">
              <w:rPr>
                <w:sz w:val="22"/>
                <w:szCs w:val="22"/>
              </w:rPr>
              <w:fldChar w:fldCharType="separate"/>
            </w:r>
            <w:r w:rsidR="00956746">
              <w:rPr>
                <w:noProof/>
                <w:sz w:val="22"/>
                <w:szCs w:val="22"/>
              </w:rPr>
              <w:t>[69-71]</w:t>
            </w:r>
            <w:r w:rsidRPr="00B542F0">
              <w:rPr>
                <w:sz w:val="22"/>
                <w:szCs w:val="22"/>
              </w:rPr>
              <w:fldChar w:fldCharType="end"/>
            </w:r>
            <w:r w:rsidR="005E6607">
              <w:rPr>
                <w:sz w:val="22"/>
                <w:szCs w:val="22"/>
              </w:rPr>
              <w:t>.</w:t>
            </w:r>
          </w:p>
        </w:tc>
      </w:tr>
      <w:tr w:rsidR="0044162C" w:rsidRPr="00B542F0" w14:paraId="33DE476E" w14:textId="77777777" w:rsidTr="0039136B">
        <w:tc>
          <w:tcPr>
            <w:tcW w:w="1985" w:type="dxa"/>
          </w:tcPr>
          <w:p w14:paraId="0D0EBF4D" w14:textId="77777777" w:rsidR="00DB654A" w:rsidRPr="00B542F0" w:rsidRDefault="00DB654A" w:rsidP="00014A2D">
            <w:pPr>
              <w:pStyle w:val="BodyText"/>
              <w:spacing w:before="80" w:after="80"/>
              <w:rPr>
                <w:sz w:val="22"/>
                <w:szCs w:val="22"/>
              </w:rPr>
            </w:pPr>
            <w:bookmarkStart w:id="88" w:name="_Hlk133836040"/>
            <w:bookmarkEnd w:id="87"/>
            <w:r w:rsidRPr="00B542F0">
              <w:rPr>
                <w:sz w:val="22"/>
                <w:szCs w:val="22"/>
              </w:rPr>
              <w:t>Stigma and vicarious stigma</w:t>
            </w:r>
            <w:bookmarkEnd w:id="88"/>
          </w:p>
        </w:tc>
        <w:tc>
          <w:tcPr>
            <w:tcW w:w="7657" w:type="dxa"/>
          </w:tcPr>
          <w:p w14:paraId="09CDB67B" w14:textId="2BC893F0" w:rsidR="00DB654A" w:rsidRPr="00B542F0" w:rsidRDefault="00DB654A" w:rsidP="00014A2D">
            <w:pPr>
              <w:pStyle w:val="BodyText"/>
              <w:spacing w:before="80" w:after="80"/>
              <w:rPr>
                <w:sz w:val="22"/>
                <w:szCs w:val="22"/>
              </w:rPr>
            </w:pPr>
            <w:bookmarkStart w:id="89" w:name="_Hlk133836049"/>
            <w:r w:rsidRPr="00B542F0">
              <w:rPr>
                <w:sz w:val="22"/>
                <w:szCs w:val="22"/>
              </w:rPr>
              <w:t>Stigma is a characteristic that sets a person apart from others, and is a source of lower status or discredit. When this taint spreads to those associated with the stigmati</w:t>
            </w:r>
            <w:r w:rsidR="005E6607">
              <w:rPr>
                <w:sz w:val="22"/>
                <w:szCs w:val="22"/>
              </w:rPr>
              <w:t>s</w:t>
            </w:r>
            <w:r w:rsidRPr="00B542F0">
              <w:rPr>
                <w:sz w:val="22"/>
                <w:szCs w:val="22"/>
              </w:rPr>
              <w:t xml:space="preserve">ed person, it is called </w:t>
            </w:r>
            <w:r w:rsidRPr="00B542F0">
              <w:rPr>
                <w:b/>
                <w:bCs/>
                <w:color w:val="31849B" w:themeColor="accent5" w:themeShade="BF"/>
                <w:sz w:val="22"/>
                <w:szCs w:val="22"/>
              </w:rPr>
              <w:t>vicarious stigma</w:t>
            </w:r>
            <w:r w:rsidRPr="00B542F0">
              <w:rPr>
                <w:sz w:val="22"/>
                <w:szCs w:val="22"/>
              </w:rPr>
              <w:t xml:space="preserve">. </w:t>
            </w:r>
            <w:bookmarkEnd w:id="89"/>
          </w:p>
        </w:tc>
      </w:tr>
      <w:tr w:rsidR="0044162C" w:rsidRPr="00B542F0" w14:paraId="6965A4AA" w14:textId="77777777" w:rsidTr="0039136B">
        <w:tc>
          <w:tcPr>
            <w:tcW w:w="1985" w:type="dxa"/>
          </w:tcPr>
          <w:p w14:paraId="71670A05" w14:textId="77777777" w:rsidR="00DB654A" w:rsidRPr="00B542F0" w:rsidRDefault="00DB654A" w:rsidP="00014A2D">
            <w:pPr>
              <w:pStyle w:val="BodyText"/>
              <w:spacing w:before="80" w:after="80"/>
              <w:rPr>
                <w:sz w:val="22"/>
                <w:szCs w:val="22"/>
              </w:rPr>
            </w:pPr>
            <w:bookmarkStart w:id="90" w:name="_Hlk133836098"/>
            <w:r w:rsidRPr="00B542F0">
              <w:rPr>
                <w:sz w:val="22"/>
                <w:szCs w:val="22"/>
              </w:rPr>
              <w:t>Work and Development Order</w:t>
            </w:r>
            <w:bookmarkEnd w:id="90"/>
          </w:p>
        </w:tc>
        <w:tc>
          <w:tcPr>
            <w:tcW w:w="7657" w:type="dxa"/>
          </w:tcPr>
          <w:p w14:paraId="592E89B4" w14:textId="1CA4D473" w:rsidR="00DB654A" w:rsidRPr="00B542F0" w:rsidRDefault="00DB654A" w:rsidP="0039136B">
            <w:pPr>
              <w:pStyle w:val="EndNoteBibliography"/>
              <w:spacing w:before="80" w:after="80"/>
              <w:rPr>
                <w:sz w:val="22"/>
              </w:rPr>
            </w:pPr>
            <w:bookmarkStart w:id="91" w:name="_Hlk133836108"/>
            <w:r w:rsidRPr="00B542F0">
              <w:rPr>
                <w:sz w:val="22"/>
              </w:rPr>
              <w:t>New South Wales has piloted and introduced Work and Development Orders (WDOs). People who are assessed as eligible can rep</w:t>
            </w:r>
            <w:r w:rsidR="005E6607">
              <w:rPr>
                <w:sz w:val="22"/>
              </w:rPr>
              <w:t>l</w:t>
            </w:r>
            <w:r w:rsidRPr="00B542F0">
              <w:rPr>
                <w:sz w:val="22"/>
              </w:rPr>
              <w:t xml:space="preserve">ace </w:t>
            </w:r>
            <w:r w:rsidR="005E6607">
              <w:rPr>
                <w:sz w:val="22"/>
              </w:rPr>
              <w:t xml:space="preserve">paying a </w:t>
            </w:r>
            <w:r w:rsidRPr="00B542F0">
              <w:rPr>
                <w:sz w:val="22"/>
              </w:rPr>
              <w:t xml:space="preserve">fine—in part or in full—with completion of approved activities. Approved activities include treatment programs and work in approved organisations, including government agencies, NGOs and health practitioners. </w:t>
            </w:r>
            <w:r w:rsidRPr="00B542F0">
              <w:rPr>
                <w:rStyle w:val="BodyTextChar"/>
                <w:sz w:val="22"/>
                <w:szCs w:val="22"/>
              </w:rPr>
              <w:t xml:space="preserve">WDOs can be seen as part of restoring the offender’s place in the community, and repairing damage done. </w:t>
            </w:r>
            <w:bookmarkEnd w:id="91"/>
          </w:p>
        </w:tc>
      </w:tr>
    </w:tbl>
    <w:p w14:paraId="54AA4C0C" w14:textId="77777777" w:rsidR="00B153E7" w:rsidRDefault="00E7778A" w:rsidP="00A82EA0">
      <w:pPr>
        <w:pStyle w:val="Heading1"/>
        <w:rPr>
          <w:rFonts w:ascii="AvenirNextLTPro-Demi"/>
          <w:sz w:val="27"/>
        </w:rPr>
      </w:pPr>
      <w:bookmarkStart w:id="92" w:name="_Toc136851472"/>
      <w:r w:rsidRPr="00B57909">
        <w:t>R</w:t>
      </w:r>
      <w:r>
        <w:t>eferences</w:t>
      </w:r>
      <w:bookmarkEnd w:id="92"/>
    </w:p>
    <w:p w14:paraId="3B64429D" w14:textId="77777777" w:rsidR="003226B1" w:rsidRPr="003226B1" w:rsidRDefault="00B153E7" w:rsidP="003226B1">
      <w:pPr>
        <w:pStyle w:val="EndNoteBibliography"/>
        <w:spacing w:after="0"/>
        <w:ind w:left="720" w:hanging="720"/>
      </w:pPr>
      <w:r>
        <w:rPr>
          <w:rFonts w:ascii="AvenirNextLTPro-Demi"/>
          <w:b/>
          <w:sz w:val="27"/>
        </w:rPr>
        <w:fldChar w:fldCharType="begin"/>
      </w:r>
      <w:r>
        <w:rPr>
          <w:rFonts w:ascii="AvenirNextLTPro-Demi"/>
          <w:b/>
          <w:sz w:val="27"/>
        </w:rPr>
        <w:instrText xml:space="preserve"> ADDIN EN.REFLIST </w:instrText>
      </w:r>
      <w:r>
        <w:rPr>
          <w:rFonts w:ascii="AvenirNextLTPro-Demi"/>
          <w:b/>
          <w:sz w:val="27"/>
        </w:rPr>
        <w:fldChar w:fldCharType="separate"/>
      </w:r>
      <w:r w:rsidR="003226B1" w:rsidRPr="003226B1">
        <w:t>1.</w:t>
      </w:r>
      <w:r w:rsidR="003226B1" w:rsidRPr="003226B1">
        <w:tab/>
        <w:t xml:space="preserve">Banks, S., et al., </w:t>
      </w:r>
      <w:r w:rsidR="003226B1" w:rsidRPr="003226B1">
        <w:rPr>
          <w:i/>
        </w:rPr>
        <w:t>Building on local strengths: Launceston's Northern Suburbs. Full report from the Anticipatory Care Action Learning Project</w:t>
      </w:r>
      <w:r w:rsidR="003226B1" w:rsidRPr="003226B1">
        <w:t>. 2020, Hobart, TAS: University of Tasmania.</w:t>
      </w:r>
    </w:p>
    <w:p w14:paraId="06C17EA0" w14:textId="77777777" w:rsidR="003226B1" w:rsidRPr="003226B1" w:rsidRDefault="003226B1" w:rsidP="003226B1">
      <w:pPr>
        <w:pStyle w:val="EndNoteBibliography"/>
        <w:spacing w:after="0"/>
        <w:ind w:left="720" w:hanging="720"/>
      </w:pPr>
      <w:r w:rsidRPr="003226B1">
        <w:t>2.</w:t>
      </w:r>
      <w:r w:rsidRPr="003226B1">
        <w:tab/>
        <w:t xml:space="preserve">Department of Health, </w:t>
      </w:r>
      <w:r w:rsidRPr="003226B1">
        <w:rPr>
          <w:i/>
        </w:rPr>
        <w:t>Tasmania Drug Strategy 2013-2018 Report on Activities</w:t>
      </w:r>
      <w:r w:rsidRPr="003226B1">
        <w:t>. 2019, Mental Health, Alcohol and Drug Directorate, Department of Health, Government of Tasmania: Hobart, TAS.</w:t>
      </w:r>
    </w:p>
    <w:p w14:paraId="1D15C51E" w14:textId="77777777" w:rsidR="003226B1" w:rsidRPr="003226B1" w:rsidRDefault="003226B1" w:rsidP="003226B1">
      <w:pPr>
        <w:pStyle w:val="EndNoteBibliography"/>
        <w:spacing w:after="0"/>
        <w:ind w:left="720" w:hanging="720"/>
      </w:pPr>
      <w:r w:rsidRPr="003226B1">
        <w:t>3.</w:t>
      </w:r>
      <w:r w:rsidRPr="003226B1">
        <w:tab/>
        <w:t xml:space="preserve">Department of Health, </w:t>
      </w:r>
      <w:r w:rsidRPr="003226B1">
        <w:rPr>
          <w:i/>
        </w:rPr>
        <w:t>Tasmanian Drug Strategy 2021-2027 Summary Paper</w:t>
      </w:r>
      <w:r w:rsidRPr="003226B1">
        <w:t>. 2021, Department of Health, Government of Tasmania: Hobart, TAS.</w:t>
      </w:r>
    </w:p>
    <w:p w14:paraId="65261F51" w14:textId="43E51D09" w:rsidR="003226B1" w:rsidRPr="003226B1" w:rsidRDefault="003226B1" w:rsidP="003226B1">
      <w:pPr>
        <w:pStyle w:val="EndNoteBibliography"/>
        <w:spacing w:after="0"/>
        <w:ind w:left="720" w:hanging="720"/>
      </w:pPr>
      <w:r w:rsidRPr="003226B1">
        <w:t>4.</w:t>
      </w:r>
      <w:r w:rsidRPr="003226B1">
        <w:tab/>
      </w:r>
      <w:r w:rsidRPr="003226B1">
        <w:rPr>
          <w:i/>
        </w:rPr>
        <w:t>Misuse of Drugs Act 2001 (TAS)</w:t>
      </w:r>
      <w:r w:rsidRPr="003226B1">
        <w:t xml:space="preserve">. Available from: </w:t>
      </w:r>
      <w:hyperlink r:id="rId19" w:history="1">
        <w:r w:rsidRPr="003226B1">
          <w:rPr>
            <w:rStyle w:val="Hyperlink"/>
            <w:rFonts w:ascii="Avenir Next" w:hAnsi="Avenir Next"/>
          </w:rPr>
          <w:t>https://www.legislation.tas.gov.au/view/whole/pdf/authorised/2021-07-01%202021-07-15/act-2001-094</w:t>
        </w:r>
      </w:hyperlink>
      <w:r w:rsidRPr="003226B1">
        <w:t>.</w:t>
      </w:r>
    </w:p>
    <w:p w14:paraId="4B562845" w14:textId="77777777" w:rsidR="003226B1" w:rsidRPr="003226B1" w:rsidRDefault="003226B1" w:rsidP="003226B1">
      <w:pPr>
        <w:pStyle w:val="EndNoteBibliography"/>
        <w:spacing w:after="0"/>
        <w:ind w:left="720" w:hanging="720"/>
      </w:pPr>
      <w:r w:rsidRPr="003226B1">
        <w:t>5.</w:t>
      </w:r>
      <w:r w:rsidRPr="003226B1">
        <w:tab/>
        <w:t xml:space="preserve">Bartl, B., </w:t>
      </w:r>
      <w:r w:rsidRPr="003226B1">
        <w:rPr>
          <w:i/>
        </w:rPr>
        <w:t>The case for a health focused response to drug use in Tasmania's legal system</w:t>
      </w:r>
      <w:r w:rsidRPr="003226B1">
        <w:t>. 2022, Community Legal Centres Tasmania: Hobart, TAS.</w:t>
      </w:r>
    </w:p>
    <w:p w14:paraId="010E49BF" w14:textId="77777777" w:rsidR="003226B1" w:rsidRPr="003226B1" w:rsidRDefault="003226B1" w:rsidP="003226B1">
      <w:pPr>
        <w:pStyle w:val="EndNoteBibliography"/>
        <w:spacing w:after="0"/>
        <w:ind w:left="720" w:hanging="720"/>
      </w:pPr>
      <w:r w:rsidRPr="003226B1">
        <w:t>6.</w:t>
      </w:r>
      <w:r w:rsidRPr="003226B1">
        <w:tab/>
        <w:t xml:space="preserve">Room, R., </w:t>
      </w:r>
      <w:r w:rsidRPr="003226B1">
        <w:rPr>
          <w:i/>
        </w:rPr>
        <w:t>Stigma, social inequality and alcohol and drug use.</w:t>
      </w:r>
      <w:r w:rsidRPr="003226B1">
        <w:t xml:space="preserve"> Drug and Alcohol Review, 2005. </w:t>
      </w:r>
      <w:r w:rsidRPr="003226B1">
        <w:rPr>
          <w:b/>
        </w:rPr>
        <w:t>24</w:t>
      </w:r>
      <w:r w:rsidRPr="003226B1">
        <w:t>: p. 143-155.</w:t>
      </w:r>
    </w:p>
    <w:p w14:paraId="57FF36EC" w14:textId="77777777" w:rsidR="003226B1" w:rsidRPr="003226B1" w:rsidRDefault="003226B1" w:rsidP="003226B1">
      <w:pPr>
        <w:pStyle w:val="EndNoteBibliography"/>
        <w:spacing w:after="0"/>
        <w:ind w:left="720" w:hanging="720"/>
      </w:pPr>
      <w:r w:rsidRPr="003226B1">
        <w:t>7.</w:t>
      </w:r>
      <w:r w:rsidRPr="003226B1">
        <w:tab/>
        <w:t xml:space="preserve">Sutherland, R., et al., </w:t>
      </w:r>
      <w:r w:rsidRPr="003226B1">
        <w:rPr>
          <w:i/>
        </w:rPr>
        <w:t>Experiences of stigma while visiting healthcare services among people who use drugs in Australia, 2022.</w:t>
      </w:r>
      <w:r w:rsidRPr="003226B1">
        <w:t xml:space="preserve"> Drug Trends Bulletin Series, 2023.</w:t>
      </w:r>
    </w:p>
    <w:p w14:paraId="4AAEC904" w14:textId="77777777" w:rsidR="003226B1" w:rsidRPr="003226B1" w:rsidRDefault="003226B1" w:rsidP="003226B1">
      <w:pPr>
        <w:pStyle w:val="EndNoteBibliography"/>
        <w:spacing w:after="0"/>
        <w:ind w:left="720" w:hanging="720"/>
      </w:pPr>
      <w:r w:rsidRPr="003226B1">
        <w:t>8.</w:t>
      </w:r>
      <w:r w:rsidRPr="003226B1">
        <w:tab/>
        <w:t xml:space="preserve">Bonnet, U., et al., </w:t>
      </w:r>
      <w:r w:rsidRPr="003226B1">
        <w:rPr>
          <w:i/>
        </w:rPr>
        <w:t>Ranking the harm of psychoactive drugs including prescription analgesics to users and others – A perspective of German addiction medicine experts.</w:t>
      </w:r>
      <w:r w:rsidRPr="003226B1">
        <w:t xml:space="preserve"> Frontiers in Psychiatry, 2020. </w:t>
      </w:r>
      <w:r w:rsidRPr="003226B1">
        <w:rPr>
          <w:b/>
        </w:rPr>
        <w:t>11</w:t>
      </w:r>
      <w:r w:rsidRPr="003226B1">
        <w:t>.</w:t>
      </w:r>
    </w:p>
    <w:p w14:paraId="13FB17EB" w14:textId="77777777" w:rsidR="003226B1" w:rsidRPr="003226B1" w:rsidRDefault="003226B1" w:rsidP="003226B1">
      <w:pPr>
        <w:pStyle w:val="EndNoteBibliography"/>
        <w:spacing w:after="0"/>
        <w:ind w:left="720" w:hanging="720"/>
      </w:pPr>
      <w:r w:rsidRPr="003226B1">
        <w:t>9.</w:t>
      </w:r>
      <w:r w:rsidRPr="003226B1">
        <w:tab/>
        <w:t xml:space="preserve">Department of Health, </w:t>
      </w:r>
      <w:r w:rsidRPr="003226B1">
        <w:rPr>
          <w:i/>
        </w:rPr>
        <w:t>National Drug Strategy 2017-2026</w:t>
      </w:r>
      <w:r w:rsidRPr="003226B1">
        <w:t>. 2017, Department of Health, Commonwealth of Australia: Canberra, ACT.</w:t>
      </w:r>
    </w:p>
    <w:p w14:paraId="54E047BB" w14:textId="77777777" w:rsidR="003226B1" w:rsidRPr="003226B1" w:rsidRDefault="003226B1" w:rsidP="003226B1">
      <w:pPr>
        <w:pStyle w:val="EndNoteBibliography"/>
        <w:spacing w:after="0"/>
        <w:ind w:left="720" w:hanging="720"/>
      </w:pPr>
      <w:r w:rsidRPr="003226B1">
        <w:t>10.</w:t>
      </w:r>
      <w:r w:rsidRPr="003226B1">
        <w:tab/>
        <w:t xml:space="preserve">Bruno, R., et al., </w:t>
      </w:r>
      <w:r w:rsidRPr="003226B1">
        <w:rPr>
          <w:i/>
        </w:rPr>
        <w:t>Access to naloxone in Tasmania, 2014-2022</w:t>
      </w:r>
      <w:r w:rsidRPr="003226B1">
        <w:t>. 2022, National Drug and Alcohol Research Centre (NDARC), UNSW Sydney: Sydney, NSW.</w:t>
      </w:r>
    </w:p>
    <w:p w14:paraId="36BD8BA4" w14:textId="77777777" w:rsidR="003226B1" w:rsidRPr="003226B1" w:rsidRDefault="003226B1" w:rsidP="003226B1">
      <w:pPr>
        <w:pStyle w:val="EndNoteBibliography"/>
        <w:spacing w:after="0"/>
        <w:ind w:left="720" w:hanging="720"/>
      </w:pPr>
      <w:r w:rsidRPr="003226B1">
        <w:t>11.</w:t>
      </w:r>
      <w:r w:rsidRPr="003226B1">
        <w:tab/>
        <w:t xml:space="preserve">Mental Health Alcohol and Drug Directorate, </w:t>
      </w:r>
      <w:r w:rsidRPr="003226B1">
        <w:rPr>
          <w:i/>
        </w:rPr>
        <w:t>Reform Agenda for the Alcohol and Other Drugs Sector in Tasmania</w:t>
      </w:r>
      <w:r w:rsidRPr="003226B1">
        <w:t>. 2020, Hobart, TAS: Mental Health, Alcohol and Drug Directorate, Department of Health, Government of Tasmania.</w:t>
      </w:r>
    </w:p>
    <w:p w14:paraId="21B14072" w14:textId="77777777" w:rsidR="003226B1" w:rsidRPr="003226B1" w:rsidRDefault="003226B1" w:rsidP="003226B1">
      <w:pPr>
        <w:pStyle w:val="EndNoteBibliography"/>
        <w:spacing w:after="0"/>
        <w:ind w:left="720" w:hanging="720"/>
      </w:pPr>
      <w:r w:rsidRPr="003226B1">
        <w:t>12.</w:t>
      </w:r>
      <w:r w:rsidRPr="003226B1">
        <w:tab/>
        <w:t xml:space="preserve">Fraser, S., et al., </w:t>
      </w:r>
      <w:r w:rsidRPr="003226B1">
        <w:rPr>
          <w:i/>
        </w:rPr>
        <w:t>Exclusion and hospitality: The subtle dynamics of stigma in healthcare access for people emerging from alcohol and other drug treatment.</w:t>
      </w:r>
      <w:r w:rsidRPr="003226B1">
        <w:t xml:space="preserve"> Sociology of Health &amp; Illness, 2020. </w:t>
      </w:r>
      <w:r w:rsidRPr="003226B1">
        <w:rPr>
          <w:b/>
        </w:rPr>
        <w:t>42</w:t>
      </w:r>
      <w:r w:rsidRPr="003226B1">
        <w:t>(8): p. 1801-1820.</w:t>
      </w:r>
    </w:p>
    <w:p w14:paraId="39C5CB80" w14:textId="77777777" w:rsidR="003226B1" w:rsidRPr="003226B1" w:rsidRDefault="003226B1" w:rsidP="003226B1">
      <w:pPr>
        <w:pStyle w:val="EndNoteBibliography"/>
        <w:spacing w:after="0"/>
        <w:ind w:left="720" w:hanging="720"/>
      </w:pPr>
      <w:r w:rsidRPr="003226B1">
        <w:t>13.</w:t>
      </w:r>
      <w:r w:rsidRPr="003226B1">
        <w:tab/>
        <w:t xml:space="preserve">Parliament of Australia, </w:t>
      </w:r>
      <w:r w:rsidRPr="003226B1">
        <w:rPr>
          <w:i/>
        </w:rPr>
        <w:t>Inquiry into crystal methamphetamine (ice). Final Report</w:t>
      </w:r>
      <w:r w:rsidRPr="003226B1">
        <w:t>. 2018, Parliamentary Joint Committee on Law Enforcement, Commonwealth of Australia: Canberra, ACT.</w:t>
      </w:r>
    </w:p>
    <w:p w14:paraId="15322624" w14:textId="77777777" w:rsidR="003226B1" w:rsidRPr="003226B1" w:rsidRDefault="003226B1" w:rsidP="003226B1">
      <w:pPr>
        <w:pStyle w:val="EndNoteBibliography"/>
        <w:spacing w:after="0"/>
        <w:ind w:left="720" w:hanging="720"/>
      </w:pPr>
      <w:r w:rsidRPr="003226B1">
        <w:t>14.</w:t>
      </w:r>
      <w:r w:rsidRPr="003226B1">
        <w:tab/>
        <w:t xml:space="preserve">Alcohol Tobacco and other Drugs Council Tasmania (ATDC), </w:t>
      </w:r>
      <w:r w:rsidRPr="003226B1">
        <w:rPr>
          <w:i/>
        </w:rPr>
        <w:t>Decriminalising personal drug use. Position paper. December 2022</w:t>
      </w:r>
      <w:r w:rsidRPr="003226B1">
        <w:t>. 2022, Alcohol, Tobacco and other Drugs Council Tasmania (ATDC): Hobart, TAS.</w:t>
      </w:r>
    </w:p>
    <w:p w14:paraId="746A110B" w14:textId="77777777" w:rsidR="003226B1" w:rsidRPr="003226B1" w:rsidRDefault="003226B1" w:rsidP="003226B1">
      <w:pPr>
        <w:pStyle w:val="EndNoteBibliography"/>
        <w:spacing w:after="0"/>
        <w:ind w:left="720" w:hanging="720"/>
      </w:pPr>
      <w:r w:rsidRPr="003226B1">
        <w:t>15.</w:t>
      </w:r>
      <w:r w:rsidRPr="003226B1">
        <w:tab/>
        <w:t xml:space="preserve">Finucane, A. and J. Moran Stritch, </w:t>
      </w:r>
      <w:r w:rsidRPr="003226B1">
        <w:rPr>
          <w:i/>
        </w:rPr>
        <w:t>Connecting the person by removing the stigma: Why Ireland should follow the Portuguese model of drug decriminalisation.</w:t>
      </w:r>
      <w:r w:rsidRPr="003226B1">
        <w:t xml:space="preserve"> South Eastern European Journal of Public Health, 2022. </w:t>
      </w:r>
      <w:r w:rsidRPr="003226B1">
        <w:rPr>
          <w:b/>
        </w:rPr>
        <w:t>Special Volume 6: Addiction &amp; Dependency</w:t>
      </w:r>
      <w:r w:rsidRPr="003226B1">
        <w:t>: p. 7.</w:t>
      </w:r>
    </w:p>
    <w:p w14:paraId="2A568518" w14:textId="77777777" w:rsidR="003226B1" w:rsidRPr="003226B1" w:rsidRDefault="003226B1" w:rsidP="003226B1">
      <w:pPr>
        <w:pStyle w:val="EndNoteBibliography"/>
        <w:spacing w:after="0"/>
        <w:ind w:left="720" w:hanging="720"/>
      </w:pPr>
      <w:r w:rsidRPr="003226B1">
        <w:t>16.</w:t>
      </w:r>
      <w:r w:rsidRPr="003226B1">
        <w:tab/>
        <w:t xml:space="preserve">Park, J.N., et al., </w:t>
      </w:r>
      <w:r w:rsidRPr="003226B1">
        <w:rPr>
          <w:i/>
        </w:rPr>
        <w:t>Situating the continuum of overdose risk in the social determinants of health: A new conceptual framework.</w:t>
      </w:r>
      <w:r w:rsidRPr="003226B1">
        <w:t xml:space="preserve"> The Milbank Quarterly, 2020. </w:t>
      </w:r>
      <w:r w:rsidRPr="003226B1">
        <w:rPr>
          <w:b/>
        </w:rPr>
        <w:t>98</w:t>
      </w:r>
      <w:r w:rsidRPr="003226B1">
        <w:t>(3): p. 700-746.</w:t>
      </w:r>
    </w:p>
    <w:p w14:paraId="37DCB101" w14:textId="77777777" w:rsidR="003226B1" w:rsidRPr="003226B1" w:rsidRDefault="003226B1" w:rsidP="003226B1">
      <w:pPr>
        <w:pStyle w:val="EndNoteBibliography"/>
        <w:spacing w:after="0"/>
        <w:ind w:left="720" w:hanging="720"/>
      </w:pPr>
      <w:r w:rsidRPr="003226B1">
        <w:t>17.</w:t>
      </w:r>
      <w:r w:rsidRPr="003226B1">
        <w:tab/>
        <w:t xml:space="preserve">White, R.D., </w:t>
      </w:r>
      <w:r w:rsidRPr="003226B1">
        <w:rPr>
          <w:i/>
        </w:rPr>
        <w:t>Treating offenders seriously</w:t>
      </w:r>
      <w:r w:rsidRPr="003226B1">
        <w:t xml:space="preserve">, in </w:t>
      </w:r>
      <w:r w:rsidRPr="003226B1">
        <w:rPr>
          <w:i/>
        </w:rPr>
        <w:t>University of the Third Age (U3A)</w:t>
      </w:r>
      <w:r w:rsidRPr="003226B1">
        <w:t>. 2023: Hobart, TAS.</w:t>
      </w:r>
    </w:p>
    <w:p w14:paraId="31D2E02C" w14:textId="20C25B12" w:rsidR="003226B1" w:rsidRPr="003226B1" w:rsidRDefault="003226B1" w:rsidP="003226B1">
      <w:pPr>
        <w:pStyle w:val="EndNoteBibliography"/>
        <w:spacing w:after="0"/>
        <w:ind w:left="720" w:hanging="720"/>
      </w:pPr>
      <w:r w:rsidRPr="003226B1">
        <w:t>18.</w:t>
      </w:r>
      <w:r w:rsidRPr="003226B1">
        <w:tab/>
        <w:t xml:space="preserve">Australian Human Rights Commission. </w:t>
      </w:r>
      <w:r w:rsidRPr="003226B1">
        <w:rPr>
          <w:i/>
        </w:rPr>
        <w:t>Police checks</w:t>
      </w:r>
      <w:r w:rsidRPr="003226B1">
        <w:t xml:space="preserve">. n.d.  Retrieved 22nd March 2023]; Available from: </w:t>
      </w:r>
      <w:hyperlink r:id="rId20" w:history="1">
        <w:r w:rsidRPr="003226B1">
          <w:rPr>
            <w:rStyle w:val="Hyperlink"/>
            <w:rFonts w:ascii="Avenir Next" w:hAnsi="Avenir Next"/>
          </w:rPr>
          <w:t>https://humanrights.gov.au/quick-guide/12075</w:t>
        </w:r>
      </w:hyperlink>
      <w:r w:rsidRPr="003226B1">
        <w:t>.</w:t>
      </w:r>
    </w:p>
    <w:p w14:paraId="3D6831B4" w14:textId="77777777" w:rsidR="003226B1" w:rsidRPr="003226B1" w:rsidRDefault="003226B1" w:rsidP="003226B1">
      <w:pPr>
        <w:pStyle w:val="EndNoteBibliography"/>
        <w:spacing w:after="0"/>
        <w:ind w:left="720" w:hanging="720"/>
      </w:pPr>
      <w:r w:rsidRPr="003226B1">
        <w:t>19.</w:t>
      </w:r>
      <w:r w:rsidRPr="003226B1">
        <w:tab/>
        <w:t xml:space="preserve">Sentencing Advisory Council, </w:t>
      </w:r>
      <w:r w:rsidRPr="003226B1">
        <w:rPr>
          <w:i/>
        </w:rPr>
        <w:t>Mandatory treatment for alcohol and drug affected offenders. Research Paper No. 2</w:t>
      </w:r>
      <w:r w:rsidRPr="003226B1">
        <w:t>. 2017, Department of Justice, State of Tasmania: Hobart, TAS.</w:t>
      </w:r>
    </w:p>
    <w:p w14:paraId="3D9740D0" w14:textId="77777777" w:rsidR="003226B1" w:rsidRPr="003226B1" w:rsidRDefault="003226B1" w:rsidP="003226B1">
      <w:pPr>
        <w:pStyle w:val="EndNoteBibliography"/>
        <w:spacing w:after="0"/>
        <w:ind w:left="720" w:hanging="720"/>
      </w:pPr>
      <w:r w:rsidRPr="003226B1">
        <w:t>20.</w:t>
      </w:r>
      <w:r w:rsidRPr="003226B1">
        <w:tab/>
        <w:t xml:space="preserve">Pereira, M., J. Scott, and A. Beem, </w:t>
      </w:r>
      <w:r w:rsidRPr="003226B1">
        <w:rPr>
          <w:i/>
        </w:rPr>
        <w:t>Imaginary drug control and the failures of contemporary Australian drug policy.</w:t>
      </w:r>
      <w:r w:rsidRPr="003226B1">
        <w:t xml:space="preserve"> Contemporary Drug Problems, 2020. </w:t>
      </w:r>
      <w:r w:rsidRPr="003226B1">
        <w:rPr>
          <w:b/>
        </w:rPr>
        <w:t>47</w:t>
      </w:r>
      <w:r w:rsidRPr="003226B1">
        <w:t>(1): p. 29-42.</w:t>
      </w:r>
    </w:p>
    <w:p w14:paraId="1CDD3537" w14:textId="77777777" w:rsidR="003226B1" w:rsidRPr="003226B1" w:rsidRDefault="003226B1" w:rsidP="003226B1">
      <w:pPr>
        <w:pStyle w:val="EndNoteBibliography"/>
        <w:spacing w:after="0"/>
        <w:ind w:left="720" w:hanging="720"/>
      </w:pPr>
      <w:r w:rsidRPr="003226B1">
        <w:t>21.</w:t>
      </w:r>
      <w:r w:rsidRPr="003226B1">
        <w:tab/>
        <w:t xml:space="preserve">Justice Reform Initiative, </w:t>
      </w:r>
      <w:r w:rsidRPr="003226B1">
        <w:rPr>
          <w:i/>
        </w:rPr>
        <w:t>Jailing is Failing. State of Incarceration: Tasmania's broken criminal justice system</w:t>
      </w:r>
      <w:r w:rsidRPr="003226B1">
        <w:t>. 2021, Justice Reform Initiative: Hobart, TAS.</w:t>
      </w:r>
    </w:p>
    <w:p w14:paraId="170F6D79" w14:textId="77777777" w:rsidR="003226B1" w:rsidRPr="003226B1" w:rsidRDefault="003226B1" w:rsidP="003226B1">
      <w:pPr>
        <w:pStyle w:val="EndNoteBibliography"/>
        <w:spacing w:after="0"/>
        <w:ind w:left="720" w:hanging="720"/>
      </w:pPr>
      <w:r w:rsidRPr="003226B1">
        <w:t>22.</w:t>
      </w:r>
      <w:r w:rsidRPr="003226B1">
        <w:tab/>
        <w:t xml:space="preserve">Mitchell, O., et al., </w:t>
      </w:r>
      <w:r w:rsidRPr="003226B1">
        <w:rPr>
          <w:i/>
        </w:rPr>
        <w:t>The effectiveness of prison for reducing drug offender recidivism: A regression discontinuity analysis.</w:t>
      </w:r>
      <w:r w:rsidRPr="003226B1">
        <w:t xml:space="preserve"> Journal of Experimental Criminology, 2017. </w:t>
      </w:r>
      <w:r w:rsidRPr="003226B1">
        <w:rPr>
          <w:b/>
        </w:rPr>
        <w:t>13</w:t>
      </w:r>
      <w:r w:rsidRPr="003226B1">
        <w:t>(1): p. 1-27.</w:t>
      </w:r>
    </w:p>
    <w:p w14:paraId="1E73DA32" w14:textId="77777777" w:rsidR="003226B1" w:rsidRPr="003226B1" w:rsidRDefault="003226B1" w:rsidP="003226B1">
      <w:pPr>
        <w:pStyle w:val="EndNoteBibliography"/>
        <w:spacing w:after="0"/>
        <w:ind w:left="720" w:hanging="720"/>
      </w:pPr>
      <w:r w:rsidRPr="003226B1">
        <w:t>23.</w:t>
      </w:r>
      <w:r w:rsidRPr="003226B1">
        <w:tab/>
        <w:t xml:space="preserve">Cid, J., </w:t>
      </w:r>
      <w:r w:rsidRPr="003226B1">
        <w:rPr>
          <w:i/>
        </w:rPr>
        <w:t>Is imprisonment criminogenic? A comparative study of recidivism rates between prison and suspended prison sanctions.</w:t>
      </w:r>
      <w:r w:rsidRPr="003226B1">
        <w:t xml:space="preserve"> European Journal of Criminology, 2009. </w:t>
      </w:r>
      <w:r w:rsidRPr="003226B1">
        <w:rPr>
          <w:b/>
        </w:rPr>
        <w:t>6</w:t>
      </w:r>
      <w:r w:rsidRPr="003226B1">
        <w:t>(6): p. 459-480.</w:t>
      </w:r>
    </w:p>
    <w:p w14:paraId="08CE6963" w14:textId="77777777" w:rsidR="003226B1" w:rsidRPr="003226B1" w:rsidRDefault="003226B1" w:rsidP="003226B1">
      <w:pPr>
        <w:pStyle w:val="EndNoteBibliography"/>
        <w:spacing w:after="0"/>
        <w:ind w:left="720" w:hanging="720"/>
      </w:pPr>
      <w:r w:rsidRPr="003226B1">
        <w:t>24.</w:t>
      </w:r>
      <w:r w:rsidRPr="003226B1">
        <w:tab/>
        <w:t xml:space="preserve">Kirwan, A., et al., </w:t>
      </w:r>
      <w:r w:rsidRPr="003226B1">
        <w:rPr>
          <w:i/>
        </w:rPr>
        <w:t>The Prison and Transition Health (PATH) Cohort Study: Study protocol and baseline characteristics of a cohort of men with a history of injecting drug use leaving prison in Australia.</w:t>
      </w:r>
      <w:r w:rsidRPr="003226B1">
        <w:t xml:space="preserve"> Journal of Urban Health, 2019. </w:t>
      </w:r>
      <w:r w:rsidRPr="003226B1">
        <w:rPr>
          <w:b/>
        </w:rPr>
        <w:t>96</w:t>
      </w:r>
      <w:r w:rsidRPr="003226B1">
        <w:t>(3): p. 400-410.</w:t>
      </w:r>
    </w:p>
    <w:p w14:paraId="55B1035F" w14:textId="77777777" w:rsidR="003226B1" w:rsidRPr="003226B1" w:rsidRDefault="003226B1" w:rsidP="003226B1">
      <w:pPr>
        <w:pStyle w:val="EndNoteBibliography"/>
        <w:spacing w:after="0"/>
        <w:ind w:left="720" w:hanging="720"/>
      </w:pPr>
      <w:r w:rsidRPr="003226B1">
        <w:t>25.</w:t>
      </w:r>
      <w:r w:rsidRPr="003226B1">
        <w:tab/>
        <w:t xml:space="preserve">Green, R., </w:t>
      </w:r>
      <w:r w:rsidRPr="003226B1">
        <w:rPr>
          <w:i/>
        </w:rPr>
        <w:t>‘‘I wonder what age you grow out of it?’’: Negotiation of recreational drug use and the transition to adulthood among an Australian ethnographic sample.</w:t>
      </w:r>
      <w:r w:rsidRPr="003226B1">
        <w:t xml:space="preserve"> Drugs: Education, Prevention and Policy, 2016. </w:t>
      </w:r>
      <w:r w:rsidRPr="003226B1">
        <w:rPr>
          <w:b/>
        </w:rPr>
        <w:t>23</w:t>
      </w:r>
      <w:r w:rsidRPr="003226B1">
        <w:t>(3): p. 202-211.</w:t>
      </w:r>
    </w:p>
    <w:p w14:paraId="2611CA46" w14:textId="77777777" w:rsidR="003226B1" w:rsidRPr="003226B1" w:rsidRDefault="003226B1" w:rsidP="003226B1">
      <w:pPr>
        <w:pStyle w:val="EndNoteBibliography"/>
        <w:spacing w:after="0"/>
        <w:ind w:left="720" w:hanging="720"/>
      </w:pPr>
      <w:r w:rsidRPr="003226B1">
        <w:t>26.</w:t>
      </w:r>
      <w:r w:rsidRPr="003226B1">
        <w:tab/>
        <w:t xml:space="preserve">Wilson, Y., A. Stone, and R. Bruno, </w:t>
      </w:r>
      <w:r w:rsidRPr="003226B1">
        <w:rPr>
          <w:i/>
        </w:rPr>
        <w:t>Tasmanian Drug Trends 2022: Key findings from the Illicit Drug Reporting System (IDRS) interviews</w:t>
      </w:r>
      <w:r w:rsidRPr="003226B1">
        <w:t>. 2022, Sydney, NSW: National Drug and Alcohol Research Centre, UNSW Sydney.</w:t>
      </w:r>
    </w:p>
    <w:p w14:paraId="224B23A2" w14:textId="77777777" w:rsidR="003226B1" w:rsidRPr="003226B1" w:rsidRDefault="003226B1" w:rsidP="003226B1">
      <w:pPr>
        <w:pStyle w:val="EndNoteBibliography"/>
        <w:spacing w:after="0"/>
        <w:ind w:left="720" w:hanging="720"/>
      </w:pPr>
      <w:r w:rsidRPr="003226B1">
        <w:t>27.</w:t>
      </w:r>
      <w:r w:rsidRPr="003226B1">
        <w:tab/>
        <w:t xml:space="preserve">Australian Bureau of Statistics </w:t>
      </w:r>
      <w:r w:rsidRPr="003226B1">
        <w:rPr>
          <w:i/>
        </w:rPr>
        <w:t>Criminal courts, Australia</w:t>
      </w:r>
      <w:r w:rsidRPr="003226B1">
        <w:t>. 2023.</w:t>
      </w:r>
    </w:p>
    <w:p w14:paraId="2A58D3EA" w14:textId="77777777" w:rsidR="003226B1" w:rsidRPr="003226B1" w:rsidRDefault="003226B1" w:rsidP="003226B1">
      <w:pPr>
        <w:pStyle w:val="EndNoteBibliography"/>
        <w:spacing w:after="0"/>
        <w:ind w:left="720" w:hanging="720"/>
      </w:pPr>
      <w:r w:rsidRPr="003226B1">
        <w:t>28.</w:t>
      </w:r>
      <w:r w:rsidRPr="003226B1">
        <w:tab/>
        <w:t xml:space="preserve">Australian Institute of Health and Welfare, </w:t>
      </w:r>
      <w:r w:rsidRPr="003226B1">
        <w:rPr>
          <w:i/>
        </w:rPr>
        <w:t>Australian Burden of Disease Study 2018 – Key findings</w:t>
      </w:r>
      <w:r w:rsidRPr="003226B1">
        <w:t>. 2021, Australian Institute of Health and Welfare: Canberra, ACT.</w:t>
      </w:r>
    </w:p>
    <w:p w14:paraId="17849461" w14:textId="77777777" w:rsidR="003226B1" w:rsidRPr="003226B1" w:rsidRDefault="003226B1" w:rsidP="003226B1">
      <w:pPr>
        <w:pStyle w:val="EndNoteBibliography"/>
        <w:spacing w:after="0"/>
        <w:ind w:left="720" w:hanging="720"/>
      </w:pPr>
      <w:r w:rsidRPr="003226B1">
        <w:t>29.</w:t>
      </w:r>
      <w:r w:rsidRPr="003226B1">
        <w:tab/>
        <w:t xml:space="preserve">Schlag, A.K., </w:t>
      </w:r>
      <w:r w:rsidRPr="003226B1">
        <w:rPr>
          <w:i/>
        </w:rPr>
        <w:t>Percentages of problem drug use and their implications for policy making: A review of the literature.</w:t>
      </w:r>
      <w:r w:rsidRPr="003226B1">
        <w:t xml:space="preserve"> Drug Science, Policy and Law, 2020. </w:t>
      </w:r>
      <w:r w:rsidRPr="003226B1">
        <w:rPr>
          <w:b/>
        </w:rPr>
        <w:t>6</w:t>
      </w:r>
      <w:r w:rsidRPr="003226B1">
        <w:t>: p. 1-9.</w:t>
      </w:r>
    </w:p>
    <w:p w14:paraId="47C66ACF" w14:textId="77777777" w:rsidR="003226B1" w:rsidRPr="003226B1" w:rsidRDefault="003226B1" w:rsidP="003226B1">
      <w:pPr>
        <w:pStyle w:val="EndNoteBibliography"/>
        <w:spacing w:after="0"/>
        <w:ind w:left="720" w:hanging="720"/>
      </w:pPr>
      <w:r w:rsidRPr="003226B1">
        <w:t>30.</w:t>
      </w:r>
      <w:r w:rsidRPr="003226B1">
        <w:tab/>
        <w:t xml:space="preserve">Mey, A., et al., </w:t>
      </w:r>
      <w:r w:rsidRPr="003226B1">
        <w:rPr>
          <w:i/>
        </w:rPr>
        <w:t>What’s the attraction? Social connectedness as a driver of recreational drug use.</w:t>
      </w:r>
      <w:r w:rsidRPr="003226B1">
        <w:t xml:space="preserve"> Journal of Substance Use, 2017. </w:t>
      </w:r>
      <w:r w:rsidRPr="003226B1">
        <w:rPr>
          <w:b/>
        </w:rPr>
        <w:t>23</w:t>
      </w:r>
      <w:r w:rsidRPr="003226B1">
        <w:t>(3): p. 327-334.</w:t>
      </w:r>
    </w:p>
    <w:p w14:paraId="53398297" w14:textId="77777777" w:rsidR="003226B1" w:rsidRPr="003226B1" w:rsidRDefault="003226B1" w:rsidP="003226B1">
      <w:pPr>
        <w:pStyle w:val="EndNoteBibliography"/>
        <w:spacing w:after="0"/>
        <w:ind w:left="720" w:hanging="720"/>
      </w:pPr>
      <w:r w:rsidRPr="003226B1">
        <w:t>31.</w:t>
      </w:r>
      <w:r w:rsidRPr="003226B1">
        <w:tab/>
        <w:t xml:space="preserve">Tasmanian Council of Social Services (TasCOSS), </w:t>
      </w:r>
      <w:r w:rsidRPr="003226B1">
        <w:rPr>
          <w:i/>
        </w:rPr>
        <w:t xml:space="preserve">The Social Determinants of Health. Working together to address the social factors that affect the health &amp; wellbeing of Tasmanians </w:t>
      </w:r>
      <w:r w:rsidRPr="003226B1">
        <w:t>2012, Tasmanian Council of Social Services (TasCOSS): Hobart, TAS.</w:t>
      </w:r>
    </w:p>
    <w:p w14:paraId="27F8DFE4" w14:textId="77777777" w:rsidR="003226B1" w:rsidRPr="003226B1" w:rsidRDefault="003226B1" w:rsidP="003226B1">
      <w:pPr>
        <w:pStyle w:val="EndNoteBibliography"/>
        <w:spacing w:after="0"/>
        <w:ind w:left="720" w:hanging="720"/>
      </w:pPr>
      <w:r w:rsidRPr="003226B1">
        <w:t>32.</w:t>
      </w:r>
      <w:r w:rsidRPr="003226B1">
        <w:tab/>
        <w:t xml:space="preserve">Walter, M., E. Hansen, and S. Banks, </w:t>
      </w:r>
      <w:r w:rsidRPr="003226B1">
        <w:rPr>
          <w:i/>
        </w:rPr>
        <w:t>How valuable is mainstream social determinants theory for explaining Indigenous health inequality?</w:t>
      </w:r>
      <w:r w:rsidRPr="003226B1">
        <w:t xml:space="preserve"> 2012, Hobart, TAS: National Aboriginal and Torres Strait Islander Health Inequality Council.</w:t>
      </w:r>
    </w:p>
    <w:p w14:paraId="599F5255" w14:textId="77777777" w:rsidR="003226B1" w:rsidRPr="003226B1" w:rsidRDefault="003226B1" w:rsidP="003226B1">
      <w:pPr>
        <w:pStyle w:val="EndNoteBibliography"/>
        <w:spacing w:after="0"/>
        <w:ind w:left="720" w:hanging="720"/>
      </w:pPr>
      <w:r w:rsidRPr="003226B1">
        <w:t>33.</w:t>
      </w:r>
      <w:r w:rsidRPr="003226B1">
        <w:tab/>
        <w:t xml:space="preserve">Australian Institute of Health and Welfare (AIHW), </w:t>
      </w:r>
      <w:r w:rsidRPr="003226B1">
        <w:rPr>
          <w:i/>
        </w:rPr>
        <w:t>How are young Indigenous people in Tasmania faring?</w:t>
      </w:r>
      <w:r w:rsidRPr="003226B1">
        <w:t xml:space="preserve"> 2018, Australian Institute of Health and Welfare (AIHW): Canberra, ACT.</w:t>
      </w:r>
    </w:p>
    <w:p w14:paraId="6D532DC0" w14:textId="77777777" w:rsidR="003226B1" w:rsidRPr="003226B1" w:rsidRDefault="003226B1" w:rsidP="003226B1">
      <w:pPr>
        <w:pStyle w:val="EndNoteBibliography"/>
        <w:spacing w:after="0"/>
        <w:ind w:left="720" w:hanging="720"/>
      </w:pPr>
      <w:r w:rsidRPr="003226B1">
        <w:t>34.</w:t>
      </w:r>
      <w:r w:rsidRPr="003226B1">
        <w:tab/>
        <w:t xml:space="preserve">Tasmanian Aboriginal Legal Service, </w:t>
      </w:r>
      <w:r w:rsidRPr="003226B1">
        <w:rPr>
          <w:i/>
        </w:rPr>
        <w:t>TALS Tasmania Aboriginal Legal Service 2022 Annual Report</w:t>
      </w:r>
      <w:r w:rsidRPr="003226B1">
        <w:t>. 2023, Hobart, TAS: TALS.</w:t>
      </w:r>
    </w:p>
    <w:p w14:paraId="7E9C02F4" w14:textId="77777777" w:rsidR="003226B1" w:rsidRPr="003226B1" w:rsidRDefault="003226B1" w:rsidP="003226B1">
      <w:pPr>
        <w:pStyle w:val="EndNoteBibliography"/>
        <w:spacing w:after="0"/>
        <w:ind w:left="720" w:hanging="720"/>
      </w:pPr>
      <w:r w:rsidRPr="003226B1">
        <w:t>35.</w:t>
      </w:r>
      <w:r w:rsidRPr="003226B1">
        <w:tab/>
        <w:t xml:space="preserve">Australian Bureau of Statistics </w:t>
      </w:r>
      <w:r w:rsidRPr="003226B1">
        <w:rPr>
          <w:i/>
        </w:rPr>
        <w:t>Prisoners in Australia</w:t>
      </w:r>
      <w:r w:rsidRPr="003226B1">
        <w:t>. 2023.</w:t>
      </w:r>
    </w:p>
    <w:p w14:paraId="2F50659A" w14:textId="77777777" w:rsidR="003226B1" w:rsidRPr="003226B1" w:rsidRDefault="003226B1" w:rsidP="003226B1">
      <w:pPr>
        <w:pStyle w:val="EndNoteBibliography"/>
        <w:spacing w:after="0"/>
        <w:ind w:left="720" w:hanging="720"/>
      </w:pPr>
      <w:r w:rsidRPr="003226B1">
        <w:t>36.</w:t>
      </w:r>
      <w:r w:rsidRPr="003226B1">
        <w:tab/>
        <w:t xml:space="preserve">Lewer, D., et al., </w:t>
      </w:r>
      <w:r w:rsidRPr="003226B1">
        <w:rPr>
          <w:i/>
        </w:rPr>
        <w:t>Premature mortality attributable to socioeconomic inequality in England between 2003 and 2018: An observational study.</w:t>
      </w:r>
      <w:r w:rsidRPr="003226B1">
        <w:t xml:space="preserve"> The Lancet Public Health, 2020. </w:t>
      </w:r>
      <w:r w:rsidRPr="003226B1">
        <w:rPr>
          <w:b/>
        </w:rPr>
        <w:t>5</w:t>
      </w:r>
      <w:r w:rsidRPr="003226B1">
        <w:t>(1): p. e33-e41.</w:t>
      </w:r>
    </w:p>
    <w:p w14:paraId="66622258" w14:textId="77777777" w:rsidR="003226B1" w:rsidRPr="003226B1" w:rsidRDefault="003226B1" w:rsidP="003226B1">
      <w:pPr>
        <w:pStyle w:val="EndNoteBibliography"/>
        <w:spacing w:after="0"/>
        <w:ind w:left="720" w:hanging="720"/>
      </w:pPr>
      <w:r w:rsidRPr="003226B1">
        <w:t>37.</w:t>
      </w:r>
      <w:r w:rsidRPr="003226B1">
        <w:tab/>
        <w:t xml:space="preserve">Sentencing Advisory Council, </w:t>
      </w:r>
      <w:r w:rsidRPr="003226B1">
        <w:rPr>
          <w:i/>
        </w:rPr>
        <w:t>Sentencing Young Offenders</w:t>
      </w:r>
      <w:r w:rsidRPr="003226B1">
        <w:t>. 2021, Sentencing Advisory Council: Hobart, TAS.</w:t>
      </w:r>
    </w:p>
    <w:p w14:paraId="08C9C396" w14:textId="77777777" w:rsidR="003226B1" w:rsidRPr="003226B1" w:rsidRDefault="003226B1" w:rsidP="003226B1">
      <w:pPr>
        <w:pStyle w:val="EndNoteBibliography"/>
        <w:spacing w:after="0"/>
        <w:ind w:left="720" w:hanging="720"/>
      </w:pPr>
      <w:r w:rsidRPr="003226B1">
        <w:t>38.</w:t>
      </w:r>
      <w:r w:rsidRPr="003226B1">
        <w:tab/>
        <w:t xml:space="preserve">Marmot, M., </w:t>
      </w:r>
      <w:r w:rsidRPr="003226B1">
        <w:rPr>
          <w:i/>
        </w:rPr>
        <w:t>The Health Gap. The challenge of an unequal world</w:t>
      </w:r>
      <w:r w:rsidRPr="003226B1">
        <w:t>. 2015, London: Bloomsbury.</w:t>
      </w:r>
    </w:p>
    <w:p w14:paraId="312D2D5B" w14:textId="77777777" w:rsidR="003226B1" w:rsidRPr="003226B1" w:rsidRDefault="003226B1" w:rsidP="003226B1">
      <w:pPr>
        <w:pStyle w:val="EndNoteBibliography"/>
        <w:spacing w:after="0"/>
        <w:ind w:left="720" w:hanging="720"/>
      </w:pPr>
      <w:r w:rsidRPr="003226B1">
        <w:t>39.</w:t>
      </w:r>
      <w:r w:rsidRPr="003226B1">
        <w:tab/>
        <w:t xml:space="preserve">Stanford, S., et al., </w:t>
      </w:r>
      <w:r w:rsidRPr="003226B1">
        <w:rPr>
          <w:i/>
        </w:rPr>
        <w:t>Identifying the root causes of drug overdose health inequities and related social determinants of health: A literature review</w:t>
      </w:r>
      <w:r w:rsidRPr="003226B1">
        <w:t>. 2021, Washington, DC: National Association of County and City Health Officials (NACCHO); Center for Disease Control.</w:t>
      </w:r>
    </w:p>
    <w:p w14:paraId="0E07203F" w14:textId="77777777" w:rsidR="003226B1" w:rsidRPr="003226B1" w:rsidRDefault="003226B1" w:rsidP="003226B1">
      <w:pPr>
        <w:pStyle w:val="EndNoteBibliography"/>
        <w:spacing w:after="0"/>
        <w:ind w:left="720" w:hanging="720"/>
      </w:pPr>
      <w:r w:rsidRPr="003226B1">
        <w:t>40.</w:t>
      </w:r>
      <w:r w:rsidRPr="003226B1">
        <w:tab/>
        <w:t xml:space="preserve">Australian Institute of Health and Welfare (AIHW), </w:t>
      </w:r>
      <w:r w:rsidRPr="003226B1">
        <w:rPr>
          <w:i/>
        </w:rPr>
        <w:t>The health of Tasmania’s prisoners, 2018</w:t>
      </w:r>
      <w:r w:rsidRPr="003226B1">
        <w:t>. 2018, Australian Institute of Health and Welfare (AIHW): Canberra, ACT.</w:t>
      </w:r>
    </w:p>
    <w:p w14:paraId="14FAD2A4" w14:textId="77777777" w:rsidR="003226B1" w:rsidRPr="003226B1" w:rsidRDefault="003226B1" w:rsidP="003226B1">
      <w:pPr>
        <w:pStyle w:val="EndNoteBibliography"/>
        <w:spacing w:after="0"/>
        <w:ind w:left="720" w:hanging="720"/>
      </w:pPr>
      <w:r w:rsidRPr="003226B1">
        <w:t>41.</w:t>
      </w:r>
      <w:r w:rsidRPr="003226B1">
        <w:tab/>
        <w:t xml:space="preserve">Swendsen, J., et al., </w:t>
      </w:r>
      <w:r w:rsidRPr="003226B1">
        <w:rPr>
          <w:i/>
        </w:rPr>
        <w:t>Mental disorders as risk factors for substance use, abuse and dependence: Results from the 10-year follow-up of the National Comorbidity Survey.</w:t>
      </w:r>
      <w:r w:rsidRPr="003226B1">
        <w:t xml:space="preserve"> Addiction, 2010. </w:t>
      </w:r>
      <w:r w:rsidRPr="003226B1">
        <w:rPr>
          <w:b/>
        </w:rPr>
        <w:t>105</w:t>
      </w:r>
      <w:r w:rsidRPr="003226B1">
        <w:t>: p. 1117-1128.</w:t>
      </w:r>
    </w:p>
    <w:p w14:paraId="55C8E47D" w14:textId="77777777" w:rsidR="003226B1" w:rsidRPr="003226B1" w:rsidRDefault="003226B1" w:rsidP="003226B1">
      <w:pPr>
        <w:pStyle w:val="EndNoteBibliography"/>
        <w:spacing w:after="0"/>
        <w:ind w:left="720" w:hanging="720"/>
      </w:pPr>
      <w:r w:rsidRPr="003226B1">
        <w:t>42.</w:t>
      </w:r>
      <w:r w:rsidRPr="003226B1">
        <w:tab/>
        <w:t xml:space="preserve">Schempf, A.H. and D.M. Strobino, </w:t>
      </w:r>
      <w:r w:rsidRPr="003226B1">
        <w:rPr>
          <w:i/>
        </w:rPr>
        <w:t>Illicit drug use and adverse birth outcomes: Is it drugs or context?</w:t>
      </w:r>
      <w:r w:rsidRPr="003226B1">
        <w:t xml:space="preserve"> Journal of Urban Health, 2008. </w:t>
      </w:r>
      <w:r w:rsidRPr="003226B1">
        <w:rPr>
          <w:b/>
        </w:rPr>
        <w:t>85</w:t>
      </w:r>
      <w:r w:rsidRPr="003226B1">
        <w:t>(6): p. 858-873.</w:t>
      </w:r>
    </w:p>
    <w:p w14:paraId="266A2100" w14:textId="77777777" w:rsidR="003226B1" w:rsidRPr="003226B1" w:rsidRDefault="003226B1" w:rsidP="003226B1">
      <w:pPr>
        <w:pStyle w:val="EndNoteBibliography"/>
        <w:spacing w:after="0"/>
        <w:ind w:left="720" w:hanging="720"/>
      </w:pPr>
      <w:r w:rsidRPr="003226B1">
        <w:t>43.</w:t>
      </w:r>
      <w:r w:rsidRPr="003226B1">
        <w:tab/>
        <w:t xml:space="preserve">Caruso, G.D., </w:t>
      </w:r>
      <w:r w:rsidRPr="003226B1">
        <w:rPr>
          <w:i/>
        </w:rPr>
        <w:t>Public Health and Safety: The Social Determinants of Health and Criminal Behavior</w:t>
      </w:r>
      <w:r w:rsidRPr="003226B1">
        <w:t>. 2017, UK: ResesarchersLinks Books.</w:t>
      </w:r>
    </w:p>
    <w:p w14:paraId="779120DD" w14:textId="77777777" w:rsidR="003226B1" w:rsidRPr="003226B1" w:rsidRDefault="003226B1" w:rsidP="003226B1">
      <w:pPr>
        <w:pStyle w:val="EndNoteBibliography"/>
        <w:spacing w:after="0"/>
        <w:ind w:left="720" w:hanging="720"/>
      </w:pPr>
      <w:r w:rsidRPr="003226B1">
        <w:t>44.</w:t>
      </w:r>
      <w:r w:rsidRPr="003226B1">
        <w:tab/>
        <w:t>Greenwald, G.,</w:t>
      </w:r>
      <w:r w:rsidRPr="003226B1">
        <w:rPr>
          <w:i/>
        </w:rPr>
        <w:t xml:space="preserve"> Drug decriminalization in Portugal: Lessons for creating fair and successful drug policies</w:t>
      </w:r>
      <w:r w:rsidRPr="003226B1">
        <w:t>. 2009, Cato Institute: Washington, DC.</w:t>
      </w:r>
    </w:p>
    <w:p w14:paraId="1873DF83" w14:textId="77777777" w:rsidR="003226B1" w:rsidRPr="003226B1" w:rsidRDefault="003226B1" w:rsidP="003226B1">
      <w:pPr>
        <w:pStyle w:val="EndNoteBibliography"/>
        <w:spacing w:after="0"/>
        <w:ind w:left="720" w:hanging="720"/>
      </w:pPr>
      <w:r w:rsidRPr="003226B1">
        <w:t>45.</w:t>
      </w:r>
      <w:r w:rsidRPr="003226B1">
        <w:tab/>
        <w:t xml:space="preserve">Greer, A., et al., </w:t>
      </w:r>
      <w:r w:rsidRPr="003226B1">
        <w:rPr>
          <w:i/>
        </w:rPr>
        <w:t>The details of decriminalization: Designing a non-criminal response to the possession of drugs for personal use.</w:t>
      </w:r>
      <w:r w:rsidRPr="003226B1">
        <w:t xml:space="preserve"> International Journal of Drug Policy, 2022. </w:t>
      </w:r>
      <w:r w:rsidRPr="003226B1">
        <w:rPr>
          <w:b/>
        </w:rPr>
        <w:t>102</w:t>
      </w:r>
      <w:r w:rsidRPr="003226B1">
        <w:t>.</w:t>
      </w:r>
    </w:p>
    <w:p w14:paraId="360DF255" w14:textId="77777777" w:rsidR="003226B1" w:rsidRPr="003226B1" w:rsidRDefault="003226B1" w:rsidP="003226B1">
      <w:pPr>
        <w:pStyle w:val="EndNoteBibliography"/>
        <w:spacing w:after="0"/>
        <w:ind w:left="720" w:hanging="720"/>
      </w:pPr>
      <w:r w:rsidRPr="003226B1">
        <w:t>46.</w:t>
      </w:r>
      <w:r w:rsidRPr="003226B1">
        <w:tab/>
        <w:t xml:space="preserve">Orsini, M., </w:t>
      </w:r>
      <w:r w:rsidRPr="003226B1">
        <w:rPr>
          <w:i/>
        </w:rPr>
        <w:t>Effects of drug policy liberalization on public safety: A review of the literature</w:t>
      </w:r>
      <w:r w:rsidRPr="003226B1">
        <w:t>. 2022, Drug Enforcement and Policy Center, Moritz College of Law, Ohio State University: Columbus, OH.</w:t>
      </w:r>
    </w:p>
    <w:p w14:paraId="0437B7C1" w14:textId="77777777" w:rsidR="003226B1" w:rsidRPr="003226B1" w:rsidRDefault="003226B1" w:rsidP="003226B1">
      <w:pPr>
        <w:pStyle w:val="EndNoteBibliography"/>
        <w:spacing w:after="0"/>
        <w:ind w:left="720" w:hanging="720"/>
      </w:pPr>
      <w:r w:rsidRPr="003226B1">
        <w:t>47.</w:t>
      </w:r>
      <w:r w:rsidRPr="003226B1">
        <w:tab/>
        <w:t xml:space="preserve">Hughes, C., et al., </w:t>
      </w:r>
      <w:r w:rsidRPr="003226B1">
        <w:rPr>
          <w:i/>
        </w:rPr>
        <w:t>Models for the decriminalisation, depenalisation and diversion of illicit drug possession: An international realist review</w:t>
      </w:r>
      <w:r w:rsidRPr="003226B1">
        <w:t xml:space="preserve">, in </w:t>
      </w:r>
      <w:r w:rsidRPr="003226B1">
        <w:rPr>
          <w:i/>
        </w:rPr>
        <w:t>2019 International Society for the Study of Drug Policy Conference</w:t>
      </w:r>
      <w:r w:rsidRPr="003226B1">
        <w:t>. 2019: Paris.</w:t>
      </w:r>
    </w:p>
    <w:p w14:paraId="10C33782" w14:textId="77777777" w:rsidR="003226B1" w:rsidRPr="003226B1" w:rsidRDefault="003226B1" w:rsidP="003226B1">
      <w:pPr>
        <w:pStyle w:val="EndNoteBibliography"/>
        <w:spacing w:after="0"/>
        <w:ind w:left="720" w:hanging="720"/>
      </w:pPr>
      <w:r w:rsidRPr="003226B1">
        <w:t>48.</w:t>
      </w:r>
      <w:r w:rsidRPr="003226B1">
        <w:tab/>
        <w:t xml:space="preserve">Gonçalves, R., A. Lourenço, and S.N. da Silva, </w:t>
      </w:r>
      <w:r w:rsidRPr="003226B1">
        <w:rPr>
          <w:i/>
        </w:rPr>
        <w:t>A social cost perspective in the wake of the Portuguese strategy for the fight against drugs.</w:t>
      </w:r>
      <w:r w:rsidRPr="003226B1">
        <w:t xml:space="preserve"> International Journal of Drug Policy, 2015. </w:t>
      </w:r>
      <w:r w:rsidRPr="003226B1">
        <w:rPr>
          <w:b/>
        </w:rPr>
        <w:t>26</w:t>
      </w:r>
      <w:r w:rsidRPr="003226B1">
        <w:t>(2): p. 199-209.</w:t>
      </w:r>
    </w:p>
    <w:p w14:paraId="0E1D951C" w14:textId="77777777" w:rsidR="003226B1" w:rsidRPr="003226B1" w:rsidRDefault="003226B1" w:rsidP="003226B1">
      <w:pPr>
        <w:pStyle w:val="EndNoteBibliography"/>
        <w:spacing w:after="0"/>
        <w:ind w:left="720" w:hanging="720"/>
      </w:pPr>
      <w:r w:rsidRPr="003226B1">
        <w:t>49.</w:t>
      </w:r>
      <w:r w:rsidRPr="003226B1">
        <w:tab/>
        <w:t xml:space="preserve">Hughes, C.E. and A. Stevens, </w:t>
      </w:r>
      <w:r w:rsidRPr="003226B1">
        <w:rPr>
          <w:i/>
        </w:rPr>
        <w:t>What can we learn from the Portuguese decriminalization of illicit drugs?</w:t>
      </w:r>
      <w:r w:rsidRPr="003226B1">
        <w:t xml:space="preserve"> British Journal of Criminology, 2010. </w:t>
      </w:r>
      <w:r w:rsidRPr="003226B1">
        <w:rPr>
          <w:b/>
        </w:rPr>
        <w:t>50</w:t>
      </w:r>
      <w:r w:rsidRPr="003226B1">
        <w:t>(6): p. 999-1022.</w:t>
      </w:r>
    </w:p>
    <w:p w14:paraId="0981F744" w14:textId="77777777" w:rsidR="003226B1" w:rsidRPr="003226B1" w:rsidRDefault="003226B1" w:rsidP="003226B1">
      <w:pPr>
        <w:pStyle w:val="EndNoteBibliography"/>
        <w:spacing w:after="0"/>
        <w:ind w:left="720" w:hanging="720"/>
      </w:pPr>
      <w:r w:rsidRPr="003226B1">
        <w:t>50.</w:t>
      </w:r>
      <w:r w:rsidRPr="003226B1">
        <w:tab/>
        <w:t xml:space="preserve">Tran, A.D., D. Weatherburn, and S. Poynton, </w:t>
      </w:r>
      <w:r w:rsidRPr="003226B1">
        <w:rPr>
          <w:i/>
        </w:rPr>
        <w:t>The savings associated with decriminalization of drug use in New South Wales, Australia: A comparison of four drug policies.</w:t>
      </w:r>
      <w:r w:rsidRPr="003226B1">
        <w:t xml:space="preserve"> Journal of Substance Use and Addiction Treatment, 2023.</w:t>
      </w:r>
    </w:p>
    <w:p w14:paraId="20C7CD2C" w14:textId="3242622C" w:rsidR="003226B1" w:rsidRPr="003226B1" w:rsidRDefault="003226B1" w:rsidP="003226B1">
      <w:pPr>
        <w:pStyle w:val="EndNoteBibliography"/>
        <w:spacing w:after="0"/>
        <w:ind w:left="720" w:hanging="720"/>
      </w:pPr>
      <w:r w:rsidRPr="003226B1">
        <w:t>51.</w:t>
      </w:r>
      <w:r w:rsidRPr="003226B1">
        <w:tab/>
        <w:t xml:space="preserve">Release LEADS Ltd. </w:t>
      </w:r>
      <w:r w:rsidRPr="003226B1">
        <w:rPr>
          <w:i/>
        </w:rPr>
        <w:t>Drug decriminalisation across the world</w:t>
      </w:r>
      <w:r w:rsidRPr="003226B1">
        <w:t xml:space="preserve">. Talking Drugs 2023 Retrieved 15 February 2023; Available from: </w:t>
      </w:r>
      <w:hyperlink r:id="rId21" w:history="1">
        <w:r w:rsidRPr="003226B1">
          <w:rPr>
            <w:rStyle w:val="Hyperlink"/>
            <w:rFonts w:ascii="Avenir Next" w:hAnsi="Avenir Next"/>
          </w:rPr>
          <w:t>https://www.talkingdrugs.org/drug-decriminalisation</w:t>
        </w:r>
      </w:hyperlink>
      <w:r w:rsidRPr="003226B1">
        <w:t>.</w:t>
      </w:r>
    </w:p>
    <w:p w14:paraId="6B14B26C" w14:textId="77777777" w:rsidR="003226B1" w:rsidRPr="003226B1" w:rsidRDefault="003226B1" w:rsidP="003226B1">
      <w:pPr>
        <w:pStyle w:val="EndNoteBibliography"/>
        <w:spacing w:after="0"/>
        <w:ind w:left="720" w:hanging="720"/>
      </w:pPr>
      <w:r w:rsidRPr="003226B1">
        <w:t>52.</w:t>
      </w:r>
      <w:r w:rsidRPr="003226B1">
        <w:tab/>
        <w:t xml:space="preserve">Fischer, B., N. Boyd, and S. Brochu, </w:t>
      </w:r>
      <w:r w:rsidRPr="003226B1">
        <w:rPr>
          <w:i/>
        </w:rPr>
        <w:t>Proposals for decriminalization of illicit drug use: Considering a combination of déjà-vu, diversion and devil-with-many-details for health-oriented policy reform.</w:t>
      </w:r>
      <w:r w:rsidRPr="003226B1">
        <w:t xml:space="preserve"> The Canadian Journal of Psychiatry, 2022. </w:t>
      </w:r>
      <w:r w:rsidRPr="003226B1">
        <w:rPr>
          <w:b/>
        </w:rPr>
        <w:t>67</w:t>
      </w:r>
      <w:r w:rsidRPr="003226B1">
        <w:t>(1): p. 13-15.</w:t>
      </w:r>
    </w:p>
    <w:p w14:paraId="71643A8E" w14:textId="77777777" w:rsidR="003226B1" w:rsidRPr="003226B1" w:rsidRDefault="003226B1" w:rsidP="003226B1">
      <w:pPr>
        <w:pStyle w:val="EndNoteBibliography"/>
        <w:spacing w:after="0"/>
        <w:ind w:left="720" w:hanging="720"/>
      </w:pPr>
      <w:r w:rsidRPr="003226B1">
        <w:t>53.</w:t>
      </w:r>
      <w:r w:rsidRPr="003226B1">
        <w:tab/>
        <w:t xml:space="preserve">Bhui, K.S., et al., </w:t>
      </w:r>
      <w:r w:rsidRPr="003226B1">
        <w:rPr>
          <w:i/>
        </w:rPr>
        <w:t>Addiction care in crisis: Evidence should drive progressive policy and practice.</w:t>
      </w:r>
      <w:r w:rsidRPr="003226B1">
        <w:t xml:space="preserve"> British Journal of Psychiatry, 2019. </w:t>
      </w:r>
      <w:r w:rsidRPr="003226B1">
        <w:rPr>
          <w:b/>
        </w:rPr>
        <w:t>215</w:t>
      </w:r>
      <w:r w:rsidRPr="003226B1">
        <w:t>(6): p. 702-703.</w:t>
      </w:r>
    </w:p>
    <w:p w14:paraId="4162D99B" w14:textId="5A5F2B42" w:rsidR="003226B1" w:rsidRPr="003226B1" w:rsidRDefault="003226B1" w:rsidP="003226B1">
      <w:pPr>
        <w:pStyle w:val="EndNoteBibliography"/>
        <w:spacing w:after="0"/>
        <w:ind w:left="720" w:hanging="720"/>
      </w:pPr>
      <w:r w:rsidRPr="003226B1">
        <w:t>54.</w:t>
      </w:r>
      <w:r w:rsidRPr="003226B1">
        <w:tab/>
        <w:t xml:space="preserve">Institute for Health Metrics and Evaluation (IHME). </w:t>
      </w:r>
      <w:r w:rsidRPr="003226B1">
        <w:rPr>
          <w:i/>
        </w:rPr>
        <w:t>GBD Compare</w:t>
      </w:r>
      <w:r w:rsidRPr="003226B1">
        <w:t xml:space="preserve">. 2019  Retrieved 1st March 2023]; Available from: </w:t>
      </w:r>
      <w:hyperlink r:id="rId22" w:history="1">
        <w:r w:rsidRPr="003226B1">
          <w:rPr>
            <w:rStyle w:val="Hyperlink"/>
            <w:rFonts w:ascii="Avenir Next" w:hAnsi="Avenir Next"/>
          </w:rPr>
          <w:t>https://vizhub.healthdata.org/gbd-compare/</w:t>
        </w:r>
      </w:hyperlink>
      <w:r w:rsidRPr="003226B1">
        <w:t>.</w:t>
      </w:r>
    </w:p>
    <w:p w14:paraId="30FD3C5D" w14:textId="77777777" w:rsidR="003226B1" w:rsidRPr="003226B1" w:rsidRDefault="003226B1" w:rsidP="003226B1">
      <w:pPr>
        <w:pStyle w:val="EndNoteBibliography"/>
        <w:spacing w:after="0"/>
        <w:ind w:left="720" w:hanging="720"/>
      </w:pPr>
      <w:r w:rsidRPr="003226B1">
        <w:t>55.</w:t>
      </w:r>
      <w:r w:rsidRPr="003226B1">
        <w:tab/>
        <w:t xml:space="preserve">Harrington, C., </w:t>
      </w:r>
      <w:r w:rsidRPr="003226B1">
        <w:rPr>
          <w:i/>
        </w:rPr>
        <w:t>After fifty years of the War on Drugs, the nation looks west: Why Oregon required the Drug Addiction Treatment and Recovery Act and what we can learn from it.</w:t>
      </w:r>
      <w:r w:rsidRPr="003226B1">
        <w:t xml:space="preserve"> Seton Hall Law Review, 2023. </w:t>
      </w:r>
      <w:r w:rsidRPr="003226B1">
        <w:rPr>
          <w:b/>
        </w:rPr>
        <w:t>53</w:t>
      </w:r>
      <w:r w:rsidRPr="003226B1">
        <w:t>: p. 1005-1033.</w:t>
      </w:r>
    </w:p>
    <w:p w14:paraId="1A523547" w14:textId="77777777" w:rsidR="003226B1" w:rsidRPr="003226B1" w:rsidRDefault="003226B1" w:rsidP="003226B1">
      <w:pPr>
        <w:pStyle w:val="EndNoteBibliography"/>
        <w:spacing w:after="0"/>
        <w:ind w:left="720" w:hanging="720"/>
      </w:pPr>
      <w:r w:rsidRPr="003226B1">
        <w:t>56.</w:t>
      </w:r>
      <w:r w:rsidRPr="003226B1">
        <w:tab/>
        <w:t xml:space="preserve">Walker, G.d.Q., </w:t>
      </w:r>
      <w:r w:rsidRPr="003226B1">
        <w:rPr>
          <w:i/>
        </w:rPr>
        <w:t>The Rule of Law: Foundation of constitutional democracy</w:t>
      </w:r>
      <w:r w:rsidRPr="003226B1">
        <w:t>. 1st ed. 1988, Carlton, VIC: Melbourne University Press.</w:t>
      </w:r>
    </w:p>
    <w:p w14:paraId="7A71EDB7" w14:textId="77777777" w:rsidR="003226B1" w:rsidRPr="003226B1" w:rsidRDefault="003226B1" w:rsidP="003226B1">
      <w:pPr>
        <w:pStyle w:val="EndNoteBibliography"/>
        <w:spacing w:after="0"/>
        <w:ind w:left="720" w:hanging="720"/>
      </w:pPr>
      <w:r w:rsidRPr="003226B1">
        <w:t>57.</w:t>
      </w:r>
      <w:r w:rsidRPr="003226B1">
        <w:tab/>
        <w:t xml:space="preserve">Beavis, L. </w:t>
      </w:r>
      <w:r w:rsidRPr="003226B1">
        <w:rPr>
          <w:i/>
        </w:rPr>
        <w:t>Number of Aboriginal Tasmanians in prison more than doubles in a decade</w:t>
      </w:r>
      <w:r w:rsidRPr="003226B1">
        <w:t>. ABC News, 2023.</w:t>
      </w:r>
    </w:p>
    <w:p w14:paraId="09EE8C0C" w14:textId="77777777" w:rsidR="003226B1" w:rsidRPr="003226B1" w:rsidRDefault="003226B1" w:rsidP="003226B1">
      <w:pPr>
        <w:pStyle w:val="EndNoteBibliography"/>
        <w:spacing w:after="0"/>
        <w:ind w:left="720" w:hanging="720"/>
      </w:pPr>
      <w:r w:rsidRPr="003226B1">
        <w:t>58.</w:t>
      </w:r>
      <w:r w:rsidRPr="003226B1">
        <w:tab/>
        <w:t xml:space="preserve">Tasmanian Law Reform Institute, </w:t>
      </w:r>
      <w:r w:rsidRPr="003226B1">
        <w:rPr>
          <w:i/>
        </w:rPr>
        <w:t>The Establishment of a Drug Court Pilot in Tasmania</w:t>
      </w:r>
      <w:r w:rsidRPr="003226B1">
        <w:t>. 2006, Tasmanian Law Reform Insitute: Hobart, TAS.</w:t>
      </w:r>
    </w:p>
    <w:p w14:paraId="53CD1A37" w14:textId="77777777" w:rsidR="003226B1" w:rsidRPr="003226B1" w:rsidRDefault="003226B1" w:rsidP="003226B1">
      <w:pPr>
        <w:pStyle w:val="EndNoteBibliography"/>
        <w:spacing w:after="0"/>
        <w:ind w:left="720" w:hanging="720"/>
      </w:pPr>
      <w:r w:rsidRPr="003226B1">
        <w:t>59.</w:t>
      </w:r>
      <w:r w:rsidRPr="003226B1">
        <w:tab/>
        <w:t xml:space="preserve">Chrzanowska, A., et al., </w:t>
      </w:r>
      <w:r w:rsidRPr="003226B1">
        <w:rPr>
          <w:i/>
        </w:rPr>
        <w:t>Trends in overdose and other drug-induced deaths in Australia, 1997-2020</w:t>
      </w:r>
      <w:r w:rsidRPr="003226B1">
        <w:t>. 2022, National Drug and Alcohol Research Centre (NDARC), UNSW Sydney: Sydney. NSW.</w:t>
      </w:r>
    </w:p>
    <w:p w14:paraId="2556972C" w14:textId="77777777" w:rsidR="003226B1" w:rsidRPr="003226B1" w:rsidRDefault="003226B1" w:rsidP="003226B1">
      <w:pPr>
        <w:pStyle w:val="EndNoteBibliography"/>
        <w:spacing w:after="0"/>
        <w:ind w:left="720" w:hanging="720"/>
      </w:pPr>
      <w:r w:rsidRPr="003226B1">
        <w:t>60.</w:t>
      </w:r>
      <w:r w:rsidRPr="003226B1">
        <w:tab/>
        <w:t xml:space="preserve">Litz, B.T., et al., </w:t>
      </w:r>
      <w:r w:rsidRPr="003226B1">
        <w:rPr>
          <w:i/>
        </w:rPr>
        <w:t>Moral injury and moral repair in war veterans: A preliminary model and intervention strategy.</w:t>
      </w:r>
      <w:r w:rsidRPr="003226B1">
        <w:t xml:space="preserve"> Clinical Psychology Review, 2009. </w:t>
      </w:r>
      <w:r w:rsidRPr="003226B1">
        <w:rPr>
          <w:b/>
        </w:rPr>
        <w:t>29</w:t>
      </w:r>
      <w:r w:rsidRPr="003226B1">
        <w:t>(8): p. 695-706.</w:t>
      </w:r>
    </w:p>
    <w:p w14:paraId="3B602D7D" w14:textId="77777777" w:rsidR="003226B1" w:rsidRPr="003226B1" w:rsidRDefault="003226B1" w:rsidP="003226B1">
      <w:pPr>
        <w:pStyle w:val="EndNoteBibliography"/>
        <w:spacing w:after="0"/>
        <w:ind w:left="720" w:hanging="720"/>
      </w:pPr>
      <w:r w:rsidRPr="003226B1">
        <w:t>61.</w:t>
      </w:r>
      <w:r w:rsidRPr="003226B1">
        <w:tab/>
        <w:t xml:space="preserve">Bartl, B., </w:t>
      </w:r>
      <w:r w:rsidRPr="003226B1">
        <w:rPr>
          <w:i/>
        </w:rPr>
        <w:t>The 'Day Fine' - Improving equality before the law in Australian sentencing.</w:t>
      </w:r>
      <w:r w:rsidRPr="003226B1">
        <w:t xml:space="preserve"> University of Western Sydney Law Review, 2012. </w:t>
      </w:r>
      <w:r w:rsidRPr="003226B1">
        <w:rPr>
          <w:b/>
        </w:rPr>
        <w:t>16</w:t>
      </w:r>
      <w:r w:rsidRPr="003226B1">
        <w:t>: p. 48-78.</w:t>
      </w:r>
    </w:p>
    <w:p w14:paraId="084659B8" w14:textId="1796BA1B" w:rsidR="003226B1" w:rsidRPr="003226B1" w:rsidRDefault="003226B1" w:rsidP="003226B1">
      <w:pPr>
        <w:pStyle w:val="EndNoteBibliography"/>
        <w:spacing w:after="0"/>
        <w:ind w:left="720" w:hanging="720"/>
      </w:pPr>
      <w:r w:rsidRPr="003226B1">
        <w:t>62.</w:t>
      </w:r>
      <w:r w:rsidRPr="003226B1">
        <w:tab/>
        <w:t xml:space="preserve">World Health Organization. </w:t>
      </w:r>
      <w:r w:rsidRPr="003226B1">
        <w:rPr>
          <w:i/>
        </w:rPr>
        <w:t>The Global Health Observatory</w:t>
      </w:r>
      <w:r w:rsidRPr="003226B1">
        <w:t xml:space="preserve">. 2023  Retrieved 17th March 2023]; Available from: </w:t>
      </w:r>
      <w:hyperlink r:id="rId23" w:history="1">
        <w:r w:rsidRPr="003226B1">
          <w:rPr>
            <w:rStyle w:val="Hyperlink"/>
            <w:rFonts w:ascii="Avenir Next" w:hAnsi="Avenir Next"/>
          </w:rPr>
          <w:t>https://www.who.int/data/gho</w:t>
        </w:r>
      </w:hyperlink>
      <w:r w:rsidRPr="003226B1">
        <w:t>.</w:t>
      </w:r>
    </w:p>
    <w:p w14:paraId="30C4D39C" w14:textId="77777777" w:rsidR="003226B1" w:rsidRPr="003226B1" w:rsidRDefault="003226B1" w:rsidP="003226B1">
      <w:pPr>
        <w:pStyle w:val="EndNoteBibliography"/>
        <w:spacing w:after="0"/>
        <w:ind w:left="720" w:hanging="720"/>
      </w:pPr>
      <w:r w:rsidRPr="003226B1">
        <w:t>63.</w:t>
      </w:r>
      <w:r w:rsidRPr="003226B1">
        <w:tab/>
        <w:t xml:space="preserve">Levine, K.L., J.C. Hinkle, and E. Griffiths, </w:t>
      </w:r>
      <w:r w:rsidRPr="003226B1">
        <w:rPr>
          <w:i/>
        </w:rPr>
        <w:t>Making deflection the new diversion for drug offenders.</w:t>
      </w:r>
      <w:r w:rsidRPr="003226B1">
        <w:t xml:space="preserve"> Ohio State Journal of Criminal Law, 2021. </w:t>
      </w:r>
      <w:r w:rsidRPr="003226B1">
        <w:rPr>
          <w:b/>
        </w:rPr>
        <w:t>19</w:t>
      </w:r>
      <w:r w:rsidRPr="003226B1">
        <w:t>(1): p. 75-118.</w:t>
      </w:r>
    </w:p>
    <w:p w14:paraId="5F083254" w14:textId="77777777" w:rsidR="003226B1" w:rsidRPr="003226B1" w:rsidRDefault="003226B1" w:rsidP="003226B1">
      <w:pPr>
        <w:pStyle w:val="EndNoteBibliography"/>
        <w:spacing w:after="0"/>
        <w:ind w:left="720" w:hanging="720"/>
      </w:pPr>
      <w:r w:rsidRPr="003226B1">
        <w:t>64.</w:t>
      </w:r>
      <w:r w:rsidRPr="003226B1">
        <w:tab/>
        <w:t xml:space="preserve">Sentencing Advisory Council, </w:t>
      </w:r>
      <w:r w:rsidRPr="003226B1">
        <w:rPr>
          <w:i/>
        </w:rPr>
        <w:t>Review under Section 2 of the Sentencing Amendment (Phasing out of Suspended Sentences) Act 2017. Final Report no. 11.</w:t>
      </w:r>
      <w:r w:rsidRPr="003226B1">
        <w:t xml:space="preserve"> 2021, Sentencing Advisory Council: Hobart, TAS.</w:t>
      </w:r>
    </w:p>
    <w:p w14:paraId="6770A9BE" w14:textId="0DC537D8" w:rsidR="003226B1" w:rsidRPr="003226B1" w:rsidRDefault="003226B1" w:rsidP="003226B1">
      <w:pPr>
        <w:pStyle w:val="EndNoteBibliography"/>
        <w:spacing w:after="0"/>
        <w:ind w:left="720" w:hanging="720"/>
      </w:pPr>
      <w:r w:rsidRPr="003226B1">
        <w:t>65.</w:t>
      </w:r>
      <w:r w:rsidRPr="003226B1">
        <w:tab/>
        <w:t xml:space="preserve">Open Arms - Veterans &amp; Families Counselling. </w:t>
      </w:r>
      <w:r w:rsidRPr="003226B1">
        <w:rPr>
          <w:i/>
        </w:rPr>
        <w:t>Drug use disorders</w:t>
      </w:r>
      <w:r w:rsidRPr="003226B1">
        <w:t xml:space="preserve">. 2019  Retrieved 24th March 2023]; Available from: </w:t>
      </w:r>
      <w:hyperlink r:id="rId24" w:history="1">
        <w:r w:rsidRPr="003226B1">
          <w:rPr>
            <w:rStyle w:val="Hyperlink"/>
            <w:rFonts w:ascii="Avenir Next" w:hAnsi="Avenir Next"/>
          </w:rPr>
          <w:t>https://www.openarms.gov.au/signs-symptoms/alcohol-and-substance-use/drug-use-disorders</w:t>
        </w:r>
      </w:hyperlink>
      <w:r w:rsidRPr="003226B1">
        <w:t>.</w:t>
      </w:r>
    </w:p>
    <w:p w14:paraId="664D4B61" w14:textId="77777777" w:rsidR="003226B1" w:rsidRPr="003226B1" w:rsidRDefault="003226B1" w:rsidP="003226B1">
      <w:pPr>
        <w:pStyle w:val="EndNoteBibliography"/>
        <w:spacing w:after="0"/>
        <w:ind w:left="720" w:hanging="720"/>
      </w:pPr>
      <w:r w:rsidRPr="003226B1">
        <w:t>66.</w:t>
      </w:r>
      <w:r w:rsidRPr="003226B1">
        <w:tab/>
        <w:t xml:space="preserve">Isobel, S., et al., </w:t>
      </w:r>
      <w:r w:rsidRPr="003226B1">
        <w:rPr>
          <w:i/>
        </w:rPr>
        <w:t>Preventing intergenerational trauma transmission: A critical interpretive synthesis.</w:t>
      </w:r>
      <w:r w:rsidRPr="003226B1">
        <w:t xml:space="preserve"> Journal of Clinical Nursing, 2018. </w:t>
      </w:r>
      <w:r w:rsidRPr="003226B1">
        <w:rPr>
          <w:b/>
        </w:rPr>
        <w:t>28</w:t>
      </w:r>
      <w:r w:rsidRPr="003226B1">
        <w:t>: p. 1100-1113.</w:t>
      </w:r>
    </w:p>
    <w:p w14:paraId="62879278" w14:textId="77777777" w:rsidR="003226B1" w:rsidRPr="003226B1" w:rsidRDefault="003226B1" w:rsidP="003226B1">
      <w:pPr>
        <w:pStyle w:val="EndNoteBibliography"/>
        <w:spacing w:after="0"/>
        <w:ind w:left="720" w:hanging="720"/>
      </w:pPr>
      <w:r w:rsidRPr="003226B1">
        <w:t>67.</w:t>
      </w:r>
      <w:r w:rsidRPr="003226B1">
        <w:tab/>
        <w:t xml:space="preserve">Weaver, H.N., </w:t>
      </w:r>
      <w:r w:rsidRPr="003226B1">
        <w:rPr>
          <w:i/>
        </w:rPr>
        <w:t>Indigenous struggles for justice</w:t>
      </w:r>
      <w:r w:rsidRPr="003226B1">
        <w:t xml:space="preserve">, in </w:t>
      </w:r>
      <w:r w:rsidRPr="003226B1">
        <w:rPr>
          <w:i/>
        </w:rPr>
        <w:t xml:space="preserve">The Routledge International Handbook of Social Justice </w:t>
      </w:r>
      <w:r w:rsidRPr="003226B1">
        <w:t>M. Reisch, Editor. 2014, Routledge: London. p. 111-122.</w:t>
      </w:r>
    </w:p>
    <w:p w14:paraId="6A21D762" w14:textId="77777777" w:rsidR="003226B1" w:rsidRPr="003226B1" w:rsidRDefault="003226B1" w:rsidP="003226B1">
      <w:pPr>
        <w:pStyle w:val="EndNoteBibliography"/>
        <w:spacing w:after="0"/>
        <w:ind w:left="720" w:hanging="720"/>
      </w:pPr>
      <w:r w:rsidRPr="003226B1">
        <w:t>68.</w:t>
      </w:r>
      <w:r w:rsidRPr="003226B1">
        <w:tab/>
        <w:t xml:space="preserve">Reamer, F.G., </w:t>
      </w:r>
      <w:r w:rsidRPr="003226B1">
        <w:rPr>
          <w:i/>
        </w:rPr>
        <w:t>Social justice and criminal justice</w:t>
      </w:r>
      <w:r w:rsidRPr="003226B1">
        <w:t xml:space="preserve">, in </w:t>
      </w:r>
      <w:r w:rsidRPr="003226B1">
        <w:rPr>
          <w:i/>
        </w:rPr>
        <w:t xml:space="preserve">The Routledge International Handbook of Social Justice </w:t>
      </w:r>
      <w:r w:rsidRPr="003226B1">
        <w:t>M. Reisch, Editor. 2014, Routledge: London. p. 269-285.</w:t>
      </w:r>
    </w:p>
    <w:p w14:paraId="6897DB36" w14:textId="77777777" w:rsidR="003226B1" w:rsidRPr="003226B1" w:rsidRDefault="003226B1" w:rsidP="003226B1">
      <w:pPr>
        <w:pStyle w:val="EndNoteBibliography"/>
        <w:spacing w:after="0"/>
        <w:ind w:left="720" w:hanging="720"/>
      </w:pPr>
      <w:r w:rsidRPr="003226B1">
        <w:t>69.</w:t>
      </w:r>
      <w:r w:rsidRPr="003226B1">
        <w:tab/>
        <w:t xml:space="preserve">Marmot, M. and R.G. Wilkinson, </w:t>
      </w:r>
      <w:r w:rsidRPr="003226B1">
        <w:rPr>
          <w:i/>
        </w:rPr>
        <w:t>The Social Determinants of Health</w:t>
      </w:r>
      <w:r w:rsidRPr="003226B1">
        <w:t>. 2005, Oxford: Oxford University Press.</w:t>
      </w:r>
    </w:p>
    <w:p w14:paraId="2FD9C9A0" w14:textId="77777777" w:rsidR="003226B1" w:rsidRPr="003226B1" w:rsidRDefault="003226B1" w:rsidP="003226B1">
      <w:pPr>
        <w:pStyle w:val="EndNoteBibliography"/>
        <w:spacing w:after="0"/>
        <w:ind w:left="720" w:hanging="720"/>
      </w:pPr>
      <w:r w:rsidRPr="003226B1">
        <w:t>70.</w:t>
      </w:r>
      <w:r w:rsidRPr="003226B1">
        <w:tab/>
        <w:t xml:space="preserve">Strother Ratcliffe, K., </w:t>
      </w:r>
      <w:r w:rsidRPr="003226B1">
        <w:rPr>
          <w:i/>
        </w:rPr>
        <w:t>The Social Determinants of Health: Looking Upstream</w:t>
      </w:r>
      <w:r w:rsidRPr="003226B1">
        <w:t>. 2017: Polity.</w:t>
      </w:r>
    </w:p>
    <w:p w14:paraId="0E88F074" w14:textId="0939B24F" w:rsidR="003226B1" w:rsidRPr="003226B1" w:rsidRDefault="003226B1" w:rsidP="003226B1">
      <w:pPr>
        <w:pStyle w:val="EndNoteBibliography"/>
        <w:ind w:left="720" w:hanging="720"/>
      </w:pPr>
      <w:r w:rsidRPr="003226B1">
        <w:t>71.</w:t>
      </w:r>
      <w:r w:rsidRPr="003226B1">
        <w:tab/>
        <w:t xml:space="preserve">World Health Organization. </w:t>
      </w:r>
      <w:r w:rsidRPr="003226B1">
        <w:rPr>
          <w:i/>
        </w:rPr>
        <w:t>Social determinants of health</w:t>
      </w:r>
      <w:r w:rsidRPr="003226B1">
        <w:t xml:space="preserve">. n.d.  Retrieved 20th March 2023]; Available from: </w:t>
      </w:r>
      <w:hyperlink r:id="rId25" w:anchor="tab=tab_1" w:history="1">
        <w:r w:rsidRPr="003226B1">
          <w:rPr>
            <w:rStyle w:val="Hyperlink"/>
            <w:rFonts w:ascii="Avenir Next" w:hAnsi="Avenir Next"/>
          </w:rPr>
          <w:t>https://www.who.int/health-topics/social-determinants-of-health#tab=tab_1</w:t>
        </w:r>
      </w:hyperlink>
      <w:r w:rsidRPr="003226B1">
        <w:t>.</w:t>
      </w:r>
    </w:p>
    <w:p w14:paraId="4B742A98" w14:textId="3CE73FD7" w:rsidR="005D5F17" w:rsidRDefault="00B153E7" w:rsidP="00603D80">
      <w:pPr>
        <w:pStyle w:val="EndNoteBibliography"/>
        <w:rPr>
          <w:rFonts w:ascii="AvenirNextLTPro-Demi"/>
          <w:b/>
          <w:sz w:val="27"/>
        </w:rPr>
      </w:pPr>
      <w:r>
        <w:rPr>
          <w:rFonts w:ascii="AvenirNextLTPro-Demi"/>
          <w:b/>
          <w:sz w:val="27"/>
        </w:rPr>
        <w:fldChar w:fldCharType="end"/>
      </w:r>
    </w:p>
    <w:sectPr w:rsidR="005D5F17" w:rsidSect="00080523">
      <w:pgSz w:w="11910"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8B6F0" w14:textId="77777777" w:rsidR="005A3B94" w:rsidRDefault="005A3B94" w:rsidP="00EB29D4">
      <w:pPr>
        <w:spacing w:before="0" w:after="0"/>
      </w:pPr>
      <w:r>
        <w:separator/>
      </w:r>
    </w:p>
  </w:endnote>
  <w:endnote w:type="continuationSeparator" w:id="0">
    <w:p w14:paraId="5B522E84" w14:textId="77777777" w:rsidR="005A3B94" w:rsidRDefault="005A3B94" w:rsidP="00EB29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Avenir Next LT Pro">
    <w:altName w:val="Calibri"/>
    <w:charset w:val="00"/>
    <w:family w:val="swiss"/>
    <w:pitch w:val="variable"/>
    <w:sig w:usb0="800000EF" w:usb1="5000204A" w:usb2="00000000" w:usb3="00000000" w:csb0="00000093"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0060690"/>
      <w:docPartObj>
        <w:docPartGallery w:val="Page Numbers (Bottom of Page)"/>
        <w:docPartUnique/>
      </w:docPartObj>
    </w:sdtPr>
    <w:sdtEndPr>
      <w:rPr>
        <w:rStyle w:val="PageNumber"/>
      </w:rPr>
    </w:sdtEndPr>
    <w:sdtContent>
      <w:p w14:paraId="0AC0407E" w14:textId="77777777" w:rsidR="005A3B94" w:rsidRDefault="005A3B94" w:rsidP="00F633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C76D1E2" w14:textId="77777777" w:rsidR="005A3B94" w:rsidRDefault="005A3B94" w:rsidP="00EB2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9F0B" w14:textId="77777777" w:rsidR="005A3B94" w:rsidRPr="00C61F11" w:rsidRDefault="005A3B94" w:rsidP="00A63955">
    <w:pPr>
      <w:pStyle w:val="Footer"/>
      <w:spacing w:before="120"/>
      <w:jc w:val="right"/>
      <w:rPr>
        <w:sz w:val="18"/>
        <w:szCs w:val="18"/>
      </w:rPr>
    </w:pPr>
    <w:r>
      <w:rPr>
        <w:sz w:val="18"/>
        <w:szCs w:val="18"/>
      </w:rPr>
      <w:t xml:space="preserve">ACTION FOR A HEALTHIER COMMUNITY </w:t>
    </w:r>
    <w:r w:rsidRPr="00C61F11">
      <w:rPr>
        <w:sz w:val="18"/>
        <w:szCs w:val="18"/>
      </w:rPr>
      <w:t xml:space="preserve">| </w:t>
    </w:r>
    <w:r w:rsidRPr="00C61F11">
      <w:rPr>
        <w:rFonts w:cs="Times New Roman"/>
        <w:sz w:val="18"/>
        <w:szCs w:val="18"/>
      </w:rPr>
      <w:fldChar w:fldCharType="begin"/>
    </w:r>
    <w:r w:rsidRPr="00C61F11">
      <w:rPr>
        <w:rFonts w:cs="Times New Roman"/>
        <w:sz w:val="18"/>
        <w:szCs w:val="18"/>
      </w:rPr>
      <w:instrText xml:space="preserve"> PAGE </w:instrText>
    </w:r>
    <w:r w:rsidRPr="00C61F11">
      <w:rPr>
        <w:rFonts w:cs="Times New Roman"/>
        <w:sz w:val="18"/>
        <w:szCs w:val="18"/>
      </w:rPr>
      <w:fldChar w:fldCharType="separate"/>
    </w:r>
    <w:r w:rsidRPr="00C61F11">
      <w:rPr>
        <w:rFonts w:cs="Times New Roman"/>
        <w:noProof/>
        <w:sz w:val="18"/>
        <w:szCs w:val="18"/>
      </w:rPr>
      <w:t>2</w:t>
    </w:r>
    <w:r w:rsidRPr="00C61F11">
      <w:rPr>
        <w:rFonts w:cs="Times New Roman"/>
        <w:sz w:val="18"/>
        <w:szCs w:val="18"/>
      </w:rPr>
      <w:fldChar w:fldCharType="end"/>
    </w:r>
    <w:r w:rsidRPr="00C61F11">
      <w:rPr>
        <w:rFonts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7E158" w14:textId="77777777" w:rsidR="005A3B94" w:rsidRDefault="005A3B94" w:rsidP="00EB29D4">
      <w:pPr>
        <w:spacing w:before="0" w:after="0"/>
      </w:pPr>
      <w:r>
        <w:separator/>
      </w:r>
    </w:p>
  </w:footnote>
  <w:footnote w:type="continuationSeparator" w:id="0">
    <w:p w14:paraId="1FA15B3B" w14:textId="77777777" w:rsidR="005A3B94" w:rsidRDefault="005A3B94" w:rsidP="00EB29D4">
      <w:pPr>
        <w:spacing w:before="0" w:after="0"/>
      </w:pPr>
      <w:r>
        <w:continuationSeparator/>
      </w:r>
    </w:p>
  </w:footnote>
  <w:footnote w:id="1">
    <w:p w14:paraId="23809E78" w14:textId="77777777" w:rsidR="005A3B94" w:rsidRPr="002B141E" w:rsidRDefault="005A3B94" w:rsidP="00F37A0E">
      <w:pPr>
        <w:pStyle w:val="FootnoteText"/>
        <w:rPr>
          <w:lang w:val="en-AU"/>
        </w:rPr>
      </w:pPr>
      <w:r>
        <w:rPr>
          <w:rStyle w:val="FootnoteReference"/>
        </w:rPr>
        <w:footnoteRef/>
      </w:r>
      <w:r>
        <w:t xml:space="preserve"> </w:t>
      </w:r>
      <w:r>
        <w:rPr>
          <w:lang w:val="en-AU"/>
        </w:rPr>
        <w:t xml:space="preserve">All quotes in this paper are from members of the Anglicare community, unless otherwise noted.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BC7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41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40DC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EC7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D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EC2D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2E9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6A5F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5C9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A9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58"/>
    <w:multiLevelType w:val="hybridMultilevel"/>
    <w:tmpl w:val="C8423138"/>
    <w:lvl w:ilvl="0" w:tplc="336030FE">
      <w:start w:val="1"/>
      <w:numFmt w:val="bullet"/>
      <w:lvlText w:val=""/>
      <w:lvlJc w:val="left"/>
      <w:pPr>
        <w:ind w:left="284" w:hanging="284"/>
      </w:pPr>
      <w:rPr>
        <w:rFonts w:ascii="Symbol" w:hAnsi="Symbol" w:hint="default"/>
        <w:color w:val="FFFFFF" w:themeColor="background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F659F5"/>
    <w:multiLevelType w:val="hybridMultilevel"/>
    <w:tmpl w:val="8654CFB0"/>
    <w:lvl w:ilvl="0" w:tplc="336030FE">
      <w:start w:val="1"/>
      <w:numFmt w:val="bullet"/>
      <w:lvlText w:val=""/>
      <w:lvlJc w:val="left"/>
      <w:pPr>
        <w:ind w:left="1136" w:hanging="284"/>
      </w:pPr>
      <w:rPr>
        <w:rFonts w:ascii="Symbol" w:hAnsi="Symbol" w:hint="default"/>
        <w:color w:val="FFFFFF" w:themeColor="background1"/>
        <w:u w:val="none"/>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2" w15:restartNumberingAfterBreak="0">
    <w:nsid w:val="09D861DD"/>
    <w:multiLevelType w:val="multilevel"/>
    <w:tmpl w:val="3C4A7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5A4B61"/>
    <w:multiLevelType w:val="hybridMultilevel"/>
    <w:tmpl w:val="276A6F4A"/>
    <w:lvl w:ilvl="0" w:tplc="0C090001">
      <w:start w:val="1"/>
      <w:numFmt w:val="bullet"/>
      <w:lvlText w:val=""/>
      <w:lvlJc w:val="left"/>
      <w:pPr>
        <w:ind w:left="284" w:hanging="284"/>
      </w:pPr>
      <w:rPr>
        <w:rFonts w:ascii="Symbol" w:hAnsi="Symbol" w:hint="default"/>
        <w:color w:val="E7B52A"/>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2F47A8"/>
    <w:multiLevelType w:val="hybridMultilevel"/>
    <w:tmpl w:val="4D8C4284"/>
    <w:lvl w:ilvl="0" w:tplc="4F16766E">
      <w:start w:val="1"/>
      <w:numFmt w:val="bullet"/>
      <w:lvlText w:val=""/>
      <w:lvlJc w:val="left"/>
      <w:pPr>
        <w:ind w:left="360" w:hanging="360"/>
      </w:pPr>
      <w:rPr>
        <w:rFonts w:ascii="Symbol" w:hAnsi="Symbol" w:hint="default"/>
        <w:b w:val="0"/>
        <w:i w:val="0"/>
        <w:color w:val="575F61"/>
        <w:sz w:val="24"/>
        <w:u w:val="none"/>
      </w:rPr>
    </w:lvl>
    <w:lvl w:ilvl="1" w:tplc="08090003">
      <w:start w:val="1"/>
      <w:numFmt w:val="bullet"/>
      <w:lvlText w:val="o"/>
      <w:lvlJc w:val="left"/>
      <w:pPr>
        <w:ind w:left="907" w:hanging="360"/>
      </w:pPr>
      <w:rPr>
        <w:rFonts w:ascii="Courier New" w:hAnsi="Courier New" w:cs="Courier New" w:hint="default"/>
      </w:rPr>
    </w:lvl>
    <w:lvl w:ilvl="2" w:tplc="08090005" w:tentative="1">
      <w:start w:val="1"/>
      <w:numFmt w:val="bullet"/>
      <w:lvlText w:val=""/>
      <w:lvlJc w:val="left"/>
      <w:pPr>
        <w:ind w:left="1627" w:hanging="360"/>
      </w:pPr>
      <w:rPr>
        <w:rFonts w:ascii="Wingdings" w:hAnsi="Wingdings" w:hint="default"/>
      </w:rPr>
    </w:lvl>
    <w:lvl w:ilvl="3" w:tplc="08090001" w:tentative="1">
      <w:start w:val="1"/>
      <w:numFmt w:val="bullet"/>
      <w:lvlText w:val=""/>
      <w:lvlJc w:val="left"/>
      <w:pPr>
        <w:ind w:left="2347" w:hanging="360"/>
      </w:pPr>
      <w:rPr>
        <w:rFonts w:ascii="Symbol" w:hAnsi="Symbol" w:hint="default"/>
      </w:rPr>
    </w:lvl>
    <w:lvl w:ilvl="4" w:tplc="08090003" w:tentative="1">
      <w:start w:val="1"/>
      <w:numFmt w:val="bullet"/>
      <w:lvlText w:val="o"/>
      <w:lvlJc w:val="left"/>
      <w:pPr>
        <w:ind w:left="3067" w:hanging="360"/>
      </w:pPr>
      <w:rPr>
        <w:rFonts w:ascii="Courier New" w:hAnsi="Courier New" w:cs="Courier New" w:hint="default"/>
      </w:rPr>
    </w:lvl>
    <w:lvl w:ilvl="5" w:tplc="08090005" w:tentative="1">
      <w:start w:val="1"/>
      <w:numFmt w:val="bullet"/>
      <w:lvlText w:val=""/>
      <w:lvlJc w:val="left"/>
      <w:pPr>
        <w:ind w:left="3787" w:hanging="360"/>
      </w:pPr>
      <w:rPr>
        <w:rFonts w:ascii="Wingdings" w:hAnsi="Wingdings" w:hint="default"/>
      </w:rPr>
    </w:lvl>
    <w:lvl w:ilvl="6" w:tplc="08090001" w:tentative="1">
      <w:start w:val="1"/>
      <w:numFmt w:val="bullet"/>
      <w:lvlText w:val=""/>
      <w:lvlJc w:val="left"/>
      <w:pPr>
        <w:ind w:left="4507" w:hanging="360"/>
      </w:pPr>
      <w:rPr>
        <w:rFonts w:ascii="Symbol" w:hAnsi="Symbol" w:hint="default"/>
      </w:rPr>
    </w:lvl>
    <w:lvl w:ilvl="7" w:tplc="08090003" w:tentative="1">
      <w:start w:val="1"/>
      <w:numFmt w:val="bullet"/>
      <w:lvlText w:val="o"/>
      <w:lvlJc w:val="left"/>
      <w:pPr>
        <w:ind w:left="5227" w:hanging="360"/>
      </w:pPr>
      <w:rPr>
        <w:rFonts w:ascii="Courier New" w:hAnsi="Courier New" w:cs="Courier New" w:hint="default"/>
      </w:rPr>
    </w:lvl>
    <w:lvl w:ilvl="8" w:tplc="08090005" w:tentative="1">
      <w:start w:val="1"/>
      <w:numFmt w:val="bullet"/>
      <w:lvlText w:val=""/>
      <w:lvlJc w:val="left"/>
      <w:pPr>
        <w:ind w:left="5947" w:hanging="360"/>
      </w:pPr>
      <w:rPr>
        <w:rFonts w:ascii="Wingdings" w:hAnsi="Wingdings" w:hint="default"/>
      </w:rPr>
    </w:lvl>
  </w:abstractNum>
  <w:abstractNum w:abstractNumId="15" w15:restartNumberingAfterBreak="0">
    <w:nsid w:val="153A036C"/>
    <w:multiLevelType w:val="hybridMultilevel"/>
    <w:tmpl w:val="76EA5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1F514F"/>
    <w:multiLevelType w:val="hybridMultilevel"/>
    <w:tmpl w:val="3AAC5426"/>
    <w:lvl w:ilvl="0" w:tplc="336030FE">
      <w:start w:val="1"/>
      <w:numFmt w:val="bullet"/>
      <w:lvlText w:val=""/>
      <w:lvlJc w:val="left"/>
      <w:pPr>
        <w:ind w:left="284" w:hanging="284"/>
      </w:pPr>
      <w:rPr>
        <w:rFonts w:ascii="Symbol" w:hAnsi="Symbol" w:hint="default"/>
        <w:color w:val="FFFFFF" w:themeColor="background1"/>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B411B6"/>
    <w:multiLevelType w:val="hybridMultilevel"/>
    <w:tmpl w:val="F10ABE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5110FD"/>
    <w:multiLevelType w:val="hybridMultilevel"/>
    <w:tmpl w:val="A7DC388C"/>
    <w:lvl w:ilvl="0" w:tplc="0C090001">
      <w:start w:val="1"/>
      <w:numFmt w:val="bullet"/>
      <w:lvlText w:val=""/>
      <w:lvlJc w:val="left"/>
      <w:pPr>
        <w:ind w:left="360" w:hanging="360"/>
      </w:pPr>
      <w:rPr>
        <w:rFonts w:ascii="Symbol" w:hAnsi="Symbol" w:hint="default"/>
      </w:rPr>
    </w:lvl>
    <w:lvl w:ilvl="1" w:tplc="77A21B7A">
      <w:numFmt w:val="bullet"/>
      <w:lvlText w:val="-"/>
      <w:lvlJc w:val="left"/>
      <w:pPr>
        <w:ind w:left="1080" w:hanging="360"/>
      </w:pPr>
      <w:rPr>
        <w:rFonts w:ascii="AvenirNext LT Pro Bold" w:eastAsia="AvenirNext LT Pro Bold" w:hAnsi="AvenirNext LT Pro Bold" w:cs="AvenirNext LT Pro Bold" w:hint="default"/>
        <w:b w:val="0"/>
        <w:bCs w:val="0"/>
        <w:i w:val="0"/>
        <w:iCs w:val="0"/>
        <w:color w:val="6D656B"/>
        <w:w w:val="100"/>
        <w:sz w:val="24"/>
        <w:szCs w:val="24"/>
        <w:u w:val="none"/>
        <w:lang w:val="en-US" w:eastAsia="en-US" w:bidi="ar-SA"/>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345807"/>
    <w:multiLevelType w:val="hybridMultilevel"/>
    <w:tmpl w:val="0296A0BA"/>
    <w:lvl w:ilvl="0" w:tplc="6EE8228A">
      <w:start w:val="1"/>
      <w:numFmt w:val="decimal"/>
      <w:pStyle w:val="ListParagraph"/>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6A543F3"/>
    <w:multiLevelType w:val="hybridMultilevel"/>
    <w:tmpl w:val="F33A8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A512078"/>
    <w:multiLevelType w:val="hybridMultilevel"/>
    <w:tmpl w:val="9EAE16E2"/>
    <w:lvl w:ilvl="0" w:tplc="0C090001">
      <w:start w:val="1"/>
      <w:numFmt w:val="bullet"/>
      <w:lvlText w:val=""/>
      <w:lvlJc w:val="left"/>
      <w:pPr>
        <w:ind w:left="-46" w:hanging="360"/>
      </w:pPr>
      <w:rPr>
        <w:rFonts w:ascii="Symbol" w:hAnsi="Symbol" w:hint="default"/>
      </w:rPr>
    </w:lvl>
    <w:lvl w:ilvl="1" w:tplc="0C090003" w:tentative="1">
      <w:start w:val="1"/>
      <w:numFmt w:val="bullet"/>
      <w:lvlText w:val="o"/>
      <w:lvlJc w:val="left"/>
      <w:pPr>
        <w:ind w:left="674" w:hanging="360"/>
      </w:pPr>
      <w:rPr>
        <w:rFonts w:ascii="Courier New" w:hAnsi="Courier New" w:cs="Courier New" w:hint="default"/>
      </w:rPr>
    </w:lvl>
    <w:lvl w:ilvl="2" w:tplc="0C090005" w:tentative="1">
      <w:start w:val="1"/>
      <w:numFmt w:val="bullet"/>
      <w:lvlText w:val=""/>
      <w:lvlJc w:val="left"/>
      <w:pPr>
        <w:ind w:left="1394" w:hanging="360"/>
      </w:pPr>
      <w:rPr>
        <w:rFonts w:ascii="Wingdings" w:hAnsi="Wingdings" w:hint="default"/>
      </w:rPr>
    </w:lvl>
    <w:lvl w:ilvl="3" w:tplc="0C090001" w:tentative="1">
      <w:start w:val="1"/>
      <w:numFmt w:val="bullet"/>
      <w:lvlText w:val=""/>
      <w:lvlJc w:val="left"/>
      <w:pPr>
        <w:ind w:left="2114" w:hanging="360"/>
      </w:pPr>
      <w:rPr>
        <w:rFonts w:ascii="Symbol" w:hAnsi="Symbol" w:hint="default"/>
      </w:rPr>
    </w:lvl>
    <w:lvl w:ilvl="4" w:tplc="0C090003" w:tentative="1">
      <w:start w:val="1"/>
      <w:numFmt w:val="bullet"/>
      <w:lvlText w:val="o"/>
      <w:lvlJc w:val="left"/>
      <w:pPr>
        <w:ind w:left="2834" w:hanging="360"/>
      </w:pPr>
      <w:rPr>
        <w:rFonts w:ascii="Courier New" w:hAnsi="Courier New" w:cs="Courier New" w:hint="default"/>
      </w:rPr>
    </w:lvl>
    <w:lvl w:ilvl="5" w:tplc="0C090005" w:tentative="1">
      <w:start w:val="1"/>
      <w:numFmt w:val="bullet"/>
      <w:lvlText w:val=""/>
      <w:lvlJc w:val="left"/>
      <w:pPr>
        <w:ind w:left="3554" w:hanging="360"/>
      </w:pPr>
      <w:rPr>
        <w:rFonts w:ascii="Wingdings" w:hAnsi="Wingdings" w:hint="default"/>
      </w:rPr>
    </w:lvl>
    <w:lvl w:ilvl="6" w:tplc="0C090001" w:tentative="1">
      <w:start w:val="1"/>
      <w:numFmt w:val="bullet"/>
      <w:lvlText w:val=""/>
      <w:lvlJc w:val="left"/>
      <w:pPr>
        <w:ind w:left="4274" w:hanging="360"/>
      </w:pPr>
      <w:rPr>
        <w:rFonts w:ascii="Symbol" w:hAnsi="Symbol" w:hint="default"/>
      </w:rPr>
    </w:lvl>
    <w:lvl w:ilvl="7" w:tplc="0C090003" w:tentative="1">
      <w:start w:val="1"/>
      <w:numFmt w:val="bullet"/>
      <w:lvlText w:val="o"/>
      <w:lvlJc w:val="left"/>
      <w:pPr>
        <w:ind w:left="4994" w:hanging="360"/>
      </w:pPr>
      <w:rPr>
        <w:rFonts w:ascii="Courier New" w:hAnsi="Courier New" w:cs="Courier New" w:hint="default"/>
      </w:rPr>
    </w:lvl>
    <w:lvl w:ilvl="8" w:tplc="0C090005" w:tentative="1">
      <w:start w:val="1"/>
      <w:numFmt w:val="bullet"/>
      <w:lvlText w:val=""/>
      <w:lvlJc w:val="left"/>
      <w:pPr>
        <w:ind w:left="5714" w:hanging="360"/>
      </w:pPr>
      <w:rPr>
        <w:rFonts w:ascii="Wingdings" w:hAnsi="Wingdings" w:hint="default"/>
      </w:rPr>
    </w:lvl>
  </w:abstractNum>
  <w:abstractNum w:abstractNumId="22" w15:restartNumberingAfterBreak="0">
    <w:nsid w:val="2A5951BE"/>
    <w:multiLevelType w:val="hybridMultilevel"/>
    <w:tmpl w:val="7CAAECA6"/>
    <w:lvl w:ilvl="0" w:tplc="ED5A1832">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B7D09CC"/>
    <w:multiLevelType w:val="hybridMultilevel"/>
    <w:tmpl w:val="2FDEB49E"/>
    <w:lvl w:ilvl="0" w:tplc="2AC427AA">
      <w:start w:val="1"/>
      <w:numFmt w:val="decimal"/>
      <w:lvlText w:val="%1."/>
      <w:lvlJc w:val="left"/>
      <w:pPr>
        <w:ind w:left="720" w:hanging="360"/>
      </w:pPr>
      <w:rPr>
        <w:rFonts w:ascii="Avenir Next LT Pro" w:hAnsi="Avenir Next LT Pro" w:hint="default"/>
        <w:b/>
        <w:i w:val="0"/>
        <w:caps w:val="0"/>
        <w:strike w:val="0"/>
        <w:dstrike w:val="0"/>
        <w:vanish w:val="0"/>
        <w:color w:val="1598CB"/>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AE2C4E"/>
    <w:multiLevelType w:val="hybridMultilevel"/>
    <w:tmpl w:val="F65E1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CF2DCD"/>
    <w:multiLevelType w:val="hybridMultilevel"/>
    <w:tmpl w:val="81761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200799F"/>
    <w:multiLevelType w:val="hybridMultilevel"/>
    <w:tmpl w:val="437AF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DC67DC"/>
    <w:multiLevelType w:val="hybridMultilevel"/>
    <w:tmpl w:val="718ED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521779F"/>
    <w:multiLevelType w:val="hybridMultilevel"/>
    <w:tmpl w:val="AAAE6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C4A34CA"/>
    <w:multiLevelType w:val="hybridMultilevel"/>
    <w:tmpl w:val="B0C4CD4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3DF761C1"/>
    <w:multiLevelType w:val="hybridMultilevel"/>
    <w:tmpl w:val="FB3A9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0245B31"/>
    <w:multiLevelType w:val="hybridMultilevel"/>
    <w:tmpl w:val="4A004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04A081A"/>
    <w:multiLevelType w:val="hybridMultilevel"/>
    <w:tmpl w:val="BF78E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27A02E8"/>
    <w:multiLevelType w:val="hybridMultilevel"/>
    <w:tmpl w:val="4524D13E"/>
    <w:lvl w:ilvl="0" w:tplc="2AC427AA">
      <w:start w:val="1"/>
      <w:numFmt w:val="decimal"/>
      <w:lvlText w:val="%1."/>
      <w:lvlJc w:val="left"/>
      <w:pPr>
        <w:ind w:left="1080" w:hanging="360"/>
      </w:pPr>
      <w:rPr>
        <w:rFonts w:ascii="Avenir Next LT Pro" w:hAnsi="Avenir Next LT Pro" w:hint="default"/>
        <w:b/>
        <w:i w:val="0"/>
        <w:caps w:val="0"/>
        <w:strike w:val="0"/>
        <w:dstrike w:val="0"/>
        <w:vanish w:val="0"/>
        <w:color w:val="1598CB"/>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7B51C8B"/>
    <w:multiLevelType w:val="hybridMultilevel"/>
    <w:tmpl w:val="4E5A5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E7D5C57"/>
    <w:multiLevelType w:val="hybridMultilevel"/>
    <w:tmpl w:val="7376D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41B48D5"/>
    <w:multiLevelType w:val="hybridMultilevel"/>
    <w:tmpl w:val="B658F0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A9133F"/>
    <w:multiLevelType w:val="hybridMultilevel"/>
    <w:tmpl w:val="DABABA62"/>
    <w:lvl w:ilvl="0" w:tplc="77A21B7A">
      <w:numFmt w:val="bullet"/>
      <w:lvlText w:val="-"/>
      <w:lvlJc w:val="left"/>
      <w:pPr>
        <w:ind w:left="360" w:hanging="360"/>
      </w:pPr>
      <w:rPr>
        <w:rFonts w:ascii="AvenirNext LT Pro Bold" w:eastAsia="AvenirNext LT Pro Bold" w:hAnsi="AvenirNext LT Pro Bold" w:cs="AvenirNext LT Pro Bold" w:hint="default"/>
        <w:b w:val="0"/>
        <w:bCs w:val="0"/>
        <w:i w:val="0"/>
        <w:iCs w:val="0"/>
        <w:color w:val="6D656B"/>
        <w:w w:val="100"/>
        <w:sz w:val="24"/>
        <w:szCs w:val="24"/>
        <w:u w:val="none"/>
        <w:lang w:val="en-US"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7563B16"/>
    <w:multiLevelType w:val="hybridMultilevel"/>
    <w:tmpl w:val="0A8A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E70BE0"/>
    <w:multiLevelType w:val="hybridMultilevel"/>
    <w:tmpl w:val="958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8A33D7F"/>
    <w:multiLevelType w:val="hybridMultilevel"/>
    <w:tmpl w:val="FFBA2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7204A4"/>
    <w:multiLevelType w:val="hybridMultilevel"/>
    <w:tmpl w:val="82B27C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2" w15:restartNumberingAfterBreak="0">
    <w:nsid w:val="5BE47F23"/>
    <w:multiLevelType w:val="hybridMultilevel"/>
    <w:tmpl w:val="77B02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F4B0DC4"/>
    <w:multiLevelType w:val="hybridMultilevel"/>
    <w:tmpl w:val="AC0E0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2175AD0"/>
    <w:multiLevelType w:val="hybridMultilevel"/>
    <w:tmpl w:val="55062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5B0F73"/>
    <w:multiLevelType w:val="hybridMultilevel"/>
    <w:tmpl w:val="C9545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A8836FB"/>
    <w:multiLevelType w:val="hybridMultilevel"/>
    <w:tmpl w:val="E3F03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E7843C5"/>
    <w:multiLevelType w:val="hybridMultilevel"/>
    <w:tmpl w:val="24264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E876D4B"/>
    <w:multiLevelType w:val="hybridMultilevel"/>
    <w:tmpl w:val="3AAAFDF2"/>
    <w:lvl w:ilvl="0" w:tplc="ED5A1832">
      <w:start w:val="1"/>
      <w:numFmt w:val="decimal"/>
      <w:pStyle w:val="Bullets"/>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12438A2"/>
    <w:multiLevelType w:val="hybridMultilevel"/>
    <w:tmpl w:val="AC2CC0F6"/>
    <w:lvl w:ilvl="0" w:tplc="0E9CE932">
      <w:start w:val="1"/>
      <w:numFmt w:val="bullet"/>
      <w:lvlText w:val="-"/>
      <w:lvlJc w:val="left"/>
      <w:pPr>
        <w:ind w:left="893" w:hanging="360"/>
      </w:pPr>
      <w:rPr>
        <w:rFonts w:ascii="AvenirNext LT Pro Regular" w:hAnsi="AvenirNext LT Pro Regular" w:hint="default"/>
        <w:b w:val="0"/>
        <w:i w:val="0"/>
        <w:color w:val="575F61"/>
        <w:sz w:val="24"/>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C4031E"/>
    <w:multiLevelType w:val="hybridMultilevel"/>
    <w:tmpl w:val="3A2E8536"/>
    <w:lvl w:ilvl="0" w:tplc="6F4A032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5C43976"/>
    <w:multiLevelType w:val="hybridMultilevel"/>
    <w:tmpl w:val="57CC9250"/>
    <w:lvl w:ilvl="0" w:tplc="77A21B7A">
      <w:numFmt w:val="bullet"/>
      <w:lvlText w:val="-"/>
      <w:lvlJc w:val="left"/>
      <w:pPr>
        <w:ind w:left="360" w:hanging="360"/>
      </w:pPr>
      <w:rPr>
        <w:rFonts w:ascii="AvenirNext LT Pro Bold" w:eastAsia="AvenirNext LT Pro Bold" w:hAnsi="AvenirNext LT Pro Bold" w:cs="AvenirNext LT Pro Bold" w:hint="default"/>
        <w:b w:val="0"/>
        <w:bCs w:val="0"/>
        <w:i w:val="0"/>
        <w:iCs w:val="0"/>
        <w:color w:val="6D656B"/>
        <w:w w:val="100"/>
        <w:sz w:val="24"/>
        <w:szCs w:val="24"/>
        <w:u w:val="none"/>
        <w:lang w:val="en-US" w:eastAsia="en-US" w:bidi="ar-SA"/>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6393F3D"/>
    <w:multiLevelType w:val="hybridMultilevel"/>
    <w:tmpl w:val="9C26D60C"/>
    <w:lvl w:ilvl="0" w:tplc="39B41CCE">
      <w:start w:val="1"/>
      <w:numFmt w:val="bullet"/>
      <w:lvlText w:val=""/>
      <w:lvlJc w:val="left"/>
      <w:pPr>
        <w:ind w:left="284" w:hanging="284"/>
      </w:pPr>
      <w:rPr>
        <w:rFonts w:ascii="Symbol" w:hAnsi="Symbol" w:hint="default"/>
        <w:color w:val="E7B52A"/>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715892"/>
    <w:multiLevelType w:val="hybridMultilevel"/>
    <w:tmpl w:val="8788D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9406449"/>
    <w:multiLevelType w:val="hybridMultilevel"/>
    <w:tmpl w:val="2DE03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9A75D3E"/>
    <w:multiLevelType w:val="hybridMultilevel"/>
    <w:tmpl w:val="D10A0380"/>
    <w:lvl w:ilvl="0" w:tplc="A39C0064">
      <w:numFmt w:val="bullet"/>
      <w:lvlText w:val="•"/>
      <w:lvlJc w:val="left"/>
      <w:pPr>
        <w:ind w:left="457" w:hanging="284"/>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77A21B7A">
      <w:numFmt w:val="bullet"/>
      <w:lvlText w:val="-"/>
      <w:lvlJc w:val="left"/>
      <w:pPr>
        <w:ind w:left="740" w:hanging="284"/>
      </w:pPr>
      <w:rPr>
        <w:rFonts w:ascii="AvenirNext LT Pro Bold" w:eastAsia="AvenirNext LT Pro Bold" w:hAnsi="AvenirNext LT Pro Bold" w:cs="AvenirNext LT Pro Bold" w:hint="default"/>
        <w:b w:val="0"/>
        <w:bCs w:val="0"/>
        <w:i w:val="0"/>
        <w:iCs w:val="0"/>
        <w:color w:val="6D656B"/>
        <w:w w:val="100"/>
        <w:sz w:val="24"/>
        <w:szCs w:val="24"/>
        <w:lang w:val="en-US" w:eastAsia="en-US" w:bidi="ar-SA"/>
      </w:rPr>
    </w:lvl>
    <w:lvl w:ilvl="2" w:tplc="5796840E">
      <w:numFmt w:val="bullet"/>
      <w:lvlText w:val="•"/>
      <w:lvlJc w:val="left"/>
      <w:pPr>
        <w:ind w:left="1762" w:hanging="284"/>
      </w:pPr>
      <w:rPr>
        <w:rFonts w:hint="default"/>
        <w:lang w:val="en-US" w:eastAsia="en-US" w:bidi="ar-SA"/>
      </w:rPr>
    </w:lvl>
    <w:lvl w:ilvl="3" w:tplc="9F120DAA">
      <w:numFmt w:val="bullet"/>
      <w:lvlText w:val="•"/>
      <w:lvlJc w:val="left"/>
      <w:pPr>
        <w:ind w:left="2785" w:hanging="284"/>
      </w:pPr>
      <w:rPr>
        <w:rFonts w:hint="default"/>
        <w:lang w:val="en-US" w:eastAsia="en-US" w:bidi="ar-SA"/>
      </w:rPr>
    </w:lvl>
    <w:lvl w:ilvl="4" w:tplc="70ACDC70">
      <w:numFmt w:val="bullet"/>
      <w:lvlText w:val="•"/>
      <w:lvlJc w:val="left"/>
      <w:pPr>
        <w:ind w:left="3808" w:hanging="284"/>
      </w:pPr>
      <w:rPr>
        <w:rFonts w:hint="default"/>
        <w:lang w:val="en-US" w:eastAsia="en-US" w:bidi="ar-SA"/>
      </w:rPr>
    </w:lvl>
    <w:lvl w:ilvl="5" w:tplc="576C22B0">
      <w:numFmt w:val="bullet"/>
      <w:lvlText w:val="•"/>
      <w:lvlJc w:val="left"/>
      <w:pPr>
        <w:ind w:left="4831" w:hanging="284"/>
      </w:pPr>
      <w:rPr>
        <w:rFonts w:hint="default"/>
        <w:lang w:val="en-US" w:eastAsia="en-US" w:bidi="ar-SA"/>
      </w:rPr>
    </w:lvl>
    <w:lvl w:ilvl="6" w:tplc="1674E694">
      <w:numFmt w:val="bullet"/>
      <w:lvlText w:val="•"/>
      <w:lvlJc w:val="left"/>
      <w:pPr>
        <w:ind w:left="5854" w:hanging="284"/>
      </w:pPr>
      <w:rPr>
        <w:rFonts w:hint="default"/>
        <w:lang w:val="en-US" w:eastAsia="en-US" w:bidi="ar-SA"/>
      </w:rPr>
    </w:lvl>
    <w:lvl w:ilvl="7" w:tplc="4ED22028">
      <w:numFmt w:val="bullet"/>
      <w:lvlText w:val="•"/>
      <w:lvlJc w:val="left"/>
      <w:pPr>
        <w:ind w:left="6877" w:hanging="284"/>
      </w:pPr>
      <w:rPr>
        <w:rFonts w:hint="default"/>
        <w:lang w:val="en-US" w:eastAsia="en-US" w:bidi="ar-SA"/>
      </w:rPr>
    </w:lvl>
    <w:lvl w:ilvl="8" w:tplc="1F1E3188">
      <w:numFmt w:val="bullet"/>
      <w:lvlText w:val="•"/>
      <w:lvlJc w:val="left"/>
      <w:pPr>
        <w:ind w:left="7899" w:hanging="284"/>
      </w:pPr>
      <w:rPr>
        <w:rFonts w:hint="default"/>
        <w:lang w:val="en-US" w:eastAsia="en-US" w:bidi="ar-SA"/>
      </w:rPr>
    </w:lvl>
  </w:abstractNum>
  <w:abstractNum w:abstractNumId="56" w15:restartNumberingAfterBreak="0">
    <w:nsid w:val="79F32622"/>
    <w:multiLevelType w:val="hybridMultilevel"/>
    <w:tmpl w:val="35B832AE"/>
    <w:lvl w:ilvl="0" w:tplc="ED5A1832">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CAE7F81"/>
    <w:multiLevelType w:val="hybridMultilevel"/>
    <w:tmpl w:val="8F5054F8"/>
    <w:lvl w:ilvl="0" w:tplc="32FE98D2">
      <w:start w:val="1"/>
      <w:numFmt w:val="decimal"/>
      <w:lvlText w:val="%1."/>
      <w:lvlJc w:val="left"/>
      <w:pPr>
        <w:ind w:left="360" w:hanging="360"/>
      </w:pPr>
      <w:rPr>
        <w:rFonts w:ascii="Avenir Next LT Pro" w:hAnsi="Avenir Next LT Pro" w:hint="default"/>
        <w:b/>
        <w:i w:val="0"/>
        <w:caps w:val="0"/>
        <w:strike w:val="0"/>
        <w:dstrike w:val="0"/>
        <w:vanish w:val="0"/>
        <w:color w:val="1598CB"/>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CCA1F6E"/>
    <w:multiLevelType w:val="hybridMultilevel"/>
    <w:tmpl w:val="10249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E43952"/>
    <w:multiLevelType w:val="hybridMultilevel"/>
    <w:tmpl w:val="5B1CA456"/>
    <w:lvl w:ilvl="0" w:tplc="F8B043A6">
      <w:start w:val="1"/>
      <w:numFmt w:val="bullet"/>
      <w:lvlText w:val=""/>
      <w:lvlJc w:val="left"/>
      <w:pPr>
        <w:ind w:left="360" w:hanging="360"/>
      </w:pPr>
      <w:rPr>
        <w:rFonts w:ascii="Symbol" w:hAnsi="Symbol" w:hint="default"/>
        <w:b w:val="0"/>
        <w:i w:val="0"/>
        <w:color w:val="FFFFFF" w:themeColor="background1"/>
        <w:sz w:val="24"/>
        <w:u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FC039C4"/>
    <w:multiLevelType w:val="hybridMultilevel"/>
    <w:tmpl w:val="8142337C"/>
    <w:lvl w:ilvl="0" w:tplc="6CDCB60E">
      <w:start w:val="1"/>
      <w:numFmt w:val="bullet"/>
      <w:lvlText w:val="-"/>
      <w:lvlJc w:val="left"/>
      <w:pPr>
        <w:ind w:left="360" w:hanging="360"/>
      </w:pPr>
      <w:rPr>
        <w:rFonts w:ascii="AvenirNext LT Pro Regular" w:hAnsi="AvenirNext LT Pro Regular" w:hint="default"/>
        <w:b w:val="0"/>
        <w:i w:val="0"/>
        <w:color w:val="FFFFFF" w:themeColor="background1"/>
        <w:sz w:val="24"/>
        <w:u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5"/>
  </w:num>
  <w:num w:numId="2">
    <w:abstractNumId w:val="52"/>
  </w:num>
  <w:num w:numId="3">
    <w:abstractNumId w:val="49"/>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46"/>
  </w:num>
  <w:num w:numId="15">
    <w:abstractNumId w:val="24"/>
  </w:num>
  <w:num w:numId="16">
    <w:abstractNumId w:val="14"/>
  </w:num>
  <w:num w:numId="17">
    <w:abstractNumId w:val="50"/>
  </w:num>
  <w:num w:numId="18">
    <w:abstractNumId w:val="60"/>
  </w:num>
  <w:num w:numId="19">
    <w:abstractNumId w:val="41"/>
  </w:num>
  <w:num w:numId="20">
    <w:abstractNumId w:val="35"/>
  </w:num>
  <w:num w:numId="21">
    <w:abstractNumId w:val="37"/>
  </w:num>
  <w:num w:numId="22">
    <w:abstractNumId w:val="17"/>
  </w:num>
  <w:num w:numId="23">
    <w:abstractNumId w:val="44"/>
  </w:num>
  <w:num w:numId="24">
    <w:abstractNumId w:val="40"/>
  </w:num>
  <w:num w:numId="25">
    <w:abstractNumId w:val="26"/>
  </w:num>
  <w:num w:numId="26">
    <w:abstractNumId w:val="59"/>
  </w:num>
  <w:num w:numId="27">
    <w:abstractNumId w:val="42"/>
  </w:num>
  <w:num w:numId="28">
    <w:abstractNumId w:val="20"/>
  </w:num>
  <w:num w:numId="29">
    <w:abstractNumId w:val="43"/>
  </w:num>
  <w:num w:numId="30">
    <w:abstractNumId w:val="32"/>
  </w:num>
  <w:num w:numId="31">
    <w:abstractNumId w:val="34"/>
  </w:num>
  <w:num w:numId="32">
    <w:abstractNumId w:val="21"/>
  </w:num>
  <w:num w:numId="33">
    <w:abstractNumId w:val="31"/>
  </w:num>
  <w:num w:numId="34">
    <w:abstractNumId w:val="53"/>
  </w:num>
  <w:num w:numId="35">
    <w:abstractNumId w:val="30"/>
  </w:num>
  <w:num w:numId="36">
    <w:abstractNumId w:val="54"/>
  </w:num>
  <w:num w:numId="37">
    <w:abstractNumId w:val="28"/>
  </w:num>
  <w:num w:numId="38">
    <w:abstractNumId w:val="18"/>
  </w:num>
  <w:num w:numId="39">
    <w:abstractNumId w:val="36"/>
  </w:num>
  <w:num w:numId="40">
    <w:abstractNumId w:val="27"/>
  </w:num>
  <w:num w:numId="41">
    <w:abstractNumId w:val="45"/>
  </w:num>
  <w:num w:numId="42">
    <w:abstractNumId w:val="51"/>
  </w:num>
  <w:num w:numId="43">
    <w:abstractNumId w:val="29"/>
  </w:num>
  <w:num w:numId="44">
    <w:abstractNumId w:val="13"/>
  </w:num>
  <w:num w:numId="45">
    <w:abstractNumId w:val="10"/>
  </w:num>
  <w:num w:numId="46">
    <w:abstractNumId w:val="11"/>
  </w:num>
  <w:num w:numId="47">
    <w:abstractNumId w:val="23"/>
  </w:num>
  <w:num w:numId="48">
    <w:abstractNumId w:val="57"/>
  </w:num>
  <w:num w:numId="49">
    <w:abstractNumId w:val="16"/>
  </w:num>
  <w:num w:numId="50">
    <w:abstractNumId w:val="47"/>
  </w:num>
  <w:num w:numId="51">
    <w:abstractNumId w:val="57"/>
    <w:lvlOverride w:ilvl="0">
      <w:startOverride w:val="1"/>
    </w:lvlOverride>
  </w:num>
  <w:num w:numId="52">
    <w:abstractNumId w:val="19"/>
  </w:num>
  <w:num w:numId="53">
    <w:abstractNumId w:val="33"/>
  </w:num>
  <w:num w:numId="54">
    <w:abstractNumId w:val="25"/>
  </w:num>
  <w:num w:numId="55">
    <w:abstractNumId w:val="15"/>
  </w:num>
  <w:num w:numId="56">
    <w:abstractNumId w:val="12"/>
  </w:num>
  <w:num w:numId="57">
    <w:abstractNumId w:val="58"/>
  </w:num>
  <w:num w:numId="58">
    <w:abstractNumId w:val="38"/>
  </w:num>
  <w:num w:numId="59">
    <w:abstractNumId w:val="39"/>
  </w:num>
  <w:num w:numId="60">
    <w:abstractNumId w:val="48"/>
  </w:num>
  <w:num w:numId="61">
    <w:abstractNumId w:val="48"/>
    <w:lvlOverride w:ilvl="0">
      <w:startOverride w:val="1"/>
    </w:lvlOverride>
  </w:num>
  <w:num w:numId="62">
    <w:abstractNumId w:val="48"/>
    <w:lvlOverride w:ilvl="0">
      <w:startOverride w:val="1"/>
    </w:lvlOverride>
  </w:num>
  <w:num w:numId="63">
    <w:abstractNumId w:val="56"/>
  </w:num>
  <w:num w:numId="64">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venir Nex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017B3"/>
    <w:rsid w:val="00000AA5"/>
    <w:rsid w:val="000024A8"/>
    <w:rsid w:val="00003C82"/>
    <w:rsid w:val="00005C80"/>
    <w:rsid w:val="00005FE1"/>
    <w:rsid w:val="000075AD"/>
    <w:rsid w:val="00010773"/>
    <w:rsid w:val="00012C0B"/>
    <w:rsid w:val="00014A2D"/>
    <w:rsid w:val="00016E75"/>
    <w:rsid w:val="00024B33"/>
    <w:rsid w:val="00025BF6"/>
    <w:rsid w:val="00026B5D"/>
    <w:rsid w:val="000278BA"/>
    <w:rsid w:val="00030E57"/>
    <w:rsid w:val="0003265A"/>
    <w:rsid w:val="0003276C"/>
    <w:rsid w:val="00032C3E"/>
    <w:rsid w:val="00034231"/>
    <w:rsid w:val="00036098"/>
    <w:rsid w:val="000376A8"/>
    <w:rsid w:val="00040E21"/>
    <w:rsid w:val="00040E2A"/>
    <w:rsid w:val="00046184"/>
    <w:rsid w:val="00051051"/>
    <w:rsid w:val="000512F2"/>
    <w:rsid w:val="0005636B"/>
    <w:rsid w:val="0005736D"/>
    <w:rsid w:val="00063455"/>
    <w:rsid w:val="00064540"/>
    <w:rsid w:val="00066C41"/>
    <w:rsid w:val="0006741D"/>
    <w:rsid w:val="000731CE"/>
    <w:rsid w:val="000737A1"/>
    <w:rsid w:val="00074DCD"/>
    <w:rsid w:val="000778FE"/>
    <w:rsid w:val="00077D4B"/>
    <w:rsid w:val="0008034F"/>
    <w:rsid w:val="00080523"/>
    <w:rsid w:val="00082E58"/>
    <w:rsid w:val="00087252"/>
    <w:rsid w:val="00087CB2"/>
    <w:rsid w:val="00091914"/>
    <w:rsid w:val="00092F4B"/>
    <w:rsid w:val="00094402"/>
    <w:rsid w:val="00097159"/>
    <w:rsid w:val="000A0C9F"/>
    <w:rsid w:val="000A26C6"/>
    <w:rsid w:val="000A5867"/>
    <w:rsid w:val="000A5C71"/>
    <w:rsid w:val="000A6897"/>
    <w:rsid w:val="000B05AA"/>
    <w:rsid w:val="000B19C3"/>
    <w:rsid w:val="000B76DD"/>
    <w:rsid w:val="000C053C"/>
    <w:rsid w:val="000C22DB"/>
    <w:rsid w:val="000C2621"/>
    <w:rsid w:val="000C48A9"/>
    <w:rsid w:val="000C4CEC"/>
    <w:rsid w:val="000C5DF1"/>
    <w:rsid w:val="000C7701"/>
    <w:rsid w:val="000C7B1C"/>
    <w:rsid w:val="000D0092"/>
    <w:rsid w:val="000E161F"/>
    <w:rsid w:val="000E3607"/>
    <w:rsid w:val="000E4D90"/>
    <w:rsid w:val="000E582C"/>
    <w:rsid w:val="000F054C"/>
    <w:rsid w:val="000F60EB"/>
    <w:rsid w:val="0010318A"/>
    <w:rsid w:val="00104EEB"/>
    <w:rsid w:val="001101DE"/>
    <w:rsid w:val="001109D4"/>
    <w:rsid w:val="00115EB6"/>
    <w:rsid w:val="0011610D"/>
    <w:rsid w:val="0011648C"/>
    <w:rsid w:val="0011697C"/>
    <w:rsid w:val="00116AF7"/>
    <w:rsid w:val="00122FCC"/>
    <w:rsid w:val="00126F71"/>
    <w:rsid w:val="00127F6A"/>
    <w:rsid w:val="00133479"/>
    <w:rsid w:val="00135587"/>
    <w:rsid w:val="001365C6"/>
    <w:rsid w:val="00146A5B"/>
    <w:rsid w:val="0015164F"/>
    <w:rsid w:val="001663F9"/>
    <w:rsid w:val="00166B3C"/>
    <w:rsid w:val="0017188A"/>
    <w:rsid w:val="0017434C"/>
    <w:rsid w:val="00175A8F"/>
    <w:rsid w:val="001802A3"/>
    <w:rsid w:val="00181C92"/>
    <w:rsid w:val="001824EA"/>
    <w:rsid w:val="0018570B"/>
    <w:rsid w:val="00185977"/>
    <w:rsid w:val="00195593"/>
    <w:rsid w:val="0019682D"/>
    <w:rsid w:val="001A1A9F"/>
    <w:rsid w:val="001A2032"/>
    <w:rsid w:val="001A4212"/>
    <w:rsid w:val="001A6E65"/>
    <w:rsid w:val="001B57BF"/>
    <w:rsid w:val="001B5FBD"/>
    <w:rsid w:val="001B6500"/>
    <w:rsid w:val="001B6965"/>
    <w:rsid w:val="001B7D68"/>
    <w:rsid w:val="001C1900"/>
    <w:rsid w:val="001C2800"/>
    <w:rsid w:val="001C3605"/>
    <w:rsid w:val="001D1601"/>
    <w:rsid w:val="001D252D"/>
    <w:rsid w:val="001D4C53"/>
    <w:rsid w:val="001D5301"/>
    <w:rsid w:val="001E0F27"/>
    <w:rsid w:val="001E4794"/>
    <w:rsid w:val="001F07A8"/>
    <w:rsid w:val="001F0985"/>
    <w:rsid w:val="001F1767"/>
    <w:rsid w:val="001F1FFC"/>
    <w:rsid w:val="001F29A6"/>
    <w:rsid w:val="001F3D69"/>
    <w:rsid w:val="001F42FA"/>
    <w:rsid w:val="001F50AA"/>
    <w:rsid w:val="001F5361"/>
    <w:rsid w:val="001F688B"/>
    <w:rsid w:val="001F6BAD"/>
    <w:rsid w:val="0020143E"/>
    <w:rsid w:val="0020192A"/>
    <w:rsid w:val="00212F5F"/>
    <w:rsid w:val="0021301F"/>
    <w:rsid w:val="002134D9"/>
    <w:rsid w:val="00214037"/>
    <w:rsid w:val="00214D5A"/>
    <w:rsid w:val="002160CA"/>
    <w:rsid w:val="00216A27"/>
    <w:rsid w:val="0022025A"/>
    <w:rsid w:val="002207CE"/>
    <w:rsid w:val="00222087"/>
    <w:rsid w:val="00222F18"/>
    <w:rsid w:val="002244CA"/>
    <w:rsid w:val="0022595A"/>
    <w:rsid w:val="00226316"/>
    <w:rsid w:val="00233500"/>
    <w:rsid w:val="00234288"/>
    <w:rsid w:val="00234B8E"/>
    <w:rsid w:val="0023696E"/>
    <w:rsid w:val="00242CCA"/>
    <w:rsid w:val="00243573"/>
    <w:rsid w:val="0025096F"/>
    <w:rsid w:val="00257939"/>
    <w:rsid w:val="00257A56"/>
    <w:rsid w:val="00261BD5"/>
    <w:rsid w:val="00263CBF"/>
    <w:rsid w:val="00263DEF"/>
    <w:rsid w:val="00265443"/>
    <w:rsid w:val="00265947"/>
    <w:rsid w:val="002724AA"/>
    <w:rsid w:val="00272A2B"/>
    <w:rsid w:val="00273A48"/>
    <w:rsid w:val="00275A05"/>
    <w:rsid w:val="00285016"/>
    <w:rsid w:val="002926E1"/>
    <w:rsid w:val="0029299F"/>
    <w:rsid w:val="00294C5A"/>
    <w:rsid w:val="002A4003"/>
    <w:rsid w:val="002A594E"/>
    <w:rsid w:val="002A5F75"/>
    <w:rsid w:val="002B256C"/>
    <w:rsid w:val="002B281E"/>
    <w:rsid w:val="002B2D72"/>
    <w:rsid w:val="002B4FB3"/>
    <w:rsid w:val="002C15BC"/>
    <w:rsid w:val="002C2C2D"/>
    <w:rsid w:val="002C38BF"/>
    <w:rsid w:val="002C39EC"/>
    <w:rsid w:val="002C5B4C"/>
    <w:rsid w:val="002D264E"/>
    <w:rsid w:val="002D4F67"/>
    <w:rsid w:val="002D52A9"/>
    <w:rsid w:val="002D6C66"/>
    <w:rsid w:val="002E09DF"/>
    <w:rsid w:val="002F0B88"/>
    <w:rsid w:val="002F2676"/>
    <w:rsid w:val="002F370E"/>
    <w:rsid w:val="00300933"/>
    <w:rsid w:val="00301FE9"/>
    <w:rsid w:val="0030355B"/>
    <w:rsid w:val="00303E9F"/>
    <w:rsid w:val="003044CE"/>
    <w:rsid w:val="00304A96"/>
    <w:rsid w:val="00304EF5"/>
    <w:rsid w:val="00306DCD"/>
    <w:rsid w:val="003148E0"/>
    <w:rsid w:val="00315F3A"/>
    <w:rsid w:val="00317995"/>
    <w:rsid w:val="003226B1"/>
    <w:rsid w:val="00323B35"/>
    <w:rsid w:val="00333426"/>
    <w:rsid w:val="00337282"/>
    <w:rsid w:val="00340041"/>
    <w:rsid w:val="00340D61"/>
    <w:rsid w:val="003414C6"/>
    <w:rsid w:val="00344800"/>
    <w:rsid w:val="00345AFE"/>
    <w:rsid w:val="00350EC0"/>
    <w:rsid w:val="003556AA"/>
    <w:rsid w:val="00356A5E"/>
    <w:rsid w:val="003610FA"/>
    <w:rsid w:val="00363B72"/>
    <w:rsid w:val="00367662"/>
    <w:rsid w:val="00367850"/>
    <w:rsid w:val="00367D68"/>
    <w:rsid w:val="0037128C"/>
    <w:rsid w:val="00371F14"/>
    <w:rsid w:val="0037485B"/>
    <w:rsid w:val="00377700"/>
    <w:rsid w:val="00381DA0"/>
    <w:rsid w:val="00386589"/>
    <w:rsid w:val="003879C7"/>
    <w:rsid w:val="0039136B"/>
    <w:rsid w:val="003913D9"/>
    <w:rsid w:val="003942B0"/>
    <w:rsid w:val="00396AA3"/>
    <w:rsid w:val="00396E19"/>
    <w:rsid w:val="00396F77"/>
    <w:rsid w:val="003977F6"/>
    <w:rsid w:val="003C0927"/>
    <w:rsid w:val="003C23AF"/>
    <w:rsid w:val="003C30AF"/>
    <w:rsid w:val="003C4782"/>
    <w:rsid w:val="003C787D"/>
    <w:rsid w:val="003C7AC5"/>
    <w:rsid w:val="003D35FA"/>
    <w:rsid w:val="003D7E3E"/>
    <w:rsid w:val="003E0130"/>
    <w:rsid w:val="003E17CC"/>
    <w:rsid w:val="003F20CB"/>
    <w:rsid w:val="003F44CB"/>
    <w:rsid w:val="003F4938"/>
    <w:rsid w:val="003F781A"/>
    <w:rsid w:val="004035C1"/>
    <w:rsid w:val="00403BA9"/>
    <w:rsid w:val="00404CAA"/>
    <w:rsid w:val="00406138"/>
    <w:rsid w:val="004074B3"/>
    <w:rsid w:val="00407EA5"/>
    <w:rsid w:val="00407FF5"/>
    <w:rsid w:val="004102A6"/>
    <w:rsid w:val="00410432"/>
    <w:rsid w:val="00411435"/>
    <w:rsid w:val="00414607"/>
    <w:rsid w:val="004168F5"/>
    <w:rsid w:val="00420C51"/>
    <w:rsid w:val="00422EE2"/>
    <w:rsid w:val="00423D26"/>
    <w:rsid w:val="004261C1"/>
    <w:rsid w:val="00427EA6"/>
    <w:rsid w:val="00431B68"/>
    <w:rsid w:val="00432A9C"/>
    <w:rsid w:val="0044162C"/>
    <w:rsid w:val="00443A5B"/>
    <w:rsid w:val="00447AF5"/>
    <w:rsid w:val="00450AE1"/>
    <w:rsid w:val="004564A4"/>
    <w:rsid w:val="004617C3"/>
    <w:rsid w:val="00462C98"/>
    <w:rsid w:val="00463665"/>
    <w:rsid w:val="00463B03"/>
    <w:rsid w:val="00464206"/>
    <w:rsid w:val="00465E04"/>
    <w:rsid w:val="0046616A"/>
    <w:rsid w:val="00467015"/>
    <w:rsid w:val="00471882"/>
    <w:rsid w:val="00472C35"/>
    <w:rsid w:val="00473D57"/>
    <w:rsid w:val="00476A80"/>
    <w:rsid w:val="00477AAC"/>
    <w:rsid w:val="00482590"/>
    <w:rsid w:val="00484778"/>
    <w:rsid w:val="00497414"/>
    <w:rsid w:val="004A0E10"/>
    <w:rsid w:val="004A2F8B"/>
    <w:rsid w:val="004A320D"/>
    <w:rsid w:val="004A3F27"/>
    <w:rsid w:val="004A575C"/>
    <w:rsid w:val="004A7A3A"/>
    <w:rsid w:val="004B4895"/>
    <w:rsid w:val="004C27BB"/>
    <w:rsid w:val="004C3339"/>
    <w:rsid w:val="004C66A7"/>
    <w:rsid w:val="004C6F05"/>
    <w:rsid w:val="004D1D7D"/>
    <w:rsid w:val="004D2E3A"/>
    <w:rsid w:val="004E2EC1"/>
    <w:rsid w:val="004E4214"/>
    <w:rsid w:val="004E7DE9"/>
    <w:rsid w:val="004F4DD6"/>
    <w:rsid w:val="004F7EB1"/>
    <w:rsid w:val="00504826"/>
    <w:rsid w:val="00505BA2"/>
    <w:rsid w:val="00510634"/>
    <w:rsid w:val="00510768"/>
    <w:rsid w:val="00511801"/>
    <w:rsid w:val="00511EE8"/>
    <w:rsid w:val="005128A7"/>
    <w:rsid w:val="00515F2E"/>
    <w:rsid w:val="00524C92"/>
    <w:rsid w:val="00531E3C"/>
    <w:rsid w:val="00535944"/>
    <w:rsid w:val="00537893"/>
    <w:rsid w:val="00537B8B"/>
    <w:rsid w:val="00543356"/>
    <w:rsid w:val="00546AA8"/>
    <w:rsid w:val="00550E5B"/>
    <w:rsid w:val="00551C32"/>
    <w:rsid w:val="00552C0F"/>
    <w:rsid w:val="005537B9"/>
    <w:rsid w:val="00553A97"/>
    <w:rsid w:val="0055635E"/>
    <w:rsid w:val="00563BD6"/>
    <w:rsid w:val="005706F1"/>
    <w:rsid w:val="005721E5"/>
    <w:rsid w:val="00573A64"/>
    <w:rsid w:val="00577B15"/>
    <w:rsid w:val="00586394"/>
    <w:rsid w:val="00587F42"/>
    <w:rsid w:val="005A21BA"/>
    <w:rsid w:val="005A2A0A"/>
    <w:rsid w:val="005A2D0B"/>
    <w:rsid w:val="005A2DDA"/>
    <w:rsid w:val="005A3B94"/>
    <w:rsid w:val="005A4315"/>
    <w:rsid w:val="005A4CE4"/>
    <w:rsid w:val="005B2DE1"/>
    <w:rsid w:val="005B7D24"/>
    <w:rsid w:val="005C2C57"/>
    <w:rsid w:val="005C6AA4"/>
    <w:rsid w:val="005C6DE4"/>
    <w:rsid w:val="005D2741"/>
    <w:rsid w:val="005D3935"/>
    <w:rsid w:val="005D5F17"/>
    <w:rsid w:val="005D7D49"/>
    <w:rsid w:val="005E09A9"/>
    <w:rsid w:val="005E1FD7"/>
    <w:rsid w:val="005E4F22"/>
    <w:rsid w:val="005E6607"/>
    <w:rsid w:val="005F264C"/>
    <w:rsid w:val="005F5DB2"/>
    <w:rsid w:val="00603D80"/>
    <w:rsid w:val="00610EBA"/>
    <w:rsid w:val="006118A2"/>
    <w:rsid w:val="006176C5"/>
    <w:rsid w:val="00620E31"/>
    <w:rsid w:val="006211AB"/>
    <w:rsid w:val="00632A4B"/>
    <w:rsid w:val="00633542"/>
    <w:rsid w:val="006336A0"/>
    <w:rsid w:val="00634B14"/>
    <w:rsid w:val="006403F1"/>
    <w:rsid w:val="00644634"/>
    <w:rsid w:val="00645D03"/>
    <w:rsid w:val="00660570"/>
    <w:rsid w:val="006634A3"/>
    <w:rsid w:val="00666A50"/>
    <w:rsid w:val="00672AB0"/>
    <w:rsid w:val="0067398A"/>
    <w:rsid w:val="00674F5A"/>
    <w:rsid w:val="00675158"/>
    <w:rsid w:val="006768FB"/>
    <w:rsid w:val="00676F48"/>
    <w:rsid w:val="00682150"/>
    <w:rsid w:val="00683747"/>
    <w:rsid w:val="00685DD3"/>
    <w:rsid w:val="00691AAF"/>
    <w:rsid w:val="00692AB0"/>
    <w:rsid w:val="006948AE"/>
    <w:rsid w:val="006A4FCD"/>
    <w:rsid w:val="006B0EDC"/>
    <w:rsid w:val="006B2059"/>
    <w:rsid w:val="006B7A1C"/>
    <w:rsid w:val="006C0999"/>
    <w:rsid w:val="006C09B8"/>
    <w:rsid w:val="006C25FD"/>
    <w:rsid w:val="006C305F"/>
    <w:rsid w:val="006C73DE"/>
    <w:rsid w:val="006C77CE"/>
    <w:rsid w:val="006D0D3B"/>
    <w:rsid w:val="006D1DB3"/>
    <w:rsid w:val="006D2A13"/>
    <w:rsid w:val="006D401D"/>
    <w:rsid w:val="006D5BC0"/>
    <w:rsid w:val="006E2F42"/>
    <w:rsid w:val="006E30CB"/>
    <w:rsid w:val="006E5CF3"/>
    <w:rsid w:val="006F105E"/>
    <w:rsid w:val="006F2480"/>
    <w:rsid w:val="006F2A5A"/>
    <w:rsid w:val="006F2A63"/>
    <w:rsid w:val="006F4670"/>
    <w:rsid w:val="006F48F9"/>
    <w:rsid w:val="006F581B"/>
    <w:rsid w:val="006F73D8"/>
    <w:rsid w:val="00701034"/>
    <w:rsid w:val="0070141D"/>
    <w:rsid w:val="007050BD"/>
    <w:rsid w:val="007053B1"/>
    <w:rsid w:val="00705505"/>
    <w:rsid w:val="00716E29"/>
    <w:rsid w:val="00720DB6"/>
    <w:rsid w:val="00720E4F"/>
    <w:rsid w:val="00722E00"/>
    <w:rsid w:val="00724122"/>
    <w:rsid w:val="0072695D"/>
    <w:rsid w:val="00731523"/>
    <w:rsid w:val="007402FB"/>
    <w:rsid w:val="00741E39"/>
    <w:rsid w:val="00743352"/>
    <w:rsid w:val="0074347C"/>
    <w:rsid w:val="007523C1"/>
    <w:rsid w:val="007523EE"/>
    <w:rsid w:val="0075364F"/>
    <w:rsid w:val="007564E2"/>
    <w:rsid w:val="00760ADF"/>
    <w:rsid w:val="00765B28"/>
    <w:rsid w:val="00765EB7"/>
    <w:rsid w:val="007679DA"/>
    <w:rsid w:val="00770082"/>
    <w:rsid w:val="007716A4"/>
    <w:rsid w:val="007725FF"/>
    <w:rsid w:val="0077349A"/>
    <w:rsid w:val="0077666D"/>
    <w:rsid w:val="007771CD"/>
    <w:rsid w:val="00777D2F"/>
    <w:rsid w:val="007822BF"/>
    <w:rsid w:val="00783782"/>
    <w:rsid w:val="00791276"/>
    <w:rsid w:val="00792BD0"/>
    <w:rsid w:val="00792CD3"/>
    <w:rsid w:val="0079312D"/>
    <w:rsid w:val="007932BB"/>
    <w:rsid w:val="007970B9"/>
    <w:rsid w:val="007A12DE"/>
    <w:rsid w:val="007A2234"/>
    <w:rsid w:val="007A2A7B"/>
    <w:rsid w:val="007A3EBE"/>
    <w:rsid w:val="007B0428"/>
    <w:rsid w:val="007B59A0"/>
    <w:rsid w:val="007C4353"/>
    <w:rsid w:val="007C4788"/>
    <w:rsid w:val="007C6AF1"/>
    <w:rsid w:val="007C6F7F"/>
    <w:rsid w:val="007D295F"/>
    <w:rsid w:val="007D3093"/>
    <w:rsid w:val="007D30A9"/>
    <w:rsid w:val="007D3D9C"/>
    <w:rsid w:val="007D4DED"/>
    <w:rsid w:val="007D73A2"/>
    <w:rsid w:val="007D7CC6"/>
    <w:rsid w:val="007E0B69"/>
    <w:rsid w:val="007E0F04"/>
    <w:rsid w:val="007E37B5"/>
    <w:rsid w:val="007E5233"/>
    <w:rsid w:val="007E536B"/>
    <w:rsid w:val="007E5A7D"/>
    <w:rsid w:val="007E5AA0"/>
    <w:rsid w:val="007F0E55"/>
    <w:rsid w:val="007F666E"/>
    <w:rsid w:val="007F75D7"/>
    <w:rsid w:val="007F7CCF"/>
    <w:rsid w:val="00805E5C"/>
    <w:rsid w:val="0081111F"/>
    <w:rsid w:val="00811232"/>
    <w:rsid w:val="00811F1A"/>
    <w:rsid w:val="00821AC6"/>
    <w:rsid w:val="00821B49"/>
    <w:rsid w:val="00822BCD"/>
    <w:rsid w:val="00822F95"/>
    <w:rsid w:val="008258D3"/>
    <w:rsid w:val="008334E7"/>
    <w:rsid w:val="0083721E"/>
    <w:rsid w:val="00843B75"/>
    <w:rsid w:val="00843D67"/>
    <w:rsid w:val="00850CB5"/>
    <w:rsid w:val="00851667"/>
    <w:rsid w:val="008661D0"/>
    <w:rsid w:val="00867988"/>
    <w:rsid w:val="00870B23"/>
    <w:rsid w:val="00870C84"/>
    <w:rsid w:val="0087196A"/>
    <w:rsid w:val="008724D3"/>
    <w:rsid w:val="00873B7A"/>
    <w:rsid w:val="0087523C"/>
    <w:rsid w:val="00877599"/>
    <w:rsid w:val="0088072E"/>
    <w:rsid w:val="0088328E"/>
    <w:rsid w:val="008861BF"/>
    <w:rsid w:val="008868F3"/>
    <w:rsid w:val="0088772A"/>
    <w:rsid w:val="00892182"/>
    <w:rsid w:val="00892D85"/>
    <w:rsid w:val="00897FAF"/>
    <w:rsid w:val="008A2676"/>
    <w:rsid w:val="008A28D7"/>
    <w:rsid w:val="008A39A0"/>
    <w:rsid w:val="008A3FF8"/>
    <w:rsid w:val="008A7631"/>
    <w:rsid w:val="008A7F6E"/>
    <w:rsid w:val="008B7F5F"/>
    <w:rsid w:val="008C2286"/>
    <w:rsid w:val="008D1B41"/>
    <w:rsid w:val="008E3309"/>
    <w:rsid w:val="008E530A"/>
    <w:rsid w:val="008E5586"/>
    <w:rsid w:val="008F0468"/>
    <w:rsid w:val="008F1676"/>
    <w:rsid w:val="008F1B77"/>
    <w:rsid w:val="008F31E8"/>
    <w:rsid w:val="008F5CFB"/>
    <w:rsid w:val="009017B3"/>
    <w:rsid w:val="00902CC5"/>
    <w:rsid w:val="009044E5"/>
    <w:rsid w:val="00913D53"/>
    <w:rsid w:val="009155CE"/>
    <w:rsid w:val="00915C45"/>
    <w:rsid w:val="009163A0"/>
    <w:rsid w:val="00916688"/>
    <w:rsid w:val="00921D00"/>
    <w:rsid w:val="00924AF1"/>
    <w:rsid w:val="00924EEA"/>
    <w:rsid w:val="00927BAE"/>
    <w:rsid w:val="0093066D"/>
    <w:rsid w:val="00934F29"/>
    <w:rsid w:val="0094142B"/>
    <w:rsid w:val="0094416D"/>
    <w:rsid w:val="00945141"/>
    <w:rsid w:val="0094706A"/>
    <w:rsid w:val="00950CBD"/>
    <w:rsid w:val="00952065"/>
    <w:rsid w:val="00954621"/>
    <w:rsid w:val="00956746"/>
    <w:rsid w:val="00956F6E"/>
    <w:rsid w:val="0096144E"/>
    <w:rsid w:val="0096242F"/>
    <w:rsid w:val="00962FED"/>
    <w:rsid w:val="00963F1C"/>
    <w:rsid w:val="00966438"/>
    <w:rsid w:val="00966736"/>
    <w:rsid w:val="00972809"/>
    <w:rsid w:val="00973867"/>
    <w:rsid w:val="0097637E"/>
    <w:rsid w:val="00976698"/>
    <w:rsid w:val="0098129F"/>
    <w:rsid w:val="009849EF"/>
    <w:rsid w:val="00985C1A"/>
    <w:rsid w:val="009905CA"/>
    <w:rsid w:val="00995526"/>
    <w:rsid w:val="00997930"/>
    <w:rsid w:val="009A09ED"/>
    <w:rsid w:val="009A30C1"/>
    <w:rsid w:val="009A402F"/>
    <w:rsid w:val="009A60BB"/>
    <w:rsid w:val="009A7D4E"/>
    <w:rsid w:val="009A7EB1"/>
    <w:rsid w:val="009B562A"/>
    <w:rsid w:val="009B6C92"/>
    <w:rsid w:val="009B7521"/>
    <w:rsid w:val="009C3FF5"/>
    <w:rsid w:val="009D0388"/>
    <w:rsid w:val="009D197C"/>
    <w:rsid w:val="009D3D47"/>
    <w:rsid w:val="009D6CAB"/>
    <w:rsid w:val="009D7D31"/>
    <w:rsid w:val="009E11EB"/>
    <w:rsid w:val="009E14D9"/>
    <w:rsid w:val="009E37BC"/>
    <w:rsid w:val="009E5D0B"/>
    <w:rsid w:val="009E709B"/>
    <w:rsid w:val="009E7CF0"/>
    <w:rsid w:val="009F05F6"/>
    <w:rsid w:val="009F1B74"/>
    <w:rsid w:val="009F339F"/>
    <w:rsid w:val="009F360D"/>
    <w:rsid w:val="009F680A"/>
    <w:rsid w:val="00A02379"/>
    <w:rsid w:val="00A12531"/>
    <w:rsid w:val="00A134B3"/>
    <w:rsid w:val="00A13C99"/>
    <w:rsid w:val="00A1445F"/>
    <w:rsid w:val="00A1548D"/>
    <w:rsid w:val="00A15FC3"/>
    <w:rsid w:val="00A16EAA"/>
    <w:rsid w:val="00A1759D"/>
    <w:rsid w:val="00A210F6"/>
    <w:rsid w:val="00A2467F"/>
    <w:rsid w:val="00A27C94"/>
    <w:rsid w:val="00A30FE3"/>
    <w:rsid w:val="00A316C4"/>
    <w:rsid w:val="00A317AE"/>
    <w:rsid w:val="00A40890"/>
    <w:rsid w:val="00A4110D"/>
    <w:rsid w:val="00A47CEC"/>
    <w:rsid w:val="00A517F2"/>
    <w:rsid w:val="00A52A5A"/>
    <w:rsid w:val="00A5709E"/>
    <w:rsid w:val="00A63955"/>
    <w:rsid w:val="00A65F3A"/>
    <w:rsid w:val="00A66794"/>
    <w:rsid w:val="00A74A80"/>
    <w:rsid w:val="00A82EA0"/>
    <w:rsid w:val="00A84C69"/>
    <w:rsid w:val="00A85039"/>
    <w:rsid w:val="00A866E7"/>
    <w:rsid w:val="00A86CBE"/>
    <w:rsid w:val="00A91D58"/>
    <w:rsid w:val="00A9318B"/>
    <w:rsid w:val="00A93E83"/>
    <w:rsid w:val="00A958AA"/>
    <w:rsid w:val="00A96039"/>
    <w:rsid w:val="00A96814"/>
    <w:rsid w:val="00AA13E6"/>
    <w:rsid w:val="00AA65E1"/>
    <w:rsid w:val="00AB65BE"/>
    <w:rsid w:val="00AB6D89"/>
    <w:rsid w:val="00AC07E3"/>
    <w:rsid w:val="00AC2755"/>
    <w:rsid w:val="00AC692D"/>
    <w:rsid w:val="00AD26E8"/>
    <w:rsid w:val="00AD2D96"/>
    <w:rsid w:val="00AD367D"/>
    <w:rsid w:val="00AD45C9"/>
    <w:rsid w:val="00AD6186"/>
    <w:rsid w:val="00AE19BB"/>
    <w:rsid w:val="00AF0390"/>
    <w:rsid w:val="00AF0D0D"/>
    <w:rsid w:val="00AF337F"/>
    <w:rsid w:val="00B00392"/>
    <w:rsid w:val="00B03866"/>
    <w:rsid w:val="00B070CC"/>
    <w:rsid w:val="00B11BBD"/>
    <w:rsid w:val="00B151E6"/>
    <w:rsid w:val="00B153E7"/>
    <w:rsid w:val="00B16364"/>
    <w:rsid w:val="00B175BC"/>
    <w:rsid w:val="00B2124E"/>
    <w:rsid w:val="00B26FA5"/>
    <w:rsid w:val="00B271DE"/>
    <w:rsid w:val="00B31F64"/>
    <w:rsid w:val="00B402F7"/>
    <w:rsid w:val="00B42779"/>
    <w:rsid w:val="00B462C4"/>
    <w:rsid w:val="00B47143"/>
    <w:rsid w:val="00B524E8"/>
    <w:rsid w:val="00B52828"/>
    <w:rsid w:val="00B53F32"/>
    <w:rsid w:val="00B542F0"/>
    <w:rsid w:val="00B54E39"/>
    <w:rsid w:val="00B57909"/>
    <w:rsid w:val="00B57FDB"/>
    <w:rsid w:val="00B63591"/>
    <w:rsid w:val="00B64056"/>
    <w:rsid w:val="00B64AF1"/>
    <w:rsid w:val="00B70071"/>
    <w:rsid w:val="00B714D6"/>
    <w:rsid w:val="00B72D58"/>
    <w:rsid w:val="00B74138"/>
    <w:rsid w:val="00B7452A"/>
    <w:rsid w:val="00B8000A"/>
    <w:rsid w:val="00B81638"/>
    <w:rsid w:val="00B85FAB"/>
    <w:rsid w:val="00B8623C"/>
    <w:rsid w:val="00B90EE3"/>
    <w:rsid w:val="00B91B7F"/>
    <w:rsid w:val="00B94567"/>
    <w:rsid w:val="00B95992"/>
    <w:rsid w:val="00BA29B5"/>
    <w:rsid w:val="00BA4D9B"/>
    <w:rsid w:val="00BA53BA"/>
    <w:rsid w:val="00BA63B6"/>
    <w:rsid w:val="00BA75D3"/>
    <w:rsid w:val="00BB50C2"/>
    <w:rsid w:val="00BC09C3"/>
    <w:rsid w:val="00BC0A8A"/>
    <w:rsid w:val="00BC6C93"/>
    <w:rsid w:val="00BC6F7A"/>
    <w:rsid w:val="00BE30E7"/>
    <w:rsid w:val="00BE325E"/>
    <w:rsid w:val="00BE3DA6"/>
    <w:rsid w:val="00BF0FD8"/>
    <w:rsid w:val="00BF69AF"/>
    <w:rsid w:val="00BF7187"/>
    <w:rsid w:val="00BF7913"/>
    <w:rsid w:val="00C00104"/>
    <w:rsid w:val="00C02643"/>
    <w:rsid w:val="00C0274F"/>
    <w:rsid w:val="00C0360F"/>
    <w:rsid w:val="00C11273"/>
    <w:rsid w:val="00C116F5"/>
    <w:rsid w:val="00C137A1"/>
    <w:rsid w:val="00C17C7C"/>
    <w:rsid w:val="00C200B8"/>
    <w:rsid w:val="00C202EF"/>
    <w:rsid w:val="00C21BD9"/>
    <w:rsid w:val="00C2240E"/>
    <w:rsid w:val="00C26283"/>
    <w:rsid w:val="00C30360"/>
    <w:rsid w:val="00C32BCB"/>
    <w:rsid w:val="00C360CD"/>
    <w:rsid w:val="00C423C1"/>
    <w:rsid w:val="00C42ECE"/>
    <w:rsid w:val="00C47E26"/>
    <w:rsid w:val="00C5323B"/>
    <w:rsid w:val="00C61F11"/>
    <w:rsid w:val="00C65204"/>
    <w:rsid w:val="00C702A6"/>
    <w:rsid w:val="00C70E00"/>
    <w:rsid w:val="00C75548"/>
    <w:rsid w:val="00C80D5E"/>
    <w:rsid w:val="00C83033"/>
    <w:rsid w:val="00C867F8"/>
    <w:rsid w:val="00C93A64"/>
    <w:rsid w:val="00CB286F"/>
    <w:rsid w:val="00CB388B"/>
    <w:rsid w:val="00CB468F"/>
    <w:rsid w:val="00CC3F4A"/>
    <w:rsid w:val="00CC52E1"/>
    <w:rsid w:val="00CD014A"/>
    <w:rsid w:val="00CD0FC8"/>
    <w:rsid w:val="00CD4461"/>
    <w:rsid w:val="00CD5342"/>
    <w:rsid w:val="00CE08F1"/>
    <w:rsid w:val="00CE0B15"/>
    <w:rsid w:val="00CE24A7"/>
    <w:rsid w:val="00CE4F7C"/>
    <w:rsid w:val="00CE5BE4"/>
    <w:rsid w:val="00CE671C"/>
    <w:rsid w:val="00CE6BC1"/>
    <w:rsid w:val="00CF14F8"/>
    <w:rsid w:val="00CF34AC"/>
    <w:rsid w:val="00CF3D38"/>
    <w:rsid w:val="00CF5304"/>
    <w:rsid w:val="00CF7406"/>
    <w:rsid w:val="00D027D0"/>
    <w:rsid w:val="00D03482"/>
    <w:rsid w:val="00D05752"/>
    <w:rsid w:val="00D10191"/>
    <w:rsid w:val="00D13C30"/>
    <w:rsid w:val="00D15EE2"/>
    <w:rsid w:val="00D167E0"/>
    <w:rsid w:val="00D17389"/>
    <w:rsid w:val="00D20352"/>
    <w:rsid w:val="00D2355A"/>
    <w:rsid w:val="00D258AA"/>
    <w:rsid w:val="00D305C5"/>
    <w:rsid w:val="00D31793"/>
    <w:rsid w:val="00D31C82"/>
    <w:rsid w:val="00D32245"/>
    <w:rsid w:val="00D35278"/>
    <w:rsid w:val="00D424D4"/>
    <w:rsid w:val="00D43B2A"/>
    <w:rsid w:val="00D4464B"/>
    <w:rsid w:val="00D447D5"/>
    <w:rsid w:val="00D44F6F"/>
    <w:rsid w:val="00D46A43"/>
    <w:rsid w:val="00D46C68"/>
    <w:rsid w:val="00D510A5"/>
    <w:rsid w:val="00D55B15"/>
    <w:rsid w:val="00D56921"/>
    <w:rsid w:val="00D60C88"/>
    <w:rsid w:val="00D62658"/>
    <w:rsid w:val="00D67710"/>
    <w:rsid w:val="00D70F98"/>
    <w:rsid w:val="00D76305"/>
    <w:rsid w:val="00D77AF5"/>
    <w:rsid w:val="00D80044"/>
    <w:rsid w:val="00D8156E"/>
    <w:rsid w:val="00D8312F"/>
    <w:rsid w:val="00D979E2"/>
    <w:rsid w:val="00D97C7A"/>
    <w:rsid w:val="00DA1883"/>
    <w:rsid w:val="00DA4D1C"/>
    <w:rsid w:val="00DA5278"/>
    <w:rsid w:val="00DA60C6"/>
    <w:rsid w:val="00DB073C"/>
    <w:rsid w:val="00DB07C8"/>
    <w:rsid w:val="00DB654A"/>
    <w:rsid w:val="00DD4BFA"/>
    <w:rsid w:val="00DD5638"/>
    <w:rsid w:val="00DD6234"/>
    <w:rsid w:val="00DD6D85"/>
    <w:rsid w:val="00DD7543"/>
    <w:rsid w:val="00DE16EB"/>
    <w:rsid w:val="00DE32AA"/>
    <w:rsid w:val="00DE6569"/>
    <w:rsid w:val="00DE6A4F"/>
    <w:rsid w:val="00E014BE"/>
    <w:rsid w:val="00E04140"/>
    <w:rsid w:val="00E11281"/>
    <w:rsid w:val="00E113B5"/>
    <w:rsid w:val="00E12CC4"/>
    <w:rsid w:val="00E1493E"/>
    <w:rsid w:val="00E159E6"/>
    <w:rsid w:val="00E21354"/>
    <w:rsid w:val="00E23745"/>
    <w:rsid w:val="00E2390E"/>
    <w:rsid w:val="00E24052"/>
    <w:rsid w:val="00E241FE"/>
    <w:rsid w:val="00E24428"/>
    <w:rsid w:val="00E24EDE"/>
    <w:rsid w:val="00E27852"/>
    <w:rsid w:val="00E27DBE"/>
    <w:rsid w:val="00E361B9"/>
    <w:rsid w:val="00E4098A"/>
    <w:rsid w:val="00E40BDA"/>
    <w:rsid w:val="00E41E23"/>
    <w:rsid w:val="00E4203C"/>
    <w:rsid w:val="00E42D6C"/>
    <w:rsid w:val="00E46732"/>
    <w:rsid w:val="00E62FB9"/>
    <w:rsid w:val="00E6328A"/>
    <w:rsid w:val="00E63759"/>
    <w:rsid w:val="00E64DDB"/>
    <w:rsid w:val="00E674FA"/>
    <w:rsid w:val="00E7132A"/>
    <w:rsid w:val="00E7272A"/>
    <w:rsid w:val="00E73653"/>
    <w:rsid w:val="00E7773B"/>
    <w:rsid w:val="00E7778A"/>
    <w:rsid w:val="00E8014A"/>
    <w:rsid w:val="00E82279"/>
    <w:rsid w:val="00E82514"/>
    <w:rsid w:val="00E8312A"/>
    <w:rsid w:val="00E92210"/>
    <w:rsid w:val="00E95DAA"/>
    <w:rsid w:val="00EA1826"/>
    <w:rsid w:val="00EA652B"/>
    <w:rsid w:val="00EA6DB5"/>
    <w:rsid w:val="00EB29D4"/>
    <w:rsid w:val="00EB2C93"/>
    <w:rsid w:val="00EB2F08"/>
    <w:rsid w:val="00EB36CD"/>
    <w:rsid w:val="00EB5D57"/>
    <w:rsid w:val="00EC14BA"/>
    <w:rsid w:val="00EC179B"/>
    <w:rsid w:val="00EC225E"/>
    <w:rsid w:val="00EC2F8E"/>
    <w:rsid w:val="00EC5B15"/>
    <w:rsid w:val="00EC665D"/>
    <w:rsid w:val="00EC7D23"/>
    <w:rsid w:val="00ED0C93"/>
    <w:rsid w:val="00ED0F98"/>
    <w:rsid w:val="00ED18AF"/>
    <w:rsid w:val="00ED4026"/>
    <w:rsid w:val="00ED4AB0"/>
    <w:rsid w:val="00ED5501"/>
    <w:rsid w:val="00ED6F3D"/>
    <w:rsid w:val="00EE0DA6"/>
    <w:rsid w:val="00EE2521"/>
    <w:rsid w:val="00EE2EE0"/>
    <w:rsid w:val="00EE6299"/>
    <w:rsid w:val="00EE761F"/>
    <w:rsid w:val="00EF557D"/>
    <w:rsid w:val="00F05081"/>
    <w:rsid w:val="00F07F87"/>
    <w:rsid w:val="00F14F8F"/>
    <w:rsid w:val="00F16AE7"/>
    <w:rsid w:val="00F20E0B"/>
    <w:rsid w:val="00F216C2"/>
    <w:rsid w:val="00F249AF"/>
    <w:rsid w:val="00F300B4"/>
    <w:rsid w:val="00F338F2"/>
    <w:rsid w:val="00F350B0"/>
    <w:rsid w:val="00F37A0E"/>
    <w:rsid w:val="00F446E0"/>
    <w:rsid w:val="00F50B84"/>
    <w:rsid w:val="00F51C10"/>
    <w:rsid w:val="00F526A3"/>
    <w:rsid w:val="00F54E86"/>
    <w:rsid w:val="00F551E1"/>
    <w:rsid w:val="00F56614"/>
    <w:rsid w:val="00F603E6"/>
    <w:rsid w:val="00F6141D"/>
    <w:rsid w:val="00F62CB1"/>
    <w:rsid w:val="00F63391"/>
    <w:rsid w:val="00F676ED"/>
    <w:rsid w:val="00F72297"/>
    <w:rsid w:val="00F77EC3"/>
    <w:rsid w:val="00F8289D"/>
    <w:rsid w:val="00F83642"/>
    <w:rsid w:val="00F83D7B"/>
    <w:rsid w:val="00F84194"/>
    <w:rsid w:val="00F86700"/>
    <w:rsid w:val="00F94B4D"/>
    <w:rsid w:val="00FA560D"/>
    <w:rsid w:val="00FA6B3A"/>
    <w:rsid w:val="00FA6E42"/>
    <w:rsid w:val="00FB1C34"/>
    <w:rsid w:val="00FB5930"/>
    <w:rsid w:val="00FB647A"/>
    <w:rsid w:val="00FB7984"/>
    <w:rsid w:val="00FC0664"/>
    <w:rsid w:val="00FC1642"/>
    <w:rsid w:val="00FD3769"/>
    <w:rsid w:val="00FD5DC3"/>
    <w:rsid w:val="00FD76BB"/>
    <w:rsid w:val="00FE171C"/>
    <w:rsid w:val="00FE22AF"/>
    <w:rsid w:val="00FF031E"/>
    <w:rsid w:val="00FF10A1"/>
    <w:rsid w:val="00FF1EBD"/>
    <w:rsid w:val="00FF1FCB"/>
    <w:rsid w:val="00FF37F3"/>
    <w:rsid w:val="00FF41E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2DF351"/>
  <w15:docId w15:val="{98BF6852-2414-445A-B9D3-36284A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F7A"/>
    <w:pPr>
      <w:spacing w:before="120" w:after="120"/>
    </w:pPr>
    <w:rPr>
      <w:rFonts w:ascii="Avenir Next" w:eastAsia="AvenirNext LT Pro Bold" w:hAnsi="Avenir Next" w:cs="AvenirNext LT Pro Bold"/>
      <w:color w:val="575F61"/>
      <w:sz w:val="24"/>
      <w:lang w:val="en-GB"/>
    </w:rPr>
  </w:style>
  <w:style w:type="paragraph" w:styleId="Heading1">
    <w:name w:val="heading 1"/>
    <w:next w:val="BodyText"/>
    <w:link w:val="Heading1Char"/>
    <w:autoRedefine/>
    <w:uiPriority w:val="9"/>
    <w:qFormat/>
    <w:rsid w:val="00A82EA0"/>
    <w:pPr>
      <w:spacing w:before="240" w:after="120" w:line="520" w:lineRule="exact"/>
      <w:outlineLvl w:val="0"/>
    </w:pPr>
    <w:rPr>
      <w:rFonts w:ascii="Avenir Next Demi Bold" w:eastAsia="AvenirNextLTPro-Demi" w:hAnsi="Avenir Next Demi Bold" w:cs="AvenirNextLTPro-Demi"/>
      <w:bCs/>
      <w:color w:val="1598CB"/>
      <w:sz w:val="44"/>
      <w:szCs w:val="44"/>
    </w:rPr>
  </w:style>
  <w:style w:type="paragraph" w:styleId="Heading2">
    <w:name w:val="heading 2"/>
    <w:basedOn w:val="Heading1"/>
    <w:next w:val="BodyText"/>
    <w:link w:val="Heading2Char"/>
    <w:autoRedefine/>
    <w:uiPriority w:val="9"/>
    <w:unhideWhenUsed/>
    <w:qFormat/>
    <w:rsid w:val="006D1DB3"/>
    <w:pPr>
      <w:spacing w:before="100" w:beforeAutospacing="1" w:line="240" w:lineRule="auto"/>
      <w:outlineLvl w:val="1"/>
    </w:pPr>
    <w:rPr>
      <w:b/>
      <w:bCs w:val="0"/>
      <w:color w:val="575F61"/>
      <w:spacing w:val="-6"/>
      <w:sz w:val="36"/>
      <w:szCs w:val="36"/>
    </w:rPr>
  </w:style>
  <w:style w:type="paragraph" w:styleId="Heading3">
    <w:name w:val="heading 3"/>
    <w:basedOn w:val="Normal"/>
    <w:next w:val="Normal"/>
    <w:link w:val="Heading3Char"/>
    <w:autoRedefine/>
    <w:uiPriority w:val="9"/>
    <w:unhideWhenUsed/>
    <w:qFormat/>
    <w:rsid w:val="007E536B"/>
    <w:pPr>
      <w:spacing w:before="100" w:beforeAutospacing="1" w:after="0"/>
      <w:outlineLvl w:val="2"/>
    </w:pPr>
    <w:rPr>
      <w:rFonts w:ascii="Avenir Next Demi Bold" w:hAnsi="Avenir Next Demi Bold"/>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sid w:val="00C30360"/>
    <w:rPr>
      <w:szCs w:val="24"/>
    </w:rPr>
  </w:style>
  <w:style w:type="paragraph" w:styleId="Title">
    <w:name w:val="Title"/>
    <w:basedOn w:val="Normal"/>
    <w:uiPriority w:val="10"/>
    <w:qFormat/>
    <w:pPr>
      <w:spacing w:before="75"/>
      <w:ind w:left="1127" w:right="1085"/>
      <w:jc w:val="center"/>
    </w:pPr>
    <w:rPr>
      <w:rFonts w:ascii="AvenirNextLTPro-Demi" w:eastAsia="AvenirNextLTPro-Demi" w:hAnsi="AvenirNextLTPro-Demi" w:cs="AvenirNextLTPro-Demi"/>
      <w:b/>
      <w:bCs/>
      <w:sz w:val="56"/>
      <w:szCs w:val="56"/>
    </w:rPr>
  </w:style>
  <w:style w:type="paragraph" w:styleId="ListParagraph">
    <w:name w:val="List Paragraph"/>
    <w:aliases w:val="Bullets 2"/>
    <w:basedOn w:val="Normal"/>
    <w:next w:val="Normal"/>
    <w:autoRedefine/>
    <w:uiPriority w:val="34"/>
    <w:qFormat/>
    <w:rsid w:val="007B59A0"/>
    <w:pPr>
      <w:numPr>
        <w:numId w:val="52"/>
      </w:numPr>
      <w:spacing w:before="24"/>
    </w:pPr>
  </w:style>
  <w:style w:type="paragraph" w:customStyle="1" w:styleId="TableParagraph">
    <w:name w:val="Table Paragraph"/>
    <w:basedOn w:val="Normal"/>
    <w:uiPriority w:val="1"/>
    <w:qFormat/>
    <w:rsid w:val="00DE6569"/>
    <w:rPr>
      <w:rFonts w:eastAsia="AvenirNextLTPro-Demi" w:cs="AvenirNextLTPro-Demi"/>
      <w:sz w:val="20"/>
    </w:rPr>
  </w:style>
  <w:style w:type="paragraph" w:customStyle="1" w:styleId="Bullets">
    <w:name w:val="Bullets"/>
    <w:basedOn w:val="BodyText"/>
    <w:next w:val="BodyText"/>
    <w:autoRedefine/>
    <w:qFormat/>
    <w:rsid w:val="000E4D90"/>
    <w:pPr>
      <w:numPr>
        <w:numId w:val="60"/>
      </w:numPr>
      <w:spacing w:before="0"/>
    </w:pPr>
  </w:style>
  <w:style w:type="paragraph" w:customStyle="1" w:styleId="Breakout">
    <w:name w:val="Breakout"/>
    <w:basedOn w:val="BodyText"/>
    <w:next w:val="BodyText"/>
    <w:autoRedefine/>
    <w:qFormat/>
    <w:rsid w:val="00573A64"/>
    <w:pPr>
      <w:spacing w:after="480" w:line="440" w:lineRule="exact"/>
      <w:ind w:left="567" w:right="567"/>
      <w:jc w:val="center"/>
    </w:pPr>
    <w:rPr>
      <w:color w:val="FFFFFF" w:themeColor="background1"/>
      <w:spacing w:val="-2"/>
      <w:sz w:val="36"/>
      <w:szCs w:val="36"/>
    </w:rPr>
  </w:style>
  <w:style w:type="paragraph" w:styleId="TOCHeading">
    <w:name w:val="TOC Heading"/>
    <w:basedOn w:val="Heading1"/>
    <w:next w:val="Normal"/>
    <w:uiPriority w:val="39"/>
    <w:unhideWhenUsed/>
    <w:qFormat/>
    <w:rsid w:val="00BF69AF"/>
    <w:pPr>
      <w:keepNext/>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rsid w:val="00BF69AF"/>
    <w:pPr>
      <w:spacing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BF69AF"/>
    <w:rPr>
      <w:rFonts w:ascii="AvenirNext LT Pro Regular" w:hAnsi="AvenirNext LT Pro Regular"/>
      <w:color w:val="0000FF" w:themeColor="hyperlink"/>
      <w:u w:val="single"/>
    </w:rPr>
  </w:style>
  <w:style w:type="paragraph" w:styleId="TOC3">
    <w:name w:val="toc 3"/>
    <w:basedOn w:val="Normal"/>
    <w:next w:val="Normal"/>
    <w:autoRedefine/>
    <w:uiPriority w:val="39"/>
    <w:unhideWhenUsed/>
    <w:rsid w:val="001F688B"/>
    <w:pPr>
      <w:tabs>
        <w:tab w:val="right" w:leader="dot" w:pos="9940"/>
      </w:tabs>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BF69AF"/>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BF69AF"/>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BF69AF"/>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BF69AF"/>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BF69AF"/>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BF69AF"/>
    <w:pPr>
      <w:spacing w:before="0" w:after="0"/>
      <w:ind w:left="1920"/>
    </w:pPr>
    <w:rPr>
      <w:rFonts w:asciiTheme="minorHAnsi" w:hAnsiTheme="minorHAnsi" w:cstheme="minorHAnsi"/>
      <w:sz w:val="20"/>
      <w:szCs w:val="20"/>
    </w:rPr>
  </w:style>
  <w:style w:type="paragraph" w:styleId="Footer">
    <w:name w:val="footer"/>
    <w:basedOn w:val="Normal"/>
    <w:link w:val="FooterChar"/>
    <w:uiPriority w:val="99"/>
    <w:unhideWhenUsed/>
    <w:rsid w:val="00EB29D4"/>
    <w:pPr>
      <w:tabs>
        <w:tab w:val="center" w:pos="4513"/>
        <w:tab w:val="right" w:pos="9026"/>
      </w:tabs>
      <w:spacing w:before="0" w:after="0"/>
    </w:pPr>
  </w:style>
  <w:style w:type="character" w:customStyle="1" w:styleId="FooterChar">
    <w:name w:val="Footer Char"/>
    <w:basedOn w:val="DefaultParagraphFont"/>
    <w:link w:val="Footer"/>
    <w:uiPriority w:val="99"/>
    <w:rsid w:val="00EB29D4"/>
    <w:rPr>
      <w:rFonts w:ascii="Avenir Next" w:eastAsia="AvenirNext LT Pro Bold" w:hAnsi="Avenir Next" w:cs="AvenirNext LT Pro Bold"/>
      <w:color w:val="575F61"/>
      <w:sz w:val="24"/>
    </w:rPr>
  </w:style>
  <w:style w:type="character" w:styleId="PageNumber">
    <w:name w:val="page number"/>
    <w:basedOn w:val="DefaultParagraphFont"/>
    <w:uiPriority w:val="99"/>
    <w:semiHidden/>
    <w:unhideWhenUsed/>
    <w:rsid w:val="00EB29D4"/>
    <w:rPr>
      <w:rFonts w:ascii="AvenirNext LT Pro Regular" w:hAnsi="AvenirNext LT Pro Regular"/>
    </w:rPr>
  </w:style>
  <w:style w:type="paragraph" w:styleId="Header">
    <w:name w:val="header"/>
    <w:basedOn w:val="Normal"/>
    <w:link w:val="HeaderChar"/>
    <w:uiPriority w:val="99"/>
    <w:unhideWhenUsed/>
    <w:rsid w:val="00C61F11"/>
    <w:pPr>
      <w:tabs>
        <w:tab w:val="center" w:pos="4513"/>
        <w:tab w:val="right" w:pos="9026"/>
      </w:tabs>
      <w:spacing w:before="0" w:after="0"/>
    </w:pPr>
  </w:style>
  <w:style w:type="character" w:customStyle="1" w:styleId="HeaderChar">
    <w:name w:val="Header Char"/>
    <w:basedOn w:val="DefaultParagraphFont"/>
    <w:link w:val="Header"/>
    <w:uiPriority w:val="99"/>
    <w:rsid w:val="00C61F11"/>
    <w:rPr>
      <w:rFonts w:ascii="Avenir Next" w:eastAsia="AvenirNext LT Pro Bold" w:hAnsi="Avenir Next" w:cs="AvenirNext LT Pro Bold"/>
      <w:color w:val="575F61"/>
      <w:sz w:val="24"/>
    </w:rPr>
  </w:style>
  <w:style w:type="table" w:customStyle="1" w:styleId="Table">
    <w:name w:val="Table"/>
    <w:basedOn w:val="TableNormal"/>
    <w:uiPriority w:val="99"/>
    <w:rsid w:val="00DE6569"/>
    <w:pPr>
      <w:widowControl/>
      <w:autoSpaceDE/>
      <w:autoSpaceDN/>
    </w:pPr>
    <w:rPr>
      <w:rFonts w:ascii="Avenir Next" w:hAnsi="Avenir Next"/>
      <w:color w:val="575F61"/>
      <w:sz w:val="20"/>
    </w:rPr>
    <w:tblPr>
      <w:tblBorders>
        <w:top w:val="single" w:sz="2" w:space="0" w:color="auto"/>
        <w:bottom w:val="single" w:sz="2" w:space="0" w:color="auto"/>
        <w:insideH w:val="single" w:sz="2" w:space="0" w:color="auto"/>
      </w:tblBorders>
    </w:tblPr>
    <w:tcPr>
      <w:shd w:val="clear" w:color="auto" w:fill="575F61"/>
      <w:vAlign w:val="center"/>
    </w:tcPr>
  </w:style>
  <w:style w:type="table" w:styleId="TableGrid">
    <w:name w:val="Table Grid"/>
    <w:basedOn w:val="TableNormal"/>
    <w:uiPriority w:val="39"/>
    <w:rsid w:val="00F6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nText">
    <w:name w:val="Title in Text"/>
    <w:basedOn w:val="BodyText"/>
    <w:qFormat/>
    <w:rsid w:val="00E11281"/>
    <w:pPr>
      <w:spacing w:after="0"/>
    </w:pPr>
    <w:rPr>
      <w:rFonts w:ascii="Avenir Next Demi Bold" w:hAnsi="Avenir Next Demi Bold"/>
      <w:b/>
      <w:bCs/>
    </w:rPr>
  </w:style>
  <w:style w:type="character" w:customStyle="1" w:styleId="BodyTextChar">
    <w:name w:val="Body Text Char"/>
    <w:basedOn w:val="DefaultParagraphFont"/>
    <w:link w:val="BodyText"/>
    <w:uiPriority w:val="1"/>
    <w:rsid w:val="00E11281"/>
    <w:rPr>
      <w:rFonts w:ascii="Avenir Next" w:eastAsia="AvenirNext LT Pro Bold" w:hAnsi="Avenir Next" w:cs="AvenirNext LT Pro Bold"/>
      <w:color w:val="575F61"/>
      <w:sz w:val="24"/>
      <w:szCs w:val="24"/>
    </w:rPr>
  </w:style>
  <w:style w:type="character" w:styleId="CommentReference">
    <w:name w:val="annotation reference"/>
    <w:basedOn w:val="DefaultParagraphFont"/>
    <w:uiPriority w:val="99"/>
    <w:semiHidden/>
    <w:unhideWhenUsed/>
    <w:rsid w:val="00B153E7"/>
    <w:rPr>
      <w:sz w:val="16"/>
      <w:szCs w:val="16"/>
    </w:rPr>
  </w:style>
  <w:style w:type="paragraph" w:styleId="CommentText">
    <w:name w:val="annotation text"/>
    <w:basedOn w:val="Normal"/>
    <w:link w:val="CommentTextChar"/>
    <w:uiPriority w:val="99"/>
    <w:unhideWhenUsed/>
    <w:rsid w:val="00B153E7"/>
    <w:pPr>
      <w:widowControl/>
      <w:autoSpaceDE/>
      <w:autoSpaceDN/>
      <w:spacing w:before="0" w:after="160"/>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rsid w:val="00B153E7"/>
    <w:rPr>
      <w:sz w:val="20"/>
      <w:szCs w:val="20"/>
      <w:lang w:val="en-AU"/>
    </w:rPr>
  </w:style>
  <w:style w:type="paragraph" w:styleId="BalloonText">
    <w:name w:val="Balloon Text"/>
    <w:basedOn w:val="Normal"/>
    <w:link w:val="BalloonTextChar"/>
    <w:uiPriority w:val="99"/>
    <w:semiHidden/>
    <w:unhideWhenUsed/>
    <w:rsid w:val="00B153E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3E7"/>
    <w:rPr>
      <w:rFonts w:ascii="Segoe UI" w:eastAsia="AvenirNext LT Pro Bold" w:hAnsi="Segoe UI" w:cs="Segoe UI"/>
      <w:color w:val="575F61"/>
      <w:sz w:val="18"/>
      <w:szCs w:val="18"/>
    </w:rPr>
  </w:style>
  <w:style w:type="character" w:styleId="Emphasis">
    <w:name w:val="Emphasis"/>
    <w:basedOn w:val="DefaultParagraphFont"/>
    <w:uiPriority w:val="20"/>
    <w:qFormat/>
    <w:rsid w:val="00B153E7"/>
    <w:rPr>
      <w:i/>
      <w:iCs/>
    </w:rPr>
  </w:style>
  <w:style w:type="paragraph" w:styleId="Quote">
    <w:name w:val="Quote"/>
    <w:basedOn w:val="Normal"/>
    <w:next w:val="Normal"/>
    <w:link w:val="QuoteChar"/>
    <w:uiPriority w:val="29"/>
    <w:qFormat/>
    <w:rsid w:val="00B153E7"/>
    <w:pPr>
      <w:widowControl/>
      <w:autoSpaceDE/>
      <w:autoSpaceDN/>
      <w:spacing w:before="200" w:after="160" w:line="259" w:lineRule="auto"/>
      <w:ind w:left="864" w:right="864"/>
    </w:pPr>
    <w:rPr>
      <w:rFonts w:asciiTheme="minorHAnsi" w:eastAsiaTheme="minorHAnsi" w:hAnsiTheme="minorHAnsi" w:cstheme="minorBidi"/>
      <w:i/>
      <w:iCs/>
      <w:color w:val="404040" w:themeColor="text1" w:themeTint="BF"/>
      <w:sz w:val="22"/>
      <w:lang w:val="en-AU"/>
    </w:rPr>
  </w:style>
  <w:style w:type="character" w:customStyle="1" w:styleId="QuoteChar">
    <w:name w:val="Quote Char"/>
    <w:basedOn w:val="DefaultParagraphFont"/>
    <w:link w:val="Quote"/>
    <w:uiPriority w:val="29"/>
    <w:rsid w:val="00B153E7"/>
    <w:rPr>
      <w:i/>
      <w:iCs/>
      <w:color w:val="404040" w:themeColor="text1" w:themeTint="BF"/>
      <w:lang w:val="en-AU"/>
    </w:rPr>
  </w:style>
  <w:style w:type="paragraph" w:styleId="FootnoteText">
    <w:name w:val="footnote text"/>
    <w:basedOn w:val="Normal"/>
    <w:link w:val="FootnoteTextChar"/>
    <w:uiPriority w:val="99"/>
    <w:semiHidden/>
    <w:unhideWhenUsed/>
    <w:rsid w:val="00B153E7"/>
    <w:pPr>
      <w:spacing w:before="0" w:after="0"/>
    </w:pPr>
    <w:rPr>
      <w:sz w:val="20"/>
      <w:szCs w:val="20"/>
    </w:rPr>
  </w:style>
  <w:style w:type="character" w:customStyle="1" w:styleId="FootnoteTextChar">
    <w:name w:val="Footnote Text Char"/>
    <w:basedOn w:val="DefaultParagraphFont"/>
    <w:link w:val="FootnoteText"/>
    <w:uiPriority w:val="99"/>
    <w:semiHidden/>
    <w:rsid w:val="00B153E7"/>
    <w:rPr>
      <w:rFonts w:ascii="Avenir Next" w:eastAsia="AvenirNext LT Pro Bold" w:hAnsi="Avenir Next" w:cs="AvenirNext LT Pro Bold"/>
      <w:color w:val="575F61"/>
      <w:sz w:val="20"/>
      <w:szCs w:val="20"/>
    </w:rPr>
  </w:style>
  <w:style w:type="character" w:styleId="FootnoteReference">
    <w:name w:val="footnote reference"/>
    <w:basedOn w:val="DefaultParagraphFont"/>
    <w:uiPriority w:val="99"/>
    <w:semiHidden/>
    <w:unhideWhenUsed/>
    <w:rsid w:val="00B153E7"/>
    <w:rPr>
      <w:vertAlign w:val="superscript"/>
    </w:rPr>
  </w:style>
  <w:style w:type="paragraph" w:customStyle="1" w:styleId="EndNoteBibliographyTitle">
    <w:name w:val="EndNote Bibliography Title"/>
    <w:basedOn w:val="Normal"/>
    <w:link w:val="EndNoteBibliographyTitleChar"/>
    <w:rsid w:val="00B153E7"/>
    <w:pPr>
      <w:spacing w:after="0"/>
      <w:jc w:val="center"/>
    </w:pPr>
    <w:rPr>
      <w:noProof/>
    </w:rPr>
  </w:style>
  <w:style w:type="character" w:customStyle="1" w:styleId="EndNoteBibliographyTitleChar">
    <w:name w:val="EndNote Bibliography Title Char"/>
    <w:basedOn w:val="BodyTextChar"/>
    <w:link w:val="EndNoteBibliographyTitle"/>
    <w:rsid w:val="00B153E7"/>
    <w:rPr>
      <w:rFonts w:ascii="Avenir Next" w:eastAsia="AvenirNext LT Pro Bold" w:hAnsi="Avenir Next" w:cs="AvenirNext LT Pro Bold"/>
      <w:noProof/>
      <w:color w:val="575F61"/>
      <w:sz w:val="24"/>
      <w:szCs w:val="24"/>
      <w:lang w:val="en-GB"/>
    </w:rPr>
  </w:style>
  <w:style w:type="paragraph" w:customStyle="1" w:styleId="EndNoteBibliography">
    <w:name w:val="EndNote Bibliography"/>
    <w:basedOn w:val="Normal"/>
    <w:link w:val="EndNoteBibliographyChar"/>
    <w:rsid w:val="00B153E7"/>
    <w:rPr>
      <w:noProof/>
    </w:rPr>
  </w:style>
  <w:style w:type="character" w:customStyle="1" w:styleId="EndNoteBibliographyChar">
    <w:name w:val="EndNote Bibliography Char"/>
    <w:basedOn w:val="BodyTextChar"/>
    <w:link w:val="EndNoteBibliography"/>
    <w:rsid w:val="00B153E7"/>
    <w:rPr>
      <w:rFonts w:ascii="Avenir Next" w:eastAsia="AvenirNext LT Pro Bold" w:hAnsi="Avenir Next" w:cs="AvenirNext LT Pro Bold"/>
      <w:noProof/>
      <w:color w:val="575F61"/>
      <w:sz w:val="24"/>
      <w:szCs w:val="24"/>
      <w:lang w:val="en-GB"/>
    </w:rPr>
  </w:style>
  <w:style w:type="paragraph" w:styleId="CommentSubject">
    <w:name w:val="annotation subject"/>
    <w:basedOn w:val="CommentText"/>
    <w:next w:val="CommentText"/>
    <w:link w:val="CommentSubjectChar"/>
    <w:uiPriority w:val="99"/>
    <w:semiHidden/>
    <w:unhideWhenUsed/>
    <w:rsid w:val="007D3D9C"/>
    <w:pPr>
      <w:widowControl w:val="0"/>
      <w:autoSpaceDE w:val="0"/>
      <w:autoSpaceDN w:val="0"/>
      <w:spacing w:before="120" w:after="120"/>
    </w:pPr>
    <w:rPr>
      <w:rFonts w:ascii="Avenir Next" w:eastAsia="AvenirNext LT Pro Bold" w:hAnsi="Avenir Next" w:cs="AvenirNext LT Pro Bold"/>
      <w:b/>
      <w:bCs/>
      <w:color w:val="575F61"/>
      <w:lang w:val="en-US"/>
    </w:rPr>
  </w:style>
  <w:style w:type="character" w:customStyle="1" w:styleId="CommentSubjectChar">
    <w:name w:val="Comment Subject Char"/>
    <w:basedOn w:val="CommentTextChar"/>
    <w:link w:val="CommentSubject"/>
    <w:uiPriority w:val="99"/>
    <w:semiHidden/>
    <w:rsid w:val="007D3D9C"/>
    <w:rPr>
      <w:rFonts w:ascii="Avenir Next" w:eastAsia="AvenirNext LT Pro Bold" w:hAnsi="Avenir Next" w:cs="AvenirNext LT Pro Bold"/>
      <w:b/>
      <w:bCs/>
      <w:color w:val="575F61"/>
      <w:sz w:val="20"/>
      <w:szCs w:val="20"/>
      <w:lang w:val="en-AU"/>
    </w:rPr>
  </w:style>
  <w:style w:type="character" w:styleId="UnresolvedMention">
    <w:name w:val="Unresolved Mention"/>
    <w:basedOn w:val="DefaultParagraphFont"/>
    <w:uiPriority w:val="99"/>
    <w:semiHidden/>
    <w:unhideWhenUsed/>
    <w:rsid w:val="00C5323B"/>
    <w:rPr>
      <w:color w:val="605E5C"/>
      <w:shd w:val="clear" w:color="auto" w:fill="E1DFDD"/>
    </w:rPr>
  </w:style>
  <w:style w:type="character" w:styleId="IntenseEmphasis">
    <w:name w:val="Intense Emphasis"/>
    <w:basedOn w:val="DefaultParagraphFont"/>
    <w:uiPriority w:val="21"/>
    <w:qFormat/>
    <w:rsid w:val="009E11EB"/>
    <w:rPr>
      <w:i/>
      <w:iCs/>
      <w:color w:val="31849B" w:themeColor="accent5" w:themeShade="BF"/>
    </w:rPr>
  </w:style>
  <w:style w:type="paragraph" w:styleId="NormalWeb">
    <w:name w:val="Normal (Web)"/>
    <w:basedOn w:val="Normal"/>
    <w:uiPriority w:val="99"/>
    <w:semiHidden/>
    <w:unhideWhenUsed/>
    <w:rsid w:val="00D43B2A"/>
    <w:pPr>
      <w:widowControl/>
      <w:autoSpaceDE/>
      <w:autoSpaceDN/>
      <w:spacing w:before="100" w:beforeAutospacing="1" w:after="100" w:afterAutospacing="1"/>
    </w:pPr>
    <w:rPr>
      <w:rFonts w:ascii="Times New Roman" w:eastAsia="Times New Roman" w:hAnsi="Times New Roman" w:cs="Times New Roman"/>
      <w:color w:val="auto"/>
      <w:szCs w:val="24"/>
      <w:lang w:val="en-AU" w:eastAsia="zh-CN"/>
    </w:rPr>
  </w:style>
  <w:style w:type="paragraph" w:customStyle="1" w:styleId="Captions">
    <w:name w:val="Captions"/>
    <w:basedOn w:val="BodyText"/>
    <w:link w:val="CaptionsChar"/>
    <w:qFormat/>
    <w:rsid w:val="007C6AF1"/>
    <w:pPr>
      <w:spacing w:before="240"/>
    </w:pPr>
    <w:rPr>
      <w:b/>
      <w:bCs/>
      <w:i/>
    </w:rPr>
  </w:style>
  <w:style w:type="character" w:customStyle="1" w:styleId="CaptionsChar">
    <w:name w:val="Captions Char"/>
    <w:basedOn w:val="BodyTextChar"/>
    <w:link w:val="Captions"/>
    <w:rsid w:val="007C6AF1"/>
    <w:rPr>
      <w:rFonts w:ascii="Avenir Next" w:eastAsia="AvenirNext LT Pro Bold" w:hAnsi="Avenir Next" w:cs="AvenirNext LT Pro Bold"/>
      <w:b/>
      <w:bCs/>
      <w:i/>
      <w:color w:val="575F61"/>
      <w:sz w:val="24"/>
      <w:szCs w:val="24"/>
    </w:rPr>
  </w:style>
  <w:style w:type="paragraph" w:customStyle="1" w:styleId="Default">
    <w:name w:val="Default"/>
    <w:rsid w:val="002D52A9"/>
    <w:pPr>
      <w:widowControl/>
      <w:adjustRightInd w:val="0"/>
    </w:pPr>
    <w:rPr>
      <w:rFonts w:ascii="Calibri Light" w:hAnsi="Calibri Light" w:cs="Calibri Light"/>
      <w:color w:val="000000"/>
      <w:sz w:val="24"/>
      <w:szCs w:val="24"/>
      <w:lang w:val="en-AU"/>
    </w:rPr>
  </w:style>
  <w:style w:type="character" w:styleId="FollowedHyperlink">
    <w:name w:val="FollowedHyperlink"/>
    <w:basedOn w:val="DefaultParagraphFont"/>
    <w:uiPriority w:val="99"/>
    <w:semiHidden/>
    <w:unhideWhenUsed/>
    <w:rsid w:val="00F62CB1"/>
    <w:rPr>
      <w:color w:val="800080" w:themeColor="followedHyperlink"/>
      <w:u w:val="single"/>
    </w:rPr>
  </w:style>
  <w:style w:type="character" w:customStyle="1" w:styleId="Heading2Char">
    <w:name w:val="Heading 2 Char"/>
    <w:basedOn w:val="DefaultParagraphFont"/>
    <w:link w:val="Heading2"/>
    <w:uiPriority w:val="9"/>
    <w:rsid w:val="006D1DB3"/>
    <w:rPr>
      <w:rFonts w:ascii="Avenir Next Demi Bold" w:eastAsia="AvenirNextLTPro-Demi" w:hAnsi="Avenir Next Demi Bold" w:cs="AvenirNextLTPro-Demi"/>
      <w:b/>
      <w:color w:val="575F61"/>
      <w:spacing w:val="-6"/>
      <w:sz w:val="36"/>
      <w:szCs w:val="36"/>
    </w:rPr>
  </w:style>
  <w:style w:type="character" w:customStyle="1" w:styleId="Heading3Char">
    <w:name w:val="Heading 3 Char"/>
    <w:basedOn w:val="DefaultParagraphFont"/>
    <w:link w:val="Heading3"/>
    <w:uiPriority w:val="9"/>
    <w:rsid w:val="007E536B"/>
    <w:rPr>
      <w:rFonts w:ascii="Avenir Next Demi Bold" w:eastAsia="AvenirNext LT Pro Bold" w:hAnsi="Avenir Next Demi Bold" w:cs="AvenirNext LT Pro Bold"/>
      <w:b/>
      <w:color w:val="575F61"/>
      <w:sz w:val="28"/>
      <w:szCs w:val="32"/>
      <w:lang w:val="en-GB"/>
    </w:rPr>
  </w:style>
  <w:style w:type="paragraph" w:styleId="Revision">
    <w:name w:val="Revision"/>
    <w:hidden/>
    <w:uiPriority w:val="99"/>
    <w:semiHidden/>
    <w:rsid w:val="0018570B"/>
    <w:pPr>
      <w:widowControl/>
      <w:autoSpaceDE/>
      <w:autoSpaceDN/>
    </w:pPr>
    <w:rPr>
      <w:rFonts w:ascii="Avenir Next" w:eastAsia="AvenirNext LT Pro Bold" w:hAnsi="Avenir Next" w:cs="AvenirNext LT Pro Bold"/>
      <w:color w:val="575F61"/>
      <w:sz w:val="24"/>
    </w:rPr>
  </w:style>
  <w:style w:type="table" w:styleId="PlainTable2">
    <w:name w:val="Plain Table 2"/>
    <w:basedOn w:val="TableNormal"/>
    <w:uiPriority w:val="42"/>
    <w:rsid w:val="00AA65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tenseQuote">
    <w:name w:val="Intense Quote"/>
    <w:basedOn w:val="Normal"/>
    <w:next w:val="Normal"/>
    <w:link w:val="IntenseQuoteChar"/>
    <w:uiPriority w:val="30"/>
    <w:qFormat/>
    <w:rsid w:val="00127F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27F6A"/>
    <w:rPr>
      <w:rFonts w:ascii="Avenir Next" w:eastAsia="AvenirNext LT Pro Bold" w:hAnsi="Avenir Next" w:cs="AvenirNext LT Pro Bold"/>
      <w:i/>
      <w:iCs/>
      <w:color w:val="4F81BD" w:themeColor="accent1"/>
      <w:sz w:val="24"/>
    </w:rPr>
  </w:style>
  <w:style w:type="character" w:styleId="Strong">
    <w:name w:val="Strong"/>
    <w:basedOn w:val="DefaultParagraphFont"/>
    <w:uiPriority w:val="22"/>
    <w:qFormat/>
    <w:rsid w:val="008661D0"/>
    <w:rPr>
      <w:b/>
      <w:bCs/>
    </w:rPr>
  </w:style>
  <w:style w:type="character" w:styleId="IntenseReference">
    <w:name w:val="Intense Reference"/>
    <w:basedOn w:val="DefaultParagraphFont"/>
    <w:uiPriority w:val="32"/>
    <w:qFormat/>
    <w:rsid w:val="00315F3A"/>
    <w:rPr>
      <w:b/>
      <w:bCs/>
      <w:smallCaps/>
      <w:color w:val="4F81BD" w:themeColor="accent1"/>
      <w:spacing w:val="5"/>
    </w:rPr>
  </w:style>
  <w:style w:type="paragraph" w:customStyle="1" w:styleId="xmsonormal">
    <w:name w:val="x_msonormal"/>
    <w:basedOn w:val="Normal"/>
    <w:rsid w:val="00D2355A"/>
    <w:pPr>
      <w:widowControl/>
      <w:autoSpaceDE/>
      <w:autoSpaceDN/>
      <w:spacing w:before="0" w:after="0"/>
    </w:pPr>
    <w:rPr>
      <w:rFonts w:ascii="Calibri" w:eastAsiaTheme="minorHAnsi" w:hAnsi="Calibri" w:cs="Calibri"/>
      <w:color w:val="auto"/>
      <w:sz w:val="22"/>
      <w:lang w:val="en-AU" w:eastAsia="en-AU"/>
    </w:rPr>
  </w:style>
  <w:style w:type="paragraph" w:customStyle="1" w:styleId="xmsolistparagraph">
    <w:name w:val="x_msolistparagraph"/>
    <w:basedOn w:val="Normal"/>
    <w:rsid w:val="00D2355A"/>
    <w:pPr>
      <w:widowControl/>
      <w:autoSpaceDE/>
      <w:autoSpaceDN/>
      <w:spacing w:before="0" w:after="0"/>
      <w:ind w:left="720"/>
    </w:pPr>
    <w:rPr>
      <w:rFonts w:ascii="Calibri" w:eastAsiaTheme="minorHAnsi" w:hAnsi="Calibri" w:cs="Calibri"/>
      <w:color w:val="auto"/>
      <w:sz w:val="22"/>
      <w:lang w:val="en-AU" w:eastAsia="en-AU"/>
    </w:rPr>
  </w:style>
  <w:style w:type="paragraph" w:customStyle="1" w:styleId="StyleEndNoteBibliographyLeft0cmHanging127cmAfter">
    <w:name w:val="Style EndNote Bibliography + Left:  0 cm Hanging:  1.27 cm After:..."/>
    <w:basedOn w:val="EndNoteBibliography"/>
    <w:rsid w:val="000278BA"/>
    <w:pPr>
      <w:spacing w:before="60" w:after="60"/>
      <w:ind w:left="720" w:hanging="720"/>
    </w:pPr>
    <w:rPr>
      <w:rFonts w:eastAsia="Times New Roman" w:cs="Times New Roman"/>
      <w:sz w:val="20"/>
      <w:szCs w:val="20"/>
    </w:rPr>
  </w:style>
  <w:style w:type="character" w:customStyle="1" w:styleId="Heading1Char">
    <w:name w:val="Heading 1 Char"/>
    <w:basedOn w:val="DefaultParagraphFont"/>
    <w:link w:val="Heading1"/>
    <w:uiPriority w:val="9"/>
    <w:rsid w:val="00A82EA0"/>
    <w:rPr>
      <w:rFonts w:ascii="Avenir Next Demi Bold" w:eastAsia="AvenirNextLTPro-Demi" w:hAnsi="Avenir Next Demi Bold" w:cs="AvenirNextLTPro-Demi"/>
      <w:bCs/>
      <w:color w:val="1598CB"/>
      <w:sz w:val="44"/>
      <w:szCs w:val="44"/>
    </w:rPr>
  </w:style>
  <w:style w:type="paragraph" w:customStyle="1" w:styleId="StyleEndNoteBibliographyLeft0cmHanging127cmAfter1">
    <w:name w:val="Style EndNote Bibliography + Left:  0 cm Hanging:  1.27 cm After:...1"/>
    <w:basedOn w:val="EndNoteBibliography"/>
    <w:rsid w:val="003D7E3E"/>
    <w:pPr>
      <w:spacing w:after="0"/>
      <w:ind w:left="720" w:hanging="720"/>
    </w:pPr>
    <w:rPr>
      <w:rFonts w:eastAsia="Times New Roman" w:cs="Times New Roman"/>
      <w:sz w:val="22"/>
      <w:szCs w:val="20"/>
    </w:rPr>
  </w:style>
  <w:style w:type="paragraph" w:styleId="NoSpacing">
    <w:name w:val="No Spacing"/>
    <w:uiPriority w:val="1"/>
    <w:qFormat/>
    <w:rsid w:val="007F666E"/>
    <w:rPr>
      <w:rFonts w:ascii="Avenir Next" w:eastAsia="AvenirNext LT Pro Bold" w:hAnsi="Avenir Next" w:cs="AvenirNext LT Pro Bold"/>
      <w:color w:val="575F6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374">
      <w:bodyDiv w:val="1"/>
      <w:marLeft w:val="0"/>
      <w:marRight w:val="0"/>
      <w:marTop w:val="0"/>
      <w:marBottom w:val="0"/>
      <w:divBdr>
        <w:top w:val="none" w:sz="0" w:space="0" w:color="auto"/>
        <w:left w:val="none" w:sz="0" w:space="0" w:color="auto"/>
        <w:bottom w:val="none" w:sz="0" w:space="0" w:color="auto"/>
        <w:right w:val="none" w:sz="0" w:space="0" w:color="auto"/>
      </w:divBdr>
      <w:divsChild>
        <w:div w:id="1891528668">
          <w:blockQuote w:val="1"/>
          <w:marLeft w:val="0"/>
          <w:marRight w:val="0"/>
          <w:marTop w:val="300"/>
          <w:marBottom w:val="450"/>
          <w:divBdr>
            <w:top w:val="none" w:sz="0" w:space="0" w:color="00457A"/>
            <w:left w:val="single" w:sz="36" w:space="15" w:color="00457A"/>
            <w:bottom w:val="none" w:sz="0" w:space="0" w:color="00457A"/>
            <w:right w:val="none" w:sz="0" w:space="0" w:color="00457A"/>
          </w:divBdr>
          <w:divsChild>
            <w:div w:id="1403214170">
              <w:marLeft w:val="0"/>
              <w:marRight w:val="0"/>
              <w:marTop w:val="0"/>
              <w:marBottom w:val="0"/>
              <w:divBdr>
                <w:top w:val="none" w:sz="0" w:space="0" w:color="auto"/>
                <w:left w:val="none" w:sz="0" w:space="0" w:color="auto"/>
                <w:bottom w:val="none" w:sz="0" w:space="0" w:color="auto"/>
                <w:right w:val="none" w:sz="0" w:space="0" w:color="auto"/>
              </w:divBdr>
            </w:div>
            <w:div w:id="16799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347">
      <w:bodyDiv w:val="1"/>
      <w:marLeft w:val="0"/>
      <w:marRight w:val="0"/>
      <w:marTop w:val="0"/>
      <w:marBottom w:val="0"/>
      <w:divBdr>
        <w:top w:val="none" w:sz="0" w:space="0" w:color="auto"/>
        <w:left w:val="none" w:sz="0" w:space="0" w:color="auto"/>
        <w:bottom w:val="none" w:sz="0" w:space="0" w:color="auto"/>
        <w:right w:val="none" w:sz="0" w:space="0" w:color="auto"/>
      </w:divBdr>
    </w:div>
    <w:div w:id="78645892">
      <w:bodyDiv w:val="1"/>
      <w:marLeft w:val="0"/>
      <w:marRight w:val="0"/>
      <w:marTop w:val="0"/>
      <w:marBottom w:val="0"/>
      <w:divBdr>
        <w:top w:val="none" w:sz="0" w:space="0" w:color="auto"/>
        <w:left w:val="none" w:sz="0" w:space="0" w:color="auto"/>
        <w:bottom w:val="none" w:sz="0" w:space="0" w:color="auto"/>
        <w:right w:val="none" w:sz="0" w:space="0" w:color="auto"/>
      </w:divBdr>
    </w:div>
    <w:div w:id="124350003">
      <w:bodyDiv w:val="1"/>
      <w:marLeft w:val="0"/>
      <w:marRight w:val="0"/>
      <w:marTop w:val="0"/>
      <w:marBottom w:val="0"/>
      <w:divBdr>
        <w:top w:val="none" w:sz="0" w:space="0" w:color="auto"/>
        <w:left w:val="none" w:sz="0" w:space="0" w:color="auto"/>
        <w:bottom w:val="none" w:sz="0" w:space="0" w:color="auto"/>
        <w:right w:val="none" w:sz="0" w:space="0" w:color="auto"/>
      </w:divBdr>
    </w:div>
    <w:div w:id="631787272">
      <w:bodyDiv w:val="1"/>
      <w:marLeft w:val="0"/>
      <w:marRight w:val="0"/>
      <w:marTop w:val="0"/>
      <w:marBottom w:val="0"/>
      <w:divBdr>
        <w:top w:val="none" w:sz="0" w:space="0" w:color="auto"/>
        <w:left w:val="none" w:sz="0" w:space="0" w:color="auto"/>
        <w:bottom w:val="none" w:sz="0" w:space="0" w:color="auto"/>
        <w:right w:val="none" w:sz="0" w:space="0" w:color="auto"/>
      </w:divBdr>
    </w:div>
    <w:div w:id="765731116">
      <w:bodyDiv w:val="1"/>
      <w:marLeft w:val="0"/>
      <w:marRight w:val="0"/>
      <w:marTop w:val="0"/>
      <w:marBottom w:val="0"/>
      <w:divBdr>
        <w:top w:val="none" w:sz="0" w:space="0" w:color="auto"/>
        <w:left w:val="none" w:sz="0" w:space="0" w:color="auto"/>
        <w:bottom w:val="none" w:sz="0" w:space="0" w:color="auto"/>
        <w:right w:val="none" w:sz="0" w:space="0" w:color="auto"/>
      </w:divBdr>
    </w:div>
    <w:div w:id="774177113">
      <w:bodyDiv w:val="1"/>
      <w:marLeft w:val="0"/>
      <w:marRight w:val="0"/>
      <w:marTop w:val="0"/>
      <w:marBottom w:val="0"/>
      <w:divBdr>
        <w:top w:val="none" w:sz="0" w:space="0" w:color="auto"/>
        <w:left w:val="none" w:sz="0" w:space="0" w:color="auto"/>
        <w:bottom w:val="none" w:sz="0" w:space="0" w:color="auto"/>
        <w:right w:val="none" w:sz="0" w:space="0" w:color="auto"/>
      </w:divBdr>
    </w:div>
    <w:div w:id="897516932">
      <w:bodyDiv w:val="1"/>
      <w:marLeft w:val="0"/>
      <w:marRight w:val="0"/>
      <w:marTop w:val="0"/>
      <w:marBottom w:val="0"/>
      <w:divBdr>
        <w:top w:val="none" w:sz="0" w:space="0" w:color="auto"/>
        <w:left w:val="none" w:sz="0" w:space="0" w:color="auto"/>
        <w:bottom w:val="none" w:sz="0" w:space="0" w:color="auto"/>
        <w:right w:val="none" w:sz="0" w:space="0" w:color="auto"/>
      </w:divBdr>
    </w:div>
    <w:div w:id="940069554">
      <w:bodyDiv w:val="1"/>
      <w:marLeft w:val="0"/>
      <w:marRight w:val="0"/>
      <w:marTop w:val="0"/>
      <w:marBottom w:val="0"/>
      <w:divBdr>
        <w:top w:val="none" w:sz="0" w:space="0" w:color="auto"/>
        <w:left w:val="none" w:sz="0" w:space="0" w:color="auto"/>
        <w:bottom w:val="none" w:sz="0" w:space="0" w:color="auto"/>
        <w:right w:val="none" w:sz="0" w:space="0" w:color="auto"/>
      </w:divBdr>
    </w:div>
    <w:div w:id="1031372124">
      <w:bodyDiv w:val="1"/>
      <w:marLeft w:val="0"/>
      <w:marRight w:val="0"/>
      <w:marTop w:val="0"/>
      <w:marBottom w:val="0"/>
      <w:divBdr>
        <w:top w:val="none" w:sz="0" w:space="0" w:color="auto"/>
        <w:left w:val="none" w:sz="0" w:space="0" w:color="auto"/>
        <w:bottom w:val="none" w:sz="0" w:space="0" w:color="auto"/>
        <w:right w:val="none" w:sz="0" w:space="0" w:color="auto"/>
      </w:divBdr>
    </w:div>
    <w:div w:id="1496652610">
      <w:bodyDiv w:val="1"/>
      <w:marLeft w:val="0"/>
      <w:marRight w:val="0"/>
      <w:marTop w:val="0"/>
      <w:marBottom w:val="0"/>
      <w:divBdr>
        <w:top w:val="none" w:sz="0" w:space="0" w:color="auto"/>
        <w:left w:val="none" w:sz="0" w:space="0" w:color="auto"/>
        <w:bottom w:val="none" w:sz="0" w:space="0" w:color="auto"/>
        <w:right w:val="none" w:sz="0" w:space="0" w:color="auto"/>
      </w:divBdr>
    </w:div>
    <w:div w:id="1874920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alkingdrugs.org/drug-decriminalisatio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hyperlink" Target="https://www.who.int/health-topics/social-determinants-of-health"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humanrights.gov.au/quick-guide/120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openarms.gov.au/signs-symptoms/alcohol-and-substance-use/drug-use-disorders"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who.int/data/gho" TargetMode="External"/><Relationship Id="rId10" Type="http://schemas.openxmlformats.org/officeDocument/2006/relationships/footer" Target="footer2.xml"/><Relationship Id="rId19" Type="http://schemas.openxmlformats.org/officeDocument/2006/relationships/hyperlink" Target="https://www.legislation.tas.gov.au/view/whole/pdf/authorised/2021-07-01%202021-07-15/act-2001-09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s://vizhub.healthdata.org/gbd-compar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SARC\3.%20Administration\Templates\Submission%20templates%202022\ANG220913%20BSC-81823%20SARC%20Children%201%20Template%20A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mbanks\Dropbox\SARC%20Decriminalisation\Copy%20of%20OECD%20and%20drug%20decrim%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mbanks\AppData\Local\Microsoft\Windows\INetCache\Content.Outlook\XN94TKKR\OECD%20and%20drug%20decrim%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mbanks\Dropbox\SARC%20Decriminalisation\Copy%20of%20OECD%20and%20drug%20decrim%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mbanks\AppData\Local\Microsoft\Windows\INetCache\Content.Outlook\XN94TKKR\OECD%20and%20drug%20decrim%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mbanks\Dropbox\SARC%20Decriminalisation\Copy%20of%20OECD%20and%20drug%20decrim%20dat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'YoY prevalence'!$A$43:$B$43</c:f>
              <c:strCache>
                <c:ptCount val="2"/>
                <c:pt idx="0">
                  <c:v>Average prevalence, all OECD</c:v>
                </c:pt>
              </c:strCache>
            </c:strRef>
          </c:tx>
          <c:spPr>
            <a:ln w="22225" cap="rnd" cmpd="sng" algn="ctr">
              <a:solidFill>
                <a:schemeClr val="accent1"/>
              </a:solidFill>
              <a:round/>
            </a:ln>
            <a:effectLst/>
          </c:spPr>
          <c:marker>
            <c:symbol val="none"/>
          </c:marker>
          <c:cat>
            <c:numRef>
              <c:f>'YoY prevalence'!$C$42:$AF$42</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'YoY prevalence'!$C$43:$AF$43</c:f>
              <c:numCache>
                <c:formatCode>General</c:formatCode>
                <c:ptCount val="30"/>
                <c:pt idx="0">
                  <c:v>1000.748205128205</c:v>
                </c:pt>
                <c:pt idx="1">
                  <c:v>1008.5612820512819</c:v>
                </c:pt>
                <c:pt idx="2">
                  <c:v>1015.2076923076921</c:v>
                </c:pt>
                <c:pt idx="3">
                  <c:v>1020.3320512820513</c:v>
                </c:pt>
                <c:pt idx="4">
                  <c:v>1023.9228205128206</c:v>
                </c:pt>
                <c:pt idx="5">
                  <c:v>1027.3305128205129</c:v>
                </c:pt>
                <c:pt idx="6">
                  <c:v>1026.6171794871796</c:v>
                </c:pt>
                <c:pt idx="7">
                  <c:v>1025.6364102564105</c:v>
                </c:pt>
                <c:pt idx="8">
                  <c:v>1024.499487179487</c:v>
                </c:pt>
                <c:pt idx="9">
                  <c:v>1023.868205128205</c:v>
                </c:pt>
                <c:pt idx="10">
                  <c:v>1024.7184615384613</c:v>
                </c:pt>
                <c:pt idx="11">
                  <c:v>1028.3917948717951</c:v>
                </c:pt>
                <c:pt idx="12">
                  <c:v>1034.6930769230773</c:v>
                </c:pt>
                <c:pt idx="13">
                  <c:v>1041.5061538461539</c:v>
                </c:pt>
                <c:pt idx="14">
                  <c:v>1048.0333333333331</c:v>
                </c:pt>
                <c:pt idx="15">
                  <c:v>1052.0607692307692</c:v>
                </c:pt>
                <c:pt idx="16">
                  <c:v>1052.6815384615384</c:v>
                </c:pt>
                <c:pt idx="17">
                  <c:v>1050.5530769230768</c:v>
                </c:pt>
                <c:pt idx="18">
                  <c:v>1047.3217948717947</c:v>
                </c:pt>
                <c:pt idx="19">
                  <c:v>1043.7333333333336</c:v>
                </c:pt>
                <c:pt idx="20">
                  <c:v>1040.8271794871798</c:v>
                </c:pt>
                <c:pt idx="21">
                  <c:v>1039.1615384615382</c:v>
                </c:pt>
                <c:pt idx="22">
                  <c:v>1037.5038461538461</c:v>
                </c:pt>
                <c:pt idx="23">
                  <c:v>1035.8274358974356</c:v>
                </c:pt>
                <c:pt idx="24">
                  <c:v>1033.1748717948722</c:v>
                </c:pt>
                <c:pt idx="25">
                  <c:v>1032.5217948717948</c:v>
                </c:pt>
                <c:pt idx="26">
                  <c:v>1033.3789743589743</c:v>
                </c:pt>
                <c:pt idx="27">
                  <c:v>1032.9200000000003</c:v>
                </c:pt>
                <c:pt idx="28">
                  <c:v>1024.5182051282052</c:v>
                </c:pt>
                <c:pt idx="29">
                  <c:v>1010.0371794871796</c:v>
                </c:pt>
              </c:numCache>
            </c:numRef>
          </c:val>
          <c:smooth val="0"/>
          <c:extLst>
            <c:ext xmlns:c16="http://schemas.microsoft.com/office/drawing/2014/chart" uri="{C3380CC4-5D6E-409C-BE32-E72D297353CC}">
              <c16:uniqueId val="{00000000-4FED-491C-9959-8AEE9CF68A0D}"/>
            </c:ext>
          </c:extLst>
        </c:ser>
        <c:ser>
          <c:idx val="1"/>
          <c:order val="1"/>
          <c:tx>
            <c:strRef>
              <c:f>'YoY prevalence'!$A$44:$B$44</c:f>
              <c:strCache>
                <c:ptCount val="2"/>
                <c:pt idx="0">
                  <c:v>Average prevalence, all decrim OECD</c:v>
                </c:pt>
              </c:strCache>
            </c:strRef>
          </c:tx>
          <c:spPr>
            <a:ln w="22225" cap="rnd" cmpd="sng" algn="ctr">
              <a:solidFill>
                <a:schemeClr val="accent2"/>
              </a:solidFill>
              <a:round/>
            </a:ln>
            <a:effectLst/>
          </c:spPr>
          <c:marker>
            <c:symbol val="none"/>
          </c:marker>
          <c:cat>
            <c:numRef>
              <c:f>'YoY prevalence'!$C$42:$AF$42</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'YoY prevalence'!$C$44:$AF$44</c:f>
              <c:numCache>
                <c:formatCode>General</c:formatCode>
                <c:ptCount val="30"/>
                <c:pt idx="0">
                  <c:v>932.01</c:v>
                </c:pt>
                <c:pt idx="1">
                  <c:v>946.18499999999995</c:v>
                </c:pt>
                <c:pt idx="2">
                  <c:v>958.99249999999995</c:v>
                </c:pt>
                <c:pt idx="3">
                  <c:v>969.66937499999995</c:v>
                </c:pt>
                <c:pt idx="4">
                  <c:v>977.62249999999983</c:v>
                </c:pt>
                <c:pt idx="5">
                  <c:v>982.671875</c:v>
                </c:pt>
                <c:pt idx="6">
                  <c:v>985.84062500000005</c:v>
                </c:pt>
                <c:pt idx="7">
                  <c:v>988.35750000000007</c:v>
                </c:pt>
                <c:pt idx="8">
                  <c:v>990.583125</c:v>
                </c:pt>
                <c:pt idx="9">
                  <c:v>992.18687499999987</c:v>
                </c:pt>
                <c:pt idx="10">
                  <c:v>993.48749999999995</c:v>
                </c:pt>
                <c:pt idx="11">
                  <c:v>994.65687500000001</c:v>
                </c:pt>
                <c:pt idx="12">
                  <c:v>995.97749999999996</c:v>
                </c:pt>
                <c:pt idx="13">
                  <c:v>997.52750000000015</c:v>
                </c:pt>
                <c:pt idx="14">
                  <c:v>998.395625</c:v>
                </c:pt>
                <c:pt idx="15">
                  <c:v>997.88499999999999</c:v>
                </c:pt>
                <c:pt idx="16">
                  <c:v>993.19999999999993</c:v>
                </c:pt>
                <c:pt idx="17">
                  <c:v>984.71875000000023</c:v>
                </c:pt>
                <c:pt idx="18">
                  <c:v>974.51187499999992</c:v>
                </c:pt>
                <c:pt idx="19">
                  <c:v>964.61875000000009</c:v>
                </c:pt>
                <c:pt idx="20">
                  <c:v>957.0324999999998</c:v>
                </c:pt>
                <c:pt idx="21">
                  <c:v>950.49749999999983</c:v>
                </c:pt>
                <c:pt idx="22">
                  <c:v>943.18874999999991</c:v>
                </c:pt>
                <c:pt idx="23">
                  <c:v>935.25312500000018</c:v>
                </c:pt>
                <c:pt idx="24">
                  <c:v>927.64937499999985</c:v>
                </c:pt>
                <c:pt idx="25">
                  <c:v>921.78749999999991</c:v>
                </c:pt>
                <c:pt idx="26">
                  <c:v>917.67187499999989</c:v>
                </c:pt>
                <c:pt idx="27">
                  <c:v>913.7481250000003</c:v>
                </c:pt>
                <c:pt idx="28">
                  <c:v>904.49875000000031</c:v>
                </c:pt>
                <c:pt idx="29">
                  <c:v>890.07437500000003</c:v>
                </c:pt>
              </c:numCache>
            </c:numRef>
          </c:val>
          <c:smooth val="0"/>
          <c:extLst>
            <c:ext xmlns:c16="http://schemas.microsoft.com/office/drawing/2014/chart" uri="{C3380CC4-5D6E-409C-BE32-E72D297353CC}">
              <c16:uniqueId val="{00000001-4FED-491C-9959-8AEE9CF68A0D}"/>
            </c:ext>
          </c:extLst>
        </c:ser>
        <c:ser>
          <c:idx val="2"/>
          <c:order val="2"/>
          <c:tx>
            <c:strRef>
              <c:f>'YoY prevalence'!$A$45:$B$45</c:f>
              <c:strCache>
                <c:ptCount val="2"/>
                <c:pt idx="0">
                  <c:v>Average prevalence, all crim OECD</c:v>
                </c:pt>
              </c:strCache>
            </c:strRef>
          </c:tx>
          <c:spPr>
            <a:ln w="22225" cap="rnd" cmpd="sng" algn="ctr">
              <a:solidFill>
                <a:schemeClr val="accent3"/>
              </a:solidFill>
              <a:round/>
            </a:ln>
            <a:effectLst/>
          </c:spPr>
          <c:marker>
            <c:symbol val="none"/>
          </c:marker>
          <c:cat>
            <c:numRef>
              <c:f>'YoY prevalence'!$C$42:$AF$42</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'YoY prevalence'!$C$45:$AF$45</c:f>
              <c:numCache>
                <c:formatCode>General</c:formatCode>
                <c:ptCount val="30"/>
                <c:pt idx="0">
                  <c:v>1048.5660869565215</c:v>
                </c:pt>
                <c:pt idx="1">
                  <c:v>1051.9534782608696</c:v>
                </c:pt>
                <c:pt idx="2">
                  <c:v>1054.3139130434781</c:v>
                </c:pt>
                <c:pt idx="3">
                  <c:v>1055.5756521739131</c:v>
                </c:pt>
                <c:pt idx="4">
                  <c:v>1056.1317391304351</c:v>
                </c:pt>
                <c:pt idx="5">
                  <c:v>1058.397391304348</c:v>
                </c:pt>
                <c:pt idx="6">
                  <c:v>1054.9834782608698</c:v>
                </c:pt>
                <c:pt idx="7">
                  <c:v>1051.5695652173913</c:v>
                </c:pt>
                <c:pt idx="8">
                  <c:v>1048.0934782608695</c:v>
                </c:pt>
                <c:pt idx="9">
                  <c:v>1045.9073913043478</c:v>
                </c:pt>
                <c:pt idx="10">
                  <c:v>1046.4443478260869</c:v>
                </c:pt>
                <c:pt idx="11">
                  <c:v>1051.8595652173915</c:v>
                </c:pt>
                <c:pt idx="12">
                  <c:v>1061.6256521739131</c:v>
                </c:pt>
                <c:pt idx="13">
                  <c:v>1072.0999999999997</c:v>
                </c:pt>
                <c:pt idx="14">
                  <c:v>1082.5639130434779</c:v>
                </c:pt>
                <c:pt idx="15">
                  <c:v>1089.748260869565</c:v>
                </c:pt>
                <c:pt idx="16">
                  <c:v>1094.06</c:v>
                </c:pt>
                <c:pt idx="17">
                  <c:v>1096.3508695652172</c:v>
                </c:pt>
                <c:pt idx="18">
                  <c:v>1097.9721739130434</c:v>
                </c:pt>
                <c:pt idx="19">
                  <c:v>1098.7695652173911</c:v>
                </c:pt>
                <c:pt idx="20">
                  <c:v>1099.1191304347826</c:v>
                </c:pt>
                <c:pt idx="21">
                  <c:v>1100.8408695652174</c:v>
                </c:pt>
                <c:pt idx="22">
                  <c:v>1103.1143478260867</c:v>
                </c:pt>
                <c:pt idx="23">
                  <c:v>1105.7921739130434</c:v>
                </c:pt>
                <c:pt idx="24">
                  <c:v>1106.5839130434783</c:v>
                </c:pt>
                <c:pt idx="25">
                  <c:v>1109.554347826087</c:v>
                </c:pt>
                <c:pt idx="26">
                  <c:v>1113.8708695652174</c:v>
                </c:pt>
                <c:pt idx="27">
                  <c:v>1115.8221739130438</c:v>
                </c:pt>
                <c:pt idx="28">
                  <c:v>1108.0100000000002</c:v>
                </c:pt>
                <c:pt idx="29">
                  <c:v>1093.4895652173914</c:v>
                </c:pt>
              </c:numCache>
            </c:numRef>
          </c:val>
          <c:smooth val="0"/>
          <c:extLst>
            <c:ext xmlns:c16="http://schemas.microsoft.com/office/drawing/2014/chart" uri="{C3380CC4-5D6E-409C-BE32-E72D297353CC}">
              <c16:uniqueId val="{00000002-4FED-491C-9959-8AEE9CF68A0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74557968"/>
        <c:axId val="436171744"/>
      </c:lineChart>
      <c:catAx>
        <c:axId val="27455796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36171744"/>
        <c:crosses val="autoZero"/>
        <c:auto val="1"/>
        <c:lblAlgn val="ctr"/>
        <c:lblOffset val="100"/>
        <c:noMultiLvlLbl val="0"/>
      </c:catAx>
      <c:valAx>
        <c:axId val="436171744"/>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AU"/>
                  <a:t>Mean prevalence rate per 100,000 popn.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74557968"/>
        <c:crosses val="autoZero"/>
        <c:crossBetween val="between"/>
      </c:valAx>
      <c:spPr>
        <a:solidFill>
          <a:schemeClr val="bg1"/>
        </a:solidFill>
        <a:ln>
          <a:noFill/>
        </a:ln>
        <a:effectLst/>
      </c:spPr>
    </c:plotArea>
    <c:legend>
      <c:legendPos val="b"/>
      <c:layout>
        <c:manualLayout>
          <c:xMode val="edge"/>
          <c:yMode val="edge"/>
          <c:x val="6.1639770720507359E-2"/>
          <c:y val="0.84647707718052401"/>
          <c:w val="0.90663801654561316"/>
          <c:h val="0.129441044432961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rgbClr val="9EA2A2"/>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'Rate of change of prevalence'!$E$9:$E$10</c:f>
              <c:strCache>
                <c:ptCount val="2"/>
                <c:pt idx="0">
                  <c:v>OECD nations without decriminalisation</c:v>
                </c:pt>
                <c:pt idx="1">
                  <c:v>OECD nations with decriminalisation</c:v>
                </c:pt>
              </c:strCache>
            </c:strRef>
          </c:cat>
          <c:val>
            <c:numRef>
              <c:f>'Rate of change of prevalence'!$F$9:$F$10</c:f>
              <c:numCache>
                <c:formatCode>0.00%</c:formatCode>
                <c:ptCount val="2"/>
                <c:pt idx="0">
                  <c:v>9.7869565217391288E-4</c:v>
                </c:pt>
                <c:pt idx="1">
                  <c:v>-4.7624999999999994E-3</c:v>
                </c:pt>
              </c:numCache>
            </c:numRef>
          </c:val>
          <c:extLst>
            <c:ext xmlns:c15="http://schemas.microsoft.com/office/drawing/2012/chart" uri="{02D57815-91ED-43cb-92C2-25804820EDAC}">
              <c15:filteredSeriesTitle>
                <c15:tx>
                  <c:strRef>
                    <c:extLst>
                      <c:ext uri="{02D57815-91ED-43cb-92C2-25804820EDAC}">
                        <c15:formulaRef>
                          <c15:sqref>Sheet2!#REF!</c15:sqref>
                        </c15:formulaRef>
                      </c:ext>
                    </c:extLst>
                    <c:strCache>
                      <c:ptCount val="1"/>
                      <c:pt idx="0">
                        <c:v>#REF!</c:v>
                      </c:pt>
                    </c:strCache>
                  </c:strRef>
                </c15:tx>
              </c15:filteredSeriesTitle>
            </c:ext>
            <c:ext xmlns:c16="http://schemas.microsoft.com/office/drawing/2014/chart" uri="{C3380CC4-5D6E-409C-BE32-E72D297353CC}">
              <c16:uniqueId val="{00000000-AB2E-4AB6-9B5D-6F346162AB22}"/>
            </c:ext>
          </c:extLst>
        </c:ser>
        <c:dLbls>
          <c:dLblPos val="inEnd"/>
          <c:showLegendKey val="0"/>
          <c:showVal val="1"/>
          <c:showCatName val="0"/>
          <c:showSerName val="0"/>
          <c:showPercent val="0"/>
          <c:showBubbleSize val="0"/>
        </c:dLbls>
        <c:gapWidth val="65"/>
        <c:axId val="1864134864"/>
        <c:axId val="1730711696"/>
      </c:barChart>
      <c:catAx>
        <c:axId val="18641348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730711696"/>
        <c:crosses val="autoZero"/>
        <c:auto val="1"/>
        <c:lblAlgn val="ctr"/>
        <c:lblOffset val="100"/>
        <c:noMultiLvlLbl val="0"/>
      </c:catAx>
      <c:valAx>
        <c:axId val="173071169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864134864"/>
        <c:crosses val="autoZero"/>
        <c:crossBetween val="between"/>
      </c:valAx>
      <c:spPr>
        <a:solidFill>
          <a:schemeClr val="bg1"/>
        </a:solidFill>
        <a:ln>
          <a:solidFill>
            <a:srgbClr val="9EA2A2"/>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9EA2A2"/>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88104254357884"/>
          <c:y val="4.5476955533452386E-2"/>
          <c:w val="0.83261217254350317"/>
          <c:h val="0.70694042749570751"/>
        </c:manualLayout>
      </c:layout>
      <c:lineChart>
        <c:grouping val="standard"/>
        <c:varyColors val="0"/>
        <c:ser>
          <c:idx val="0"/>
          <c:order val="0"/>
          <c:tx>
            <c:strRef>
              <c:f>'YoY deaths'!$A$43:$B$43</c:f>
              <c:strCache>
                <c:ptCount val="2"/>
                <c:pt idx="0">
                  <c:v>Average deaths, all OECD</c:v>
                </c:pt>
                <c:pt idx="1">
                  <c:v>0.240</c:v>
                </c:pt>
              </c:strCache>
            </c:strRef>
          </c:tx>
          <c:spPr>
            <a:ln w="22225" cap="rnd" cmpd="sng" algn="ctr">
              <a:solidFill>
                <a:schemeClr val="accent1"/>
              </a:solidFill>
              <a:round/>
            </a:ln>
            <a:effectLst/>
          </c:spPr>
          <c:marker>
            <c:symbol val="none"/>
          </c:marker>
          <c:cat>
            <c:numRef>
              <c:f>'YoY deaths'!$C$42:$AF$42</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'YoY deaths'!$C$43:$AF$43</c:f>
              <c:numCache>
                <c:formatCode>0.000</c:formatCode>
                <c:ptCount val="30"/>
                <c:pt idx="0">
                  <c:v>0.13176923076923075</c:v>
                </c:pt>
                <c:pt idx="1">
                  <c:v>0.1430769230769231</c:v>
                </c:pt>
                <c:pt idx="2">
                  <c:v>0.1535384615384616</c:v>
                </c:pt>
                <c:pt idx="3">
                  <c:v>0.16289743589743588</c:v>
                </c:pt>
                <c:pt idx="4">
                  <c:v>0.17641025641025643</c:v>
                </c:pt>
                <c:pt idx="5">
                  <c:v>0.1827435897435897</c:v>
                </c:pt>
                <c:pt idx="6">
                  <c:v>0.1921025641025641</c:v>
                </c:pt>
                <c:pt idx="7">
                  <c:v>0.20184615384615387</c:v>
                </c:pt>
                <c:pt idx="8">
                  <c:v>0.21048717948717949</c:v>
                </c:pt>
                <c:pt idx="9">
                  <c:v>0.22079487179487181</c:v>
                </c:pt>
                <c:pt idx="10">
                  <c:v>0.23102564102564102</c:v>
                </c:pt>
                <c:pt idx="11">
                  <c:v>0.23561538461538462</c:v>
                </c:pt>
                <c:pt idx="12">
                  <c:v>0.23525641025641028</c:v>
                </c:pt>
                <c:pt idx="13">
                  <c:v>0.23907692307692313</c:v>
                </c:pt>
                <c:pt idx="14">
                  <c:v>0.24717948717948729</c:v>
                </c:pt>
                <c:pt idx="15">
                  <c:v>0.25412820512820511</c:v>
                </c:pt>
                <c:pt idx="16">
                  <c:v>0.25997435897435905</c:v>
                </c:pt>
                <c:pt idx="17">
                  <c:v>0.26723076923076927</c:v>
                </c:pt>
                <c:pt idx="18">
                  <c:v>0.27148717948717949</c:v>
                </c:pt>
                <c:pt idx="19">
                  <c:v>0.27438461538461534</c:v>
                </c:pt>
                <c:pt idx="20">
                  <c:v>0.27302564102564097</c:v>
                </c:pt>
                <c:pt idx="21">
                  <c:v>0.27464102564102566</c:v>
                </c:pt>
                <c:pt idx="22">
                  <c:v>0.27600000000000008</c:v>
                </c:pt>
                <c:pt idx="23">
                  <c:v>0.27920512820512816</c:v>
                </c:pt>
                <c:pt idx="24">
                  <c:v>0.28407692307692306</c:v>
                </c:pt>
                <c:pt idx="25">
                  <c:v>0.29084615384615392</c:v>
                </c:pt>
                <c:pt idx="26">
                  <c:v>0.30007692307692313</c:v>
                </c:pt>
                <c:pt idx="27">
                  <c:v>0.30638461538461537</c:v>
                </c:pt>
                <c:pt idx="28">
                  <c:v>0.31107692307692308</c:v>
                </c:pt>
                <c:pt idx="29">
                  <c:v>0.3214736842105263</c:v>
                </c:pt>
              </c:numCache>
            </c:numRef>
          </c:val>
          <c:smooth val="0"/>
          <c:extLst>
            <c:ext xmlns:c16="http://schemas.microsoft.com/office/drawing/2014/chart" uri="{C3380CC4-5D6E-409C-BE32-E72D297353CC}">
              <c16:uniqueId val="{00000000-7302-472B-98E5-BB9ED7A86B61}"/>
            </c:ext>
          </c:extLst>
        </c:ser>
        <c:ser>
          <c:idx val="1"/>
          <c:order val="1"/>
          <c:tx>
            <c:strRef>
              <c:f>'YoY deaths'!$A$44:$B$44</c:f>
              <c:strCache>
                <c:ptCount val="2"/>
                <c:pt idx="0">
                  <c:v>Average deaths, all decrim OECD</c:v>
                </c:pt>
                <c:pt idx="1">
                  <c:v>0.157</c:v>
                </c:pt>
              </c:strCache>
            </c:strRef>
          </c:tx>
          <c:spPr>
            <a:ln w="22225" cap="rnd" cmpd="sng" algn="ctr">
              <a:solidFill>
                <a:schemeClr val="accent2"/>
              </a:solidFill>
              <a:round/>
            </a:ln>
            <a:effectLst/>
          </c:spPr>
          <c:marker>
            <c:symbol val="none"/>
          </c:marker>
          <c:cat>
            <c:numRef>
              <c:f>'YoY deaths'!$C$42:$AF$42</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'YoY deaths'!$C$44:$AF$44</c:f>
              <c:numCache>
                <c:formatCode>0.000</c:formatCode>
                <c:ptCount val="30"/>
                <c:pt idx="0">
                  <c:v>0.11224999999999999</c:v>
                </c:pt>
                <c:pt idx="1">
                  <c:v>0.12518750000000001</c:v>
                </c:pt>
                <c:pt idx="2">
                  <c:v>0.13493750000000002</c:v>
                </c:pt>
                <c:pt idx="3">
                  <c:v>0.14243749999999999</c:v>
                </c:pt>
                <c:pt idx="4">
                  <c:v>0.1496875</c:v>
                </c:pt>
                <c:pt idx="5">
                  <c:v>0.14887499999999998</c:v>
                </c:pt>
                <c:pt idx="6">
                  <c:v>0.14881250000000001</c:v>
                </c:pt>
                <c:pt idx="7">
                  <c:v>0.1499375</c:v>
                </c:pt>
                <c:pt idx="8">
                  <c:v>0.14831250000000001</c:v>
                </c:pt>
                <c:pt idx="9">
                  <c:v>0.14993750000000003</c:v>
                </c:pt>
                <c:pt idx="10">
                  <c:v>0.15212500000000001</c:v>
                </c:pt>
                <c:pt idx="11">
                  <c:v>0.15568750000000003</c:v>
                </c:pt>
                <c:pt idx="12">
                  <c:v>0.15350000000000003</c:v>
                </c:pt>
                <c:pt idx="13">
                  <c:v>0.15350000000000003</c:v>
                </c:pt>
                <c:pt idx="14">
                  <c:v>0.15712500000000001</c:v>
                </c:pt>
                <c:pt idx="15">
                  <c:v>0.15781249999999999</c:v>
                </c:pt>
                <c:pt idx="16">
                  <c:v>0.16162499999999999</c:v>
                </c:pt>
                <c:pt idx="17">
                  <c:v>0.16656250000000003</c:v>
                </c:pt>
                <c:pt idx="18">
                  <c:v>0.16993750000000002</c:v>
                </c:pt>
                <c:pt idx="19">
                  <c:v>0.16893749999999999</c:v>
                </c:pt>
                <c:pt idx="20">
                  <c:v>0.16843749999999999</c:v>
                </c:pt>
                <c:pt idx="21">
                  <c:v>0.16924999999999998</c:v>
                </c:pt>
                <c:pt idx="22">
                  <c:v>0.17299999999999999</c:v>
                </c:pt>
                <c:pt idx="23">
                  <c:v>0.17043750000000002</c:v>
                </c:pt>
                <c:pt idx="24">
                  <c:v>0.16768749999999999</c:v>
                </c:pt>
                <c:pt idx="25">
                  <c:v>0.168875</c:v>
                </c:pt>
                <c:pt idx="26">
                  <c:v>0.16962499999999997</c:v>
                </c:pt>
                <c:pt idx="27">
                  <c:v>0.17199999999999999</c:v>
                </c:pt>
                <c:pt idx="28">
                  <c:v>0.17331249999999995</c:v>
                </c:pt>
                <c:pt idx="29">
                  <c:v>0.18366666666666667</c:v>
                </c:pt>
              </c:numCache>
            </c:numRef>
          </c:val>
          <c:smooth val="0"/>
          <c:extLst>
            <c:ext xmlns:c16="http://schemas.microsoft.com/office/drawing/2014/chart" uri="{C3380CC4-5D6E-409C-BE32-E72D297353CC}">
              <c16:uniqueId val="{00000001-7302-472B-98E5-BB9ED7A86B61}"/>
            </c:ext>
          </c:extLst>
        </c:ser>
        <c:ser>
          <c:idx val="2"/>
          <c:order val="2"/>
          <c:tx>
            <c:strRef>
              <c:f>'YoY deaths'!$A$45:$B$45</c:f>
              <c:strCache>
                <c:ptCount val="2"/>
                <c:pt idx="0">
                  <c:v>Average deaths, all crim OECD</c:v>
                </c:pt>
                <c:pt idx="1">
                  <c:v>0.298</c:v>
                </c:pt>
              </c:strCache>
            </c:strRef>
          </c:tx>
          <c:spPr>
            <a:ln w="22225" cap="rnd" cmpd="sng" algn="ctr">
              <a:solidFill>
                <a:schemeClr val="accent3"/>
              </a:solidFill>
              <a:round/>
            </a:ln>
            <a:effectLst/>
          </c:spPr>
          <c:marker>
            <c:symbol val="none"/>
          </c:marker>
          <c:cat>
            <c:numRef>
              <c:f>'YoY deaths'!$C$42:$AF$42</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'YoY deaths'!$C$45:$AF$45</c:f>
              <c:numCache>
                <c:formatCode>0.000</c:formatCode>
                <c:ptCount val="30"/>
                <c:pt idx="0">
                  <c:v>0.14534782608695651</c:v>
                </c:pt>
                <c:pt idx="1">
                  <c:v>0.15552173913043479</c:v>
                </c:pt>
                <c:pt idx="2">
                  <c:v>0.16647826086956519</c:v>
                </c:pt>
                <c:pt idx="3">
                  <c:v>0.17713043478260868</c:v>
                </c:pt>
                <c:pt idx="4">
                  <c:v>0.19499999999999998</c:v>
                </c:pt>
                <c:pt idx="5">
                  <c:v>0.206304347826087</c:v>
                </c:pt>
                <c:pt idx="6">
                  <c:v>0.22221739130434781</c:v>
                </c:pt>
                <c:pt idx="7">
                  <c:v>0.23795652173913046</c:v>
                </c:pt>
                <c:pt idx="8">
                  <c:v>0.25373913043478263</c:v>
                </c:pt>
                <c:pt idx="9">
                  <c:v>0.27008695652173914</c:v>
                </c:pt>
                <c:pt idx="10">
                  <c:v>0.28591304347826091</c:v>
                </c:pt>
                <c:pt idx="11">
                  <c:v>0.29121739130434782</c:v>
                </c:pt>
                <c:pt idx="12">
                  <c:v>0.29213043478260869</c:v>
                </c:pt>
                <c:pt idx="13">
                  <c:v>0.29860869565217391</c:v>
                </c:pt>
                <c:pt idx="14">
                  <c:v>0.3098260869565217</c:v>
                </c:pt>
                <c:pt idx="15">
                  <c:v>0.32113043478260866</c:v>
                </c:pt>
                <c:pt idx="16">
                  <c:v>0.3283913043478261</c:v>
                </c:pt>
                <c:pt idx="17">
                  <c:v>0.3372608695652175</c:v>
                </c:pt>
                <c:pt idx="18">
                  <c:v>0.34213043478260874</c:v>
                </c:pt>
                <c:pt idx="19">
                  <c:v>0.34773913043478261</c:v>
                </c:pt>
                <c:pt idx="20">
                  <c:v>0.34578260869565225</c:v>
                </c:pt>
                <c:pt idx="21">
                  <c:v>0.3479565217391305</c:v>
                </c:pt>
                <c:pt idx="22">
                  <c:v>0.34765217391304354</c:v>
                </c:pt>
                <c:pt idx="23">
                  <c:v>0.35486956521739133</c:v>
                </c:pt>
                <c:pt idx="24">
                  <c:v>0.36504347826086958</c:v>
                </c:pt>
                <c:pt idx="25">
                  <c:v>0.37569565217391304</c:v>
                </c:pt>
                <c:pt idx="26">
                  <c:v>0.39082608695652177</c:v>
                </c:pt>
                <c:pt idx="27">
                  <c:v>0.39986956521739125</c:v>
                </c:pt>
                <c:pt idx="28">
                  <c:v>0.40691304347826085</c:v>
                </c:pt>
                <c:pt idx="29">
                  <c:v>0.41134782608695647</c:v>
                </c:pt>
              </c:numCache>
            </c:numRef>
          </c:val>
          <c:smooth val="0"/>
          <c:extLst>
            <c:ext xmlns:c16="http://schemas.microsoft.com/office/drawing/2014/chart" uri="{C3380CC4-5D6E-409C-BE32-E72D297353CC}">
              <c16:uniqueId val="{00000002-7302-472B-98E5-BB9ED7A86B61}"/>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41561312"/>
        <c:axId val="548336320"/>
      </c:lineChart>
      <c:catAx>
        <c:axId val="54156131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48336320"/>
        <c:crosses val="autoZero"/>
        <c:auto val="1"/>
        <c:lblAlgn val="ctr"/>
        <c:lblOffset val="100"/>
        <c:noMultiLvlLbl val="0"/>
      </c:catAx>
      <c:valAx>
        <c:axId val="54833632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AU"/>
                  <a:t>Annual deaths attributable to DUD as a percentage of all deaths</a:t>
                </a:r>
              </a:p>
            </c:rich>
          </c:tx>
          <c:layout>
            <c:manualLayout>
              <c:xMode val="edge"/>
              <c:yMode val="edge"/>
              <c:x val="1.4453477868112014E-2"/>
              <c:y val="0.13212069383513148"/>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41561312"/>
        <c:crosses val="autoZero"/>
        <c:crossBetween val="between"/>
      </c:valAx>
      <c:spPr>
        <a:solidFill>
          <a:schemeClr val="bg1"/>
        </a:solidFill>
        <a:ln>
          <a:noFill/>
        </a:ln>
        <a:effectLst/>
      </c:spPr>
    </c:plotArea>
    <c:legend>
      <c:legendPos val="b"/>
      <c:layout>
        <c:manualLayout>
          <c:xMode val="edge"/>
          <c:yMode val="edge"/>
          <c:x val="0.14435392205187836"/>
          <c:y val="0.87665550980439366"/>
          <c:w val="0.81830108315112293"/>
          <c:h val="9.88796583913249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rgbClr val="9EA2A2"/>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'All OECD change'!$K$9</c:f>
              <c:strCache>
                <c:ptCount val="1"/>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'All OECD change'!$J$10:$J$11</c:f>
              <c:strCache>
                <c:ptCount val="2"/>
                <c:pt idx="0">
                  <c:v>OECD nations with decriminalisation</c:v>
                </c:pt>
                <c:pt idx="1">
                  <c:v>OECD nations without decriminalisation</c:v>
                </c:pt>
              </c:strCache>
            </c:strRef>
          </c:cat>
          <c:val>
            <c:numRef>
              <c:f>'All OECD change'!$K$10:$K$11</c:f>
              <c:numCache>
                <c:formatCode>0.000</c:formatCode>
                <c:ptCount val="2"/>
                <c:pt idx="0">
                  <c:v>0.17535714285714285</c:v>
                </c:pt>
                <c:pt idx="1">
                  <c:v>0.41134782608695647</c:v>
                </c:pt>
              </c:numCache>
            </c:numRef>
          </c:val>
          <c:extLst>
            <c:ext xmlns:c16="http://schemas.microsoft.com/office/drawing/2014/chart" uri="{C3380CC4-5D6E-409C-BE32-E72D297353CC}">
              <c16:uniqueId val="{00000000-7D20-422E-9F1C-7E9E4D122906}"/>
            </c:ext>
          </c:extLst>
        </c:ser>
        <c:dLbls>
          <c:dLblPos val="inEnd"/>
          <c:showLegendKey val="0"/>
          <c:showVal val="1"/>
          <c:showCatName val="0"/>
          <c:showSerName val="0"/>
          <c:showPercent val="0"/>
          <c:showBubbleSize val="0"/>
        </c:dLbls>
        <c:gapWidth val="65"/>
        <c:axId val="1486735824"/>
        <c:axId val="1483244272"/>
      </c:barChart>
      <c:catAx>
        <c:axId val="148673582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83244272"/>
        <c:crosses val="autoZero"/>
        <c:auto val="1"/>
        <c:lblAlgn val="ctr"/>
        <c:lblOffset val="100"/>
        <c:noMultiLvlLbl val="0"/>
      </c:catAx>
      <c:valAx>
        <c:axId val="148324427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AU"/>
                  <a:t>DUD deaths as a percentage</a:t>
                </a:r>
                <a:r>
                  <a:rPr lang="en-AU" baseline="0"/>
                  <a:t> of all </a:t>
                </a:r>
                <a:r>
                  <a:rPr lang="en-AU"/>
                  <a:t>deaths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86735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'YoY deaths'!$A$19:$B$19</c:f>
              <c:strCache>
                <c:ptCount val="2"/>
                <c:pt idx="0">
                  <c:v>Australia</c:v>
                </c:pt>
              </c:strCache>
            </c:strRef>
          </c:tx>
          <c:spPr>
            <a:ln w="22225" cap="rnd" cmpd="sng" algn="ctr">
              <a:solidFill>
                <a:schemeClr val="accent5"/>
              </a:solidFill>
              <a:round/>
            </a:ln>
            <a:effectLst/>
          </c:spPr>
          <c:marker>
            <c:symbol val="none"/>
          </c:marker>
          <c:cat>
            <c:numRef>
              <c:f>'YoY deaths'!$C$2:$AF$2</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'YoY deaths'!$C$19:$AF$19</c:f>
              <c:numCache>
                <c:formatCode>0.000</c:formatCode>
                <c:ptCount val="30"/>
                <c:pt idx="0">
                  <c:v>0.39</c:v>
                </c:pt>
                <c:pt idx="1">
                  <c:v>0.41</c:v>
                </c:pt>
                <c:pt idx="2">
                  <c:v>0.45</c:v>
                </c:pt>
                <c:pt idx="3">
                  <c:v>0.48</c:v>
                </c:pt>
                <c:pt idx="4">
                  <c:v>0.54</c:v>
                </c:pt>
                <c:pt idx="5">
                  <c:v>0.6</c:v>
                </c:pt>
                <c:pt idx="6">
                  <c:v>0.63</c:v>
                </c:pt>
                <c:pt idx="7">
                  <c:v>0.69</c:v>
                </c:pt>
                <c:pt idx="8">
                  <c:v>0.74</c:v>
                </c:pt>
                <c:pt idx="9">
                  <c:v>0.75</c:v>
                </c:pt>
                <c:pt idx="10">
                  <c:v>0.7</c:v>
                </c:pt>
                <c:pt idx="11">
                  <c:v>0.61</c:v>
                </c:pt>
                <c:pt idx="12">
                  <c:v>0.57999999999999996</c:v>
                </c:pt>
                <c:pt idx="13">
                  <c:v>0.59</c:v>
                </c:pt>
                <c:pt idx="14">
                  <c:v>0.6</c:v>
                </c:pt>
                <c:pt idx="15">
                  <c:v>0.61</c:v>
                </c:pt>
                <c:pt idx="16">
                  <c:v>0.59</c:v>
                </c:pt>
                <c:pt idx="17">
                  <c:v>0.56000000000000005</c:v>
                </c:pt>
                <c:pt idx="18">
                  <c:v>0.52</c:v>
                </c:pt>
                <c:pt idx="19">
                  <c:v>0.5</c:v>
                </c:pt>
                <c:pt idx="20">
                  <c:v>0.5</c:v>
                </c:pt>
                <c:pt idx="21">
                  <c:v>0.52</c:v>
                </c:pt>
                <c:pt idx="22">
                  <c:v>0.53</c:v>
                </c:pt>
                <c:pt idx="23">
                  <c:v>0.56000000000000005</c:v>
                </c:pt>
                <c:pt idx="24">
                  <c:v>0.59</c:v>
                </c:pt>
                <c:pt idx="25">
                  <c:v>0.62</c:v>
                </c:pt>
                <c:pt idx="26">
                  <c:v>0.64</c:v>
                </c:pt>
                <c:pt idx="27">
                  <c:v>0.65</c:v>
                </c:pt>
                <c:pt idx="28">
                  <c:v>0.65</c:v>
                </c:pt>
                <c:pt idx="29">
                  <c:v>0.66</c:v>
                </c:pt>
              </c:numCache>
            </c:numRef>
          </c:val>
          <c:smooth val="0"/>
          <c:extLst>
            <c:ext xmlns:c16="http://schemas.microsoft.com/office/drawing/2014/chart" uri="{C3380CC4-5D6E-409C-BE32-E72D297353CC}">
              <c16:uniqueId val="{00000000-FD28-4B1E-9282-F7FAB40E8C55}"/>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582698320"/>
        <c:axId val="1582710800"/>
      </c:lineChart>
      <c:catAx>
        <c:axId val="15826983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582710800"/>
        <c:crosses val="autoZero"/>
        <c:auto val="1"/>
        <c:lblAlgn val="ctr"/>
        <c:lblOffset val="100"/>
        <c:noMultiLvlLbl val="0"/>
      </c:catAx>
      <c:valAx>
        <c:axId val="158271080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AU"/>
                  <a:t>Annual deaths attributable to DUD as a percentage of all deaths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582698320"/>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A2E68-4231-4EFA-8A2A-AF02CFDE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ANG220913 BSC-81823 SARC Children 1 Template A4</Template>
  <TotalTime>2</TotalTime>
  <Pages>30</Pages>
  <Words>19635</Words>
  <Characters>111924</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Banks</dc:creator>
  <cp:keywords/>
  <dc:description/>
  <cp:lastModifiedBy>Susan Banks</cp:lastModifiedBy>
  <cp:revision>3</cp:revision>
  <cp:lastPrinted>2023-06-23T02:11:00Z</cp:lastPrinted>
  <dcterms:created xsi:type="dcterms:W3CDTF">2023-06-23T02:10:00Z</dcterms:created>
  <dcterms:modified xsi:type="dcterms:W3CDTF">2023-06-23T02:12:00Z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Adobe InDesign 17.4 (Macintosh)</vt:lpwstr>
  </property>
  <property fmtid="{D5CDD505-2E9C-101B-9397-08002B2CF9AE}" pid="4" name="LastSaved">
    <vt:filetime>2022-10-05T00:00:00Z</vt:filetime>
  </property>
  <property fmtid="{D5CDD505-2E9C-101B-9397-08002B2CF9AE}" pid="5" name="Producer">
    <vt:lpwstr>Adobe PDF Library 16.0.7</vt:lpwstr>
  </property>
</Properties>
</file>